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default"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default"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color w:val="auto"/>
          <w:kern w:val="2"/>
          <w:sz w:val="44"/>
          <w:szCs w:val="44"/>
          <w:lang w:eastAsia="zh-CN"/>
        </w:rPr>
      </w:pPr>
      <w:r>
        <w:rPr>
          <w:rFonts w:hint="default" w:ascii="Times New Roman" w:hAnsi="Times New Roman" w:eastAsia="宋体" w:cs="Times New Roman"/>
          <w:b/>
          <w:color w:val="auto"/>
          <w:kern w:val="2"/>
          <w:sz w:val="44"/>
          <w:szCs w:val="44"/>
          <w:lang w:eastAsia="zh-CN"/>
        </w:rPr>
        <w:t>建设项目</w:t>
      </w:r>
      <w:r>
        <w:rPr>
          <w:rFonts w:hint="default" w:ascii="Times New Roman" w:hAnsi="Times New Roman" w:eastAsia="宋体" w:cs="Times New Roman"/>
          <w:b/>
          <w:color w:val="auto"/>
          <w:kern w:val="2"/>
          <w:sz w:val="44"/>
          <w:szCs w:val="44"/>
        </w:rPr>
        <w:t>竣工环境保护验收</w:t>
      </w:r>
      <w:r>
        <w:rPr>
          <w:rFonts w:hint="default" w:ascii="Times New Roman" w:hAnsi="Times New Roman" w:eastAsia="宋体" w:cs="Times New Roman"/>
          <w:b/>
          <w:color w:val="auto"/>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1"/>
        <w:rPr>
          <w:rFonts w:hint="default" w:ascii="Times New Roman" w:hAnsi="Times New Roman" w:cs="Times New Roman"/>
          <w:color w:val="auto"/>
          <w:lang w:eastAsia="zh-CN"/>
        </w:rPr>
      </w:pPr>
    </w:p>
    <w:p w14:paraId="68E78DC8">
      <w:pPr>
        <w:widowControl w:val="0"/>
        <w:adjustRightInd/>
        <w:snapToGrid/>
        <w:spacing w:after="0" w:afterLines="-2147483648"/>
        <w:ind w:left="1674" w:leftChars="454" w:hanging="675" w:hangingChars="240"/>
        <w:jc w:val="both"/>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eastAsia="zh-CN"/>
        </w:rPr>
        <w:t>项目名称：</w:t>
      </w:r>
      <w:r>
        <w:rPr>
          <w:rFonts w:hint="default" w:ascii="Times New Roman" w:hAnsi="Times New Roman" w:eastAsia="宋体" w:cs="Times New Roman"/>
          <w:b/>
          <w:color w:val="auto"/>
          <w:kern w:val="2"/>
          <w:sz w:val="28"/>
          <w:szCs w:val="28"/>
          <w:u w:val="single"/>
          <w:lang w:val="en-US" w:eastAsia="zh-CN"/>
        </w:rPr>
        <w:t xml:space="preserve">   泾河3402H（良平2H）预探井建设项目            </w:t>
      </w:r>
    </w:p>
    <w:p w14:paraId="33273EA4">
      <w:pPr>
        <w:widowControl w:val="0"/>
        <w:adjustRightInd/>
        <w:snapToGrid/>
        <w:spacing w:after="0" w:afterLines="-2147483648"/>
        <w:ind w:firstLine="562" w:firstLineChars="200"/>
        <w:jc w:val="both"/>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val="en-US" w:eastAsia="zh-CN"/>
        </w:rPr>
        <w:t>委托单位：</w:t>
      </w:r>
      <w:r>
        <w:rPr>
          <w:rFonts w:hint="default" w:ascii="Times New Roman" w:hAnsi="Times New Roman" w:eastAsia="宋体" w:cs="Times New Roman"/>
          <w:b/>
          <w:color w:val="auto"/>
          <w:kern w:val="2"/>
          <w:sz w:val="28"/>
          <w:szCs w:val="28"/>
          <w:u w:val="single"/>
          <w:lang w:val="en-US" w:eastAsia="zh-CN"/>
        </w:rPr>
        <w:t xml:space="preserve">        中国石油化工股份有限公司                 </w:t>
      </w:r>
    </w:p>
    <w:p w14:paraId="281E8B6E">
      <w:pPr>
        <w:widowControl w:val="0"/>
        <w:adjustRightInd/>
        <w:snapToGrid/>
        <w:spacing w:after="0" w:afterLines="-2147483648"/>
        <w:ind w:firstLine="1968" w:firstLineChars="700"/>
        <w:jc w:val="both"/>
        <w:rPr>
          <w:rFonts w:hint="default" w:ascii="Times New Roman" w:hAnsi="Times New Roman" w:eastAsia="宋体" w:cs="Times New Roman"/>
          <w:b/>
          <w:color w:val="auto"/>
          <w:kern w:val="2"/>
          <w:sz w:val="28"/>
          <w:szCs w:val="28"/>
          <w:lang w:val="en-US" w:eastAsia="zh-CN"/>
        </w:rPr>
      </w:pPr>
      <w:r>
        <w:rPr>
          <w:rFonts w:hint="default" w:ascii="Times New Roman" w:hAnsi="Times New Roman" w:eastAsia="宋体" w:cs="Times New Roman"/>
          <w:b/>
          <w:color w:val="auto"/>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kern w:val="2"/>
          <w:sz w:val="30"/>
          <w:szCs w:val="30"/>
          <w:lang w:val="en-US" w:eastAsia="zh-CN"/>
        </w:rPr>
        <w:t>编制单位：甘肃卉昕朋环保科技有限公司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sz w:val="30"/>
          <w:szCs w:val="30"/>
        </w:rPr>
        <w:t>编制日期：</w:t>
      </w:r>
      <w:r>
        <w:rPr>
          <w:rFonts w:hint="default" w:ascii="Times New Roman" w:hAnsi="Times New Roman" w:eastAsia="宋体" w:cs="Times New Roman"/>
          <w:b/>
          <w:color w:val="auto"/>
          <w:kern w:val="2"/>
          <w:sz w:val="30"/>
          <w:szCs w:val="30"/>
          <w:lang w:val="en-US" w:eastAsia="zh-CN"/>
        </w:rPr>
        <w:t>2025年3月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ascii="Times New Roman" w:hAnsi="Times New Roman" w:cs="Times New Roman"/>
          <w:color w:val="auto"/>
        </w:rPr>
      </w:pPr>
    </w:p>
    <w:p w14:paraId="250A0111">
      <w:pPr>
        <w:spacing w:after="0" w:afterLines="-2147483648" w:line="360" w:lineRule="auto"/>
        <w:ind w:firstLine="0" w:firstLineChars="0"/>
        <w:rPr>
          <w:rFonts w:hint="default"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w:t>
      </w:r>
      <w:r>
        <w:rPr>
          <w:rFonts w:hint="default" w:ascii="Times New Roman" w:hAnsi="Times New Roman" w:eastAsia="宋体" w:cs="Times New Roman"/>
          <w:b/>
          <w:color w:val="auto"/>
          <w:sz w:val="30"/>
          <w:szCs w:val="30"/>
          <w:lang w:val="en-US" w:eastAsia="zh-CN"/>
        </w:rPr>
        <w:t>甘肃卉昕朋环保科技有限公司</w:t>
      </w:r>
    </w:p>
    <w:p w14:paraId="02276A03">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lang w:eastAsia="zh-CN"/>
        </w:rPr>
        <w:t>法定代表人</w:t>
      </w:r>
      <w:r>
        <w:rPr>
          <w:rFonts w:hint="default" w:ascii="Times New Roman" w:hAnsi="Times New Roman" w:eastAsia="宋体" w:cs="Times New Roman"/>
          <w:b/>
          <w:color w:val="auto"/>
          <w:sz w:val="30"/>
          <w:szCs w:val="30"/>
        </w:rPr>
        <w:t>：</w:t>
      </w:r>
      <w:r>
        <w:rPr>
          <w:rFonts w:hint="default" w:ascii="Times New Roman" w:hAnsi="Times New Roman" w:eastAsia="宋体" w:cs="Times New Roman"/>
          <w:b/>
          <w:color w:val="auto"/>
          <w:sz w:val="30"/>
          <w:szCs w:val="30"/>
          <w:lang w:eastAsia="zh-CN"/>
        </w:rPr>
        <w:t>李保权</w:t>
      </w:r>
    </w:p>
    <w:p w14:paraId="6E2B13C0">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default" w:ascii="Times New Roman" w:hAnsi="Times New Roman" w:eastAsia="宋体" w:cs="Times New Roman"/>
          <w:b/>
          <w:color w:val="auto"/>
          <w:sz w:val="30"/>
          <w:szCs w:val="30"/>
          <w:lang w:val="en-US" w:eastAsia="zh-CN"/>
        </w:rPr>
        <w:t>李婉君</w:t>
      </w:r>
    </w:p>
    <w:p w14:paraId="51F4834B">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default" w:ascii="Times New Roman" w:hAnsi="Times New Roman" w:eastAsia="宋体" w:cs="Times New Roman"/>
          <w:b/>
          <w:color w:val="auto"/>
          <w:sz w:val="30"/>
          <w:szCs w:val="30"/>
          <w:lang w:val="en-US" w:eastAsia="zh-CN"/>
        </w:rPr>
        <w:t>李婉君</w:t>
      </w:r>
    </w:p>
    <w:p w14:paraId="3FD86872">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default" w:ascii="Times New Roman" w:hAnsi="Times New Roman" w:eastAsia="宋体" w:cs="Times New Roman"/>
          <w:b/>
          <w:color w:val="auto"/>
          <w:sz w:val="30"/>
          <w:szCs w:val="30"/>
          <w:lang w:eastAsia="zh-CN"/>
        </w:rPr>
        <w:t>：</w:t>
      </w:r>
      <w:r>
        <w:rPr>
          <w:rFonts w:hint="default" w:ascii="Times New Roman" w:hAnsi="Times New Roman" w:eastAsia="宋体" w:cs="Times New Roman"/>
          <w:b/>
          <w:color w:val="auto"/>
          <w:sz w:val="30"/>
          <w:szCs w:val="30"/>
          <w:lang w:val="en-US" w:eastAsia="zh-CN"/>
        </w:rPr>
        <w:t>周振昕</w:t>
      </w:r>
    </w:p>
    <w:p w14:paraId="47811B82">
      <w:pPr>
        <w:spacing w:line="360" w:lineRule="auto"/>
        <w:rPr>
          <w:rFonts w:hint="default" w:ascii="Times New Roman" w:hAnsi="Times New Roman" w:eastAsia="宋体" w:cs="Times New Roman"/>
          <w:b/>
          <w:color w:val="auto"/>
          <w:sz w:val="30"/>
          <w:szCs w:val="30"/>
        </w:rPr>
      </w:pPr>
    </w:p>
    <w:p w14:paraId="6E02460B">
      <w:pPr>
        <w:spacing w:line="360" w:lineRule="auto"/>
        <w:rPr>
          <w:rFonts w:hint="default" w:ascii="Times New Roman" w:hAnsi="Times New Roman" w:eastAsia="宋体" w:cs="Times New Roman"/>
          <w:b/>
          <w:color w:val="auto"/>
          <w:sz w:val="30"/>
          <w:szCs w:val="30"/>
        </w:rPr>
      </w:pPr>
    </w:p>
    <w:p w14:paraId="0FDB3A0E">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default" w:ascii="Times New Roman" w:hAnsi="Times New Roman" w:eastAsia="宋体" w:cs="Times New Roman"/>
          <w:b/>
          <w:color w:val="auto"/>
          <w:sz w:val="30"/>
          <w:szCs w:val="30"/>
          <w:lang w:eastAsia="zh-CN"/>
        </w:rPr>
        <w:t>山东新航工程项目咨询有限公司</w:t>
      </w:r>
    </w:p>
    <w:p w14:paraId="77D91AC7">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default" w:ascii="Times New Roman" w:hAnsi="Times New Roman" w:eastAsia="宋体" w:cs="Times New Roman"/>
          <w:b/>
          <w:color w:val="auto"/>
          <w:sz w:val="30"/>
          <w:szCs w:val="30"/>
          <w:lang w:val="en-US" w:eastAsia="zh-CN"/>
        </w:rPr>
        <w:t>张彤18893820154</w:t>
      </w:r>
    </w:p>
    <w:p w14:paraId="274D0772">
      <w:pPr>
        <w:spacing w:line="360" w:lineRule="auto"/>
        <w:rPr>
          <w:rFonts w:hint="default" w:ascii="Times New Roman" w:hAnsi="Times New Roman" w:eastAsia="宋体" w:cs="Times New Roman"/>
          <w:b/>
          <w:color w:val="auto"/>
          <w:sz w:val="30"/>
          <w:szCs w:val="30"/>
        </w:rPr>
      </w:pPr>
    </w:p>
    <w:p w14:paraId="2851C3C0">
      <w:pPr>
        <w:spacing w:line="360" w:lineRule="auto"/>
        <w:rPr>
          <w:rFonts w:hint="default" w:ascii="Times New Roman" w:hAnsi="Times New Roman" w:eastAsia="宋体" w:cs="Times New Roman"/>
          <w:b/>
          <w:color w:val="auto"/>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default"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传真：/</w:t>
      </w:r>
    </w:p>
    <w:p w14:paraId="677EAF0A">
      <w:pPr>
        <w:spacing w:line="360" w:lineRule="auto"/>
        <w:rPr>
          <w:rFonts w:hint="default" w:ascii="Times New Roman" w:hAnsi="Times New Roman" w:eastAsia="宋体" w:cs="Times New Roman"/>
          <w:b/>
          <w:color w:val="auto"/>
          <w:sz w:val="30"/>
          <w:szCs w:val="30"/>
          <w:lang w:val="en-US"/>
        </w:rPr>
      </w:pPr>
      <w:r>
        <w:rPr>
          <w:rFonts w:hint="default" w:ascii="Times New Roman" w:hAnsi="Times New Roman" w:eastAsia="宋体" w:cs="Times New Roman"/>
          <w:b/>
          <w:color w:val="auto"/>
          <w:sz w:val="30"/>
          <w:szCs w:val="30"/>
        </w:rPr>
        <w:t>地址：</w:t>
      </w:r>
      <w:r>
        <w:rPr>
          <w:rFonts w:hint="default" w:ascii="Times New Roman" w:hAnsi="Times New Roman" w:eastAsia="宋体" w:cs="Times New Roman"/>
          <w:b/>
          <w:color w:val="auto"/>
          <w:sz w:val="30"/>
          <w:szCs w:val="30"/>
          <w:lang w:eastAsia="zh-CN"/>
        </w:rPr>
        <w:t>甘肃省庆阳市西峰区丽晶茂</w:t>
      </w:r>
      <w:r>
        <w:rPr>
          <w:rFonts w:hint="default" w:ascii="Times New Roman" w:hAnsi="Times New Roman" w:eastAsia="宋体" w:cs="Times New Roman"/>
          <w:b/>
          <w:color w:val="auto"/>
          <w:sz w:val="30"/>
          <w:szCs w:val="30"/>
          <w:lang w:val="en-US" w:eastAsia="zh-CN"/>
        </w:rPr>
        <w:t>A栋1515室</w:t>
      </w:r>
    </w:p>
    <w:p w14:paraId="211D5400">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邮编：745000</w:t>
      </w:r>
    </w:p>
    <w:p w14:paraId="6C84D126">
      <w:pPr>
        <w:pStyle w:val="2"/>
        <w:rPr>
          <w:rFonts w:hint="default" w:ascii="Times New Roman" w:hAnsi="Times New Roman" w:eastAsia="宋体" w:cs="Times New Roman"/>
          <w:b/>
          <w:color w:val="auto"/>
          <w:sz w:val="30"/>
          <w:szCs w:val="30"/>
        </w:rPr>
      </w:pPr>
    </w:p>
    <w:p w14:paraId="798A591E">
      <w:pPr>
        <w:rPr>
          <w:rFonts w:hint="default" w:ascii="Times New Roman" w:hAnsi="Times New Roman" w:eastAsia="宋体" w:cs="Times New Roman"/>
          <w:b/>
          <w:color w:val="auto"/>
          <w:sz w:val="30"/>
          <w:szCs w:val="30"/>
        </w:rPr>
      </w:pPr>
    </w:p>
    <w:p w14:paraId="51CDC03D">
      <w:pPr>
        <w:pStyle w:val="21"/>
        <w:rPr>
          <w:rFonts w:hint="default" w:ascii="Times New Roman" w:hAnsi="Times New Roman" w:eastAsia="宋体" w:cs="Times New Roman"/>
          <w:b/>
          <w:color w:val="auto"/>
          <w:sz w:val="30"/>
          <w:szCs w:val="30"/>
        </w:rPr>
      </w:pPr>
    </w:p>
    <w:p w14:paraId="195AD460">
      <w:pPr>
        <w:rPr>
          <w:rFonts w:hint="default" w:ascii="Times New Roman" w:hAnsi="Times New Roman" w:eastAsia="宋体" w:cs="Times New Roman"/>
          <w:b/>
          <w:color w:val="auto"/>
          <w:sz w:val="30"/>
          <w:szCs w:val="30"/>
        </w:rPr>
      </w:pPr>
    </w:p>
    <w:p w14:paraId="50D9912E">
      <w:pPr>
        <w:pStyle w:val="21"/>
        <w:rPr>
          <w:rFonts w:hint="default" w:ascii="Times New Roman" w:hAnsi="Times New Roman" w:eastAsia="宋体" w:cs="Times New Roman"/>
          <w:b/>
          <w:color w:val="auto"/>
          <w:sz w:val="30"/>
          <w:szCs w:val="30"/>
        </w:rPr>
      </w:pPr>
    </w:p>
    <w:p w14:paraId="2E059AE2">
      <w:pPr>
        <w:rPr>
          <w:rFonts w:hint="default" w:ascii="Times New Roman" w:hAnsi="Times New Roman" w:eastAsia="宋体" w:cs="Times New Roman"/>
          <w:b/>
          <w:color w:val="auto"/>
          <w:sz w:val="30"/>
          <w:szCs w:val="30"/>
        </w:rPr>
      </w:pPr>
    </w:p>
    <w:p w14:paraId="5347F5B1">
      <w:pPr>
        <w:pStyle w:val="21"/>
        <w:rPr>
          <w:rFonts w:hint="default" w:ascii="Times New Roman" w:hAnsi="Times New Roman" w:eastAsia="宋体" w:cs="Times New Roman"/>
          <w:b/>
          <w:color w:val="auto"/>
          <w:sz w:val="30"/>
          <w:szCs w:val="30"/>
        </w:rPr>
      </w:pPr>
    </w:p>
    <w:p w14:paraId="4FA7E833">
      <w:pPr>
        <w:rPr>
          <w:rFonts w:hint="default" w:ascii="Times New Roman" w:hAnsi="Times New Roman" w:eastAsia="宋体" w:cs="Times New Roman"/>
          <w:b/>
          <w:color w:val="auto"/>
          <w:sz w:val="30"/>
          <w:szCs w:val="30"/>
        </w:rPr>
      </w:pPr>
    </w:p>
    <w:p w14:paraId="6BC979FC">
      <w:pPr>
        <w:pStyle w:val="21"/>
        <w:rPr>
          <w:rFonts w:hint="default" w:ascii="Times New Roman" w:hAnsi="Times New Roman" w:eastAsia="宋体" w:cs="Times New Roman"/>
          <w:b/>
          <w:color w:val="auto"/>
          <w:sz w:val="30"/>
          <w:szCs w:val="30"/>
        </w:rPr>
      </w:pPr>
    </w:p>
    <w:p w14:paraId="51EF5551">
      <w:pPr>
        <w:rPr>
          <w:rFonts w:hint="default" w:ascii="Times New Roman" w:hAnsi="Times New Roman" w:eastAsia="宋体" w:cs="Times New Roman"/>
          <w:b/>
          <w:color w:val="auto"/>
          <w:sz w:val="30"/>
          <w:szCs w:val="30"/>
        </w:rPr>
      </w:pPr>
    </w:p>
    <w:p w14:paraId="26FD4598">
      <w:pPr>
        <w:pStyle w:val="21"/>
        <w:rPr>
          <w:rFonts w:hint="default" w:ascii="Times New Roman" w:hAnsi="Times New Roman" w:eastAsia="宋体" w:cs="Times New Roman"/>
          <w:b/>
          <w:color w:val="auto"/>
          <w:sz w:val="30"/>
          <w:szCs w:val="30"/>
        </w:rPr>
      </w:pPr>
    </w:p>
    <w:p w14:paraId="16A6BB9B">
      <w:pPr>
        <w:rPr>
          <w:rFonts w:hint="default" w:ascii="Times New Roman" w:hAnsi="Times New Roman" w:eastAsia="宋体" w:cs="Times New Roman"/>
          <w:b/>
          <w:color w:val="auto"/>
          <w:sz w:val="30"/>
          <w:szCs w:val="30"/>
        </w:rPr>
      </w:pPr>
    </w:p>
    <w:p w14:paraId="1BC77AA2">
      <w:pPr>
        <w:pStyle w:val="21"/>
        <w:rPr>
          <w:rFonts w:hint="default" w:ascii="Times New Roman" w:hAnsi="Times New Roman" w:eastAsia="宋体" w:cs="Times New Roman"/>
          <w:b/>
          <w:color w:val="auto"/>
          <w:sz w:val="30"/>
          <w:szCs w:val="30"/>
        </w:rPr>
      </w:pPr>
    </w:p>
    <w:p w14:paraId="59EFFF9E">
      <w:pPr>
        <w:rPr>
          <w:rFonts w:hint="default" w:ascii="Times New Roman" w:hAnsi="Times New Roman" w:eastAsia="宋体" w:cs="Times New Roman"/>
          <w:b/>
          <w:color w:val="auto"/>
          <w:sz w:val="30"/>
          <w:szCs w:val="30"/>
        </w:rPr>
      </w:pPr>
    </w:p>
    <w:p w14:paraId="5601ED31">
      <w:pPr>
        <w:pStyle w:val="21"/>
        <w:rPr>
          <w:rFonts w:hint="default" w:ascii="Times New Roman" w:hAnsi="Times New Roman" w:eastAsia="宋体" w:cs="Times New Roman"/>
          <w:b/>
          <w:color w:val="auto"/>
          <w:sz w:val="30"/>
          <w:szCs w:val="30"/>
        </w:rPr>
      </w:pPr>
    </w:p>
    <w:p w14:paraId="66FB45FE">
      <w:pPr>
        <w:rPr>
          <w:rFonts w:hint="default" w:ascii="Times New Roman" w:hAnsi="Times New Roman" w:eastAsia="宋体" w:cs="Times New Roman"/>
          <w:b/>
          <w:color w:val="auto"/>
          <w:sz w:val="30"/>
          <w:szCs w:val="30"/>
        </w:rPr>
      </w:pPr>
    </w:p>
    <w:p w14:paraId="04F6070D">
      <w:pPr>
        <w:pStyle w:val="21"/>
        <w:rPr>
          <w:rFonts w:hint="default" w:ascii="Times New Roman" w:hAnsi="Times New Roman" w:eastAsia="宋体" w:cs="Times New Roman"/>
          <w:b/>
          <w:color w:val="auto"/>
          <w:sz w:val="30"/>
          <w:szCs w:val="30"/>
        </w:rPr>
      </w:pPr>
    </w:p>
    <w:p w14:paraId="18F996E0">
      <w:pPr>
        <w:rPr>
          <w:rFonts w:hint="default" w:ascii="Times New Roman" w:hAnsi="Times New Roman" w:eastAsia="宋体" w:cs="Times New Roman"/>
          <w:b/>
          <w:color w:val="auto"/>
          <w:sz w:val="30"/>
          <w:szCs w:val="30"/>
        </w:rPr>
      </w:pPr>
    </w:p>
    <w:p w14:paraId="2508F251">
      <w:pPr>
        <w:pStyle w:val="21"/>
        <w:rPr>
          <w:rFonts w:hint="default" w:ascii="Times New Roman" w:hAnsi="Times New Roman" w:eastAsia="宋体" w:cs="Times New Roman"/>
          <w:b/>
          <w:color w:val="auto"/>
          <w:sz w:val="30"/>
          <w:szCs w:val="30"/>
        </w:rPr>
      </w:pPr>
    </w:p>
    <w:p w14:paraId="4F54BCDB">
      <w:pPr>
        <w:rPr>
          <w:rFonts w:hint="default" w:ascii="Times New Roman" w:hAnsi="Times New Roman" w:eastAsia="宋体" w:cs="Times New Roman"/>
          <w:b/>
          <w:color w:val="auto"/>
          <w:sz w:val="30"/>
          <w:szCs w:val="30"/>
        </w:rPr>
      </w:pPr>
    </w:p>
    <w:p w14:paraId="4C154085">
      <w:pPr>
        <w:pStyle w:val="21"/>
        <w:rPr>
          <w:rFonts w:hint="default" w:ascii="Times New Roman" w:hAnsi="Times New Roman" w:eastAsia="宋体" w:cs="Times New Roman"/>
          <w:b/>
          <w:color w:val="auto"/>
          <w:sz w:val="30"/>
          <w:szCs w:val="30"/>
        </w:rPr>
      </w:pPr>
    </w:p>
    <w:p w14:paraId="68F251CC">
      <w:pPr>
        <w:rPr>
          <w:rFonts w:hint="default" w:ascii="Times New Roman" w:hAnsi="Times New Roman" w:eastAsia="宋体" w:cs="Times New Roman"/>
          <w:b/>
          <w:color w:val="auto"/>
          <w:sz w:val="30"/>
          <w:szCs w:val="30"/>
        </w:rPr>
      </w:pPr>
    </w:p>
    <w:p w14:paraId="1F53CCA7">
      <w:pPr>
        <w:pStyle w:val="21"/>
        <w:rPr>
          <w:rFonts w:hint="default" w:ascii="Times New Roman" w:hAnsi="Times New Roman" w:eastAsia="宋体" w:cs="Times New Roman"/>
          <w:b/>
          <w:color w:val="auto"/>
          <w:sz w:val="30"/>
          <w:szCs w:val="30"/>
        </w:rPr>
      </w:pPr>
    </w:p>
    <w:p w14:paraId="2DA77EF4">
      <w:pPr>
        <w:rPr>
          <w:rFonts w:hint="default" w:ascii="Times New Roman" w:hAnsi="Times New Roman" w:eastAsia="宋体" w:cs="Times New Roman"/>
          <w:b/>
          <w:color w:val="auto"/>
          <w:sz w:val="30"/>
          <w:szCs w:val="30"/>
        </w:rPr>
      </w:pPr>
    </w:p>
    <w:p w14:paraId="3AC73A54">
      <w:pPr>
        <w:pStyle w:val="21"/>
        <w:rPr>
          <w:rFonts w:hint="default" w:ascii="Times New Roman" w:hAnsi="Times New Roman" w:eastAsia="宋体" w:cs="Times New Roman"/>
          <w:b/>
          <w:color w:val="auto"/>
          <w:sz w:val="30"/>
          <w:szCs w:val="30"/>
        </w:rPr>
      </w:pPr>
    </w:p>
    <w:p w14:paraId="181855E0">
      <w:pPr>
        <w:rPr>
          <w:rFonts w:hint="default" w:ascii="Times New Roman" w:hAnsi="Times New Roman" w:eastAsia="宋体" w:cs="Times New Roman"/>
          <w:b/>
          <w:color w:val="auto"/>
          <w:sz w:val="30"/>
          <w:szCs w:val="30"/>
        </w:rPr>
      </w:pPr>
    </w:p>
    <w:p w14:paraId="7940770C">
      <w:pPr>
        <w:pStyle w:val="21"/>
        <w:rPr>
          <w:rFonts w:hint="default" w:ascii="Times New Roman" w:hAnsi="Times New Roman" w:eastAsia="宋体" w:cs="Times New Roman"/>
          <w:b/>
          <w:color w:val="auto"/>
          <w:sz w:val="30"/>
          <w:szCs w:val="30"/>
        </w:rPr>
      </w:pPr>
    </w:p>
    <w:p w14:paraId="65281834">
      <w:pPr>
        <w:rPr>
          <w:rFonts w:hint="default" w:ascii="Times New Roman" w:hAnsi="Times New Roman" w:cs="Times New Roman"/>
          <w:color w:val="auto"/>
        </w:rPr>
      </w:pPr>
    </w:p>
    <w:p w14:paraId="58AC7236">
      <w:pPr>
        <w:rPr>
          <w:rFonts w:hint="default" w:ascii="Times New Roman" w:hAnsi="Times New Roman" w:eastAsia="宋体" w:cs="Times New Roman"/>
          <w:b/>
          <w:color w:val="auto"/>
          <w:sz w:val="30"/>
          <w:szCs w:val="30"/>
        </w:rPr>
      </w:pPr>
    </w:p>
    <w:sdt>
      <w:sdtPr>
        <w:rPr>
          <w:rFonts w:hint="default" w:ascii="Times New Roman" w:hAnsi="Times New Roman" w:eastAsia="宋体" w:cs="Times New Roman"/>
          <w:color w:val="auto"/>
          <w:sz w:val="21"/>
          <w:szCs w:val="22"/>
          <w:lang w:val="en-US" w:eastAsia="zh-CN" w:bidi="ar-SA"/>
        </w:rPr>
        <w:id w:val="147453307"/>
        <w15:color w:val="DBDBDB"/>
        <w:docPartObj>
          <w:docPartGallery w:val="Table of Contents"/>
          <w:docPartUnique/>
        </w:docPartObj>
      </w:sdtPr>
      <w:sdtEndPr>
        <w:rPr>
          <w:rFonts w:hint="default" w:ascii="Times New Roman" w:hAnsi="Times New Roman" w:eastAsia="微软雅黑" w:cs="Times New Roman"/>
          <w:color w:val="auto"/>
          <w:spacing w:val="10"/>
          <w:sz w:val="24"/>
          <w:szCs w:val="22"/>
          <w:lang w:val="en-US" w:eastAsia="zh-CN" w:bidi="ar-SA"/>
        </w:rPr>
      </w:sdtEndPr>
      <w:sdtContent>
        <w:p w14:paraId="402EDE09">
          <w:pPr>
            <w:pStyle w:val="2"/>
            <w:keepNext w:val="0"/>
            <w:keepLines w:val="0"/>
            <w:pageBreakBefore w:val="0"/>
            <w:widowControl/>
            <w:kinsoku/>
            <w:wordWrap/>
            <w:overflowPunct/>
            <w:topLinePunct w:val="0"/>
            <w:autoSpaceDE/>
            <w:autoSpaceDN/>
            <w:bidi w:val="0"/>
            <w:spacing w:line="360" w:lineRule="auto"/>
            <w:textAlignment w:val="auto"/>
            <w:rPr>
              <w:rFonts w:hint="default" w:ascii="Times New Roman" w:hAnsi="Times New Roman" w:cs="Times New Roman"/>
              <w:color w:val="auto"/>
              <w:sz w:val="24"/>
              <w:szCs w:val="24"/>
            </w:rPr>
          </w:pPr>
        </w:p>
        <w:p w14:paraId="7FCD9B36">
          <w:pPr>
            <w:pStyle w:val="2"/>
            <w:keepNext w:val="0"/>
            <w:keepLines w:val="0"/>
            <w:pageBreakBefore w:val="0"/>
            <w:widowControl/>
            <w:kinsoku/>
            <w:wordWrap/>
            <w:overflowPunct/>
            <w:topLinePunct w:val="0"/>
            <w:autoSpaceDE/>
            <w:autoSpaceDN/>
            <w:bidi w:val="0"/>
            <w:spacing w:line="360" w:lineRule="auto"/>
            <w:textAlignment w:val="auto"/>
            <w:rPr>
              <w:rFonts w:hint="default" w:ascii="Times New Roman" w:hAnsi="Times New Roman" w:cs="Times New Roman"/>
              <w:color w:val="auto"/>
              <w:sz w:val="24"/>
              <w:szCs w:val="24"/>
            </w:rPr>
          </w:pPr>
        </w:p>
        <w:p w14:paraId="6C024EB1">
          <w:pPr>
            <w:pStyle w:val="2"/>
            <w:keepNext w:val="0"/>
            <w:keepLines w:val="0"/>
            <w:pageBreakBefore w:val="0"/>
            <w:widowControl/>
            <w:kinsoku/>
            <w:wordWrap/>
            <w:overflowPunct/>
            <w:topLinePunct w:val="0"/>
            <w:autoSpaceDE/>
            <w:autoSpaceDN/>
            <w:bidi w:val="0"/>
            <w:spacing w:line="360" w:lineRule="auto"/>
            <w:textAlignment w:val="auto"/>
            <w:rPr>
              <w:rFonts w:hint="default" w:ascii="Times New Roman" w:hAnsi="Times New Roman" w:cs="Times New Roman"/>
              <w:color w:val="auto"/>
            </w:rPr>
            <w:sectPr>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sdtContent>
    </w:sdt>
    <w:p w14:paraId="4BD59512">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rPr>
      </w:pPr>
      <w:bookmarkStart w:id="0" w:name="_Toc17776"/>
      <w:r>
        <w:rPr>
          <w:rFonts w:hint="default" w:ascii="Times New Roman" w:hAnsi="Times New Roman" w:eastAsia="宋体" w:cs="Times New Roman"/>
          <w:b/>
          <w:color w:val="auto"/>
          <w:kern w:val="2"/>
          <w:sz w:val="32"/>
          <w:szCs w:val="24"/>
          <w:lang w:val="en-US" w:eastAsia="zh-CN"/>
        </w:rPr>
        <w:t>1.</w:t>
      </w:r>
      <w:r>
        <w:rPr>
          <w:rFonts w:hint="default" w:ascii="Times New Roman" w:hAnsi="Times New Roman" w:eastAsia="宋体" w:cs="Times New Roman"/>
          <w:b/>
          <w:color w:val="auto"/>
          <w:kern w:val="2"/>
          <w:sz w:val="32"/>
          <w:szCs w:val="24"/>
        </w:rPr>
        <w:t>项目总体情况</w:t>
      </w:r>
      <w:bookmarkEnd w:id="0"/>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1386"/>
        <w:gridCol w:w="810"/>
        <w:gridCol w:w="291"/>
        <w:gridCol w:w="193"/>
        <w:gridCol w:w="709"/>
        <w:gridCol w:w="523"/>
        <w:gridCol w:w="97"/>
        <w:gridCol w:w="58"/>
        <w:gridCol w:w="585"/>
        <w:gridCol w:w="527"/>
        <w:gridCol w:w="383"/>
        <w:gridCol w:w="879"/>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779"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泾河3402H（良平2H）预探井建设项目</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779"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288"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梁承春</w:t>
            </w:r>
          </w:p>
        </w:tc>
        <w:tc>
          <w:tcPr>
            <w:tcW w:w="1097"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392"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779"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default"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288"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699"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363"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686"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740"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779" w:type="pct"/>
            <w:gridSpan w:val="12"/>
            <w:noWrap w:val="0"/>
            <w:vAlign w:val="center"/>
          </w:tcPr>
          <w:p w14:paraId="60539F6A">
            <w:pPr>
              <w:pStyle w:val="39"/>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cs="Times New Roman"/>
                <w:color w:val="auto"/>
                <w:spacing w:val="0"/>
                <w:w w:val="100"/>
                <w:sz w:val="24"/>
                <w:szCs w:val="24"/>
                <w:highlight w:val="none"/>
                <w:lang w:val="en-US" w:eastAsia="zh-CN"/>
              </w:rPr>
              <w:t>宁县早胜镇南庄村二组</w:t>
            </w:r>
          </w:p>
          <w:p w14:paraId="17574710">
            <w:pPr>
              <w:pStyle w:val="39"/>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cs="Times New Roman"/>
                <w:color w:val="auto"/>
                <w:spacing w:val="0"/>
                <w:w w:val="100"/>
                <w:sz w:val="24"/>
                <w:szCs w:val="24"/>
                <w:highlight w:val="none"/>
                <w:lang w:val="en-US" w:eastAsia="zh-CN"/>
              </w:rPr>
              <w:t>中心点坐标：E107°47′38.782″，N35°22′38.788″</w:t>
            </w: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45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36"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483"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779"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泾河3402H预探井建设项目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20"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779"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庆阳衡安环保工程有限公司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20"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779"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45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庆阳市生态环境局</w:t>
            </w:r>
          </w:p>
        </w:tc>
        <w:tc>
          <w:tcPr>
            <w:tcW w:w="529"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庆环评表字〔2023〕119号</w:t>
            </w:r>
          </w:p>
        </w:tc>
        <w:tc>
          <w:tcPr>
            <w:tcW w:w="533"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2023年5月23日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45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c>
          <w:tcPr>
            <w:tcW w:w="529"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33"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779"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779"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779" w:type="pct"/>
            <w:gridSpan w:val="12"/>
            <w:noWrap w:val="0"/>
            <w:vAlign w:val="center"/>
          </w:tcPr>
          <w:p w14:paraId="3FD547C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813" w:type="pct"/>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800</w:t>
            </w:r>
          </w:p>
        </w:tc>
        <w:tc>
          <w:tcPr>
            <w:tcW w:w="1175" w:type="pct"/>
            <w:gridSpan w:val="4"/>
            <w:noWrap w:val="0"/>
            <w:vAlign w:val="center"/>
          </w:tcPr>
          <w:p w14:paraId="176C6DF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其中：环境保护</w:t>
            </w:r>
          </w:p>
          <w:p w14:paraId="76C5E5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86.5</w:t>
            </w:r>
          </w:p>
        </w:tc>
        <w:tc>
          <w:tcPr>
            <w:tcW w:w="877" w:type="pct"/>
            <w:gridSpan w:val="3"/>
            <w:vMerge w:val="restart"/>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15" w:type="pct"/>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10.81%</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813"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800</w:t>
            </w:r>
          </w:p>
        </w:tc>
        <w:tc>
          <w:tcPr>
            <w:tcW w:w="1175" w:type="pct"/>
            <w:gridSpan w:val="4"/>
            <w:noWrap w:val="0"/>
            <w:vAlign w:val="center"/>
          </w:tcPr>
          <w:p w14:paraId="793850C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其中：环境保护</w:t>
            </w:r>
          </w:p>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bidi="ar-SA"/>
              </w:rPr>
              <w:t>80.01</w:t>
            </w:r>
          </w:p>
        </w:tc>
        <w:tc>
          <w:tcPr>
            <w:tcW w:w="877"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15"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8.001%</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0"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572" w:type="pct"/>
            <w:gridSpan w:val="4"/>
            <w:noWrap w:val="0"/>
            <w:vAlign w:val="center"/>
          </w:tcPr>
          <w:p w14:paraId="26E2A3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井深：2900m</w:t>
            </w:r>
          </w:p>
        </w:tc>
        <w:tc>
          <w:tcPr>
            <w:tcW w:w="813"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392" w:type="pct"/>
            <w:gridSpan w:val="4"/>
            <w:noWrap w:val="0"/>
            <w:vAlign w:val="center"/>
          </w:tcPr>
          <w:p w14:paraId="78E7034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2023-08-09</w:t>
            </w: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572" w:type="pct"/>
            <w:gridSpan w:val="4"/>
            <w:noWrap w:val="0"/>
            <w:vAlign w:val="center"/>
          </w:tcPr>
          <w:p w14:paraId="00637D8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井深：2311m</w:t>
            </w:r>
          </w:p>
        </w:tc>
        <w:tc>
          <w:tcPr>
            <w:tcW w:w="813"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392"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779"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20" w:type="pct"/>
            <w:noWrap w:val="0"/>
            <w:vAlign w:val="center"/>
          </w:tcPr>
          <w:p w14:paraId="4C1B5937">
            <w:pPr>
              <w:pStyle w:val="3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项目建设过程简述（项目立项~试运行）</w:t>
            </w:r>
          </w:p>
        </w:tc>
        <w:tc>
          <w:tcPr>
            <w:tcW w:w="3779"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default" w:ascii="Times New Roman" w:hAnsi="Times New Roman" w:eastAsia="宋体" w:cs="Times New Roman"/>
                <w:b/>
                <w:bCs/>
                <w:color w:val="auto"/>
                <w:spacing w:val="0"/>
                <w:w w:val="100"/>
                <w:sz w:val="24"/>
                <w:szCs w:val="24"/>
                <w:highlight w:val="none"/>
                <w:lang w:eastAsia="zh-CN"/>
              </w:rPr>
              <w:t>项目立项</w:t>
            </w:r>
          </w:p>
          <w:p w14:paraId="036B3D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勘探是</w:t>
            </w:r>
            <w:r>
              <w:rPr>
                <w:rFonts w:hint="default" w:ascii="Times New Roman" w:hAnsi="Times New Roman" w:eastAsia="宋体" w:cs="Times New Roman"/>
                <w:color w:val="auto"/>
                <w:spacing w:val="0"/>
                <w:w w:val="100"/>
                <w:sz w:val="24"/>
                <w:szCs w:val="24"/>
                <w:highlight w:val="none"/>
                <w:lang w:val="en-US" w:eastAsia="zh-CN"/>
              </w:rPr>
              <w:t>油田</w:t>
            </w:r>
            <w:r>
              <w:rPr>
                <w:rFonts w:hint="default" w:ascii="Times New Roman" w:hAnsi="Times New Roman" w:eastAsia="宋体" w:cs="Times New Roman"/>
                <w:color w:val="auto"/>
                <w:spacing w:val="0"/>
                <w:w w:val="100"/>
                <w:sz w:val="24"/>
                <w:szCs w:val="24"/>
                <w:highlight w:val="none"/>
                <w:lang w:eastAsia="zh-CN"/>
              </w:rPr>
              <w:t>合理开发利用的基础工程，为确保</w:t>
            </w: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勘探工作的顺利进展，中国石油化工股份有限公司华北油气分公司采油一厂在甘肃省庆阳市</w:t>
            </w:r>
            <w:r>
              <w:rPr>
                <w:rFonts w:hint="default" w:ascii="Times New Roman" w:hAnsi="Times New Roman" w:eastAsia="宋体" w:cs="Times New Roman"/>
                <w:color w:val="auto"/>
                <w:spacing w:val="0"/>
                <w:w w:val="100"/>
                <w:sz w:val="24"/>
                <w:szCs w:val="24"/>
                <w:highlight w:val="none"/>
                <w:lang w:val="en-US" w:eastAsia="zh-CN"/>
              </w:rPr>
              <w:t>宁县早胜镇南庄村二组</w:t>
            </w:r>
            <w:r>
              <w:rPr>
                <w:rFonts w:hint="default" w:ascii="Times New Roman" w:hAnsi="Times New Roman" w:eastAsia="宋体" w:cs="Times New Roman"/>
                <w:color w:val="auto"/>
                <w:spacing w:val="0"/>
                <w:w w:val="100"/>
                <w:sz w:val="24"/>
                <w:szCs w:val="24"/>
                <w:highlight w:val="none"/>
                <w:lang w:eastAsia="zh-CN"/>
              </w:rPr>
              <w:t>建设</w:t>
            </w:r>
            <w:r>
              <w:rPr>
                <w:rFonts w:hint="default" w:ascii="Times New Roman" w:hAnsi="Times New Roman" w:eastAsia="宋体" w:cs="Times New Roman"/>
                <w:color w:val="auto"/>
                <w:spacing w:val="0"/>
                <w:w w:val="100"/>
                <w:sz w:val="24"/>
                <w:szCs w:val="24"/>
                <w:highlight w:val="none"/>
                <w:lang w:val="en-US" w:eastAsia="zh-CN"/>
              </w:rPr>
              <w:t>泾河3402H（良平2H）井场，</w:t>
            </w:r>
            <w:r>
              <w:rPr>
                <w:rFonts w:hint="default" w:ascii="Times New Roman" w:hAnsi="Times New Roman" w:eastAsia="宋体" w:cs="Times New Roman"/>
                <w:color w:val="auto"/>
                <w:spacing w:val="0"/>
                <w:w w:val="100"/>
                <w:sz w:val="24"/>
                <w:szCs w:val="24"/>
                <w:highlight w:val="none"/>
                <w:lang w:eastAsia="zh-CN"/>
              </w:rPr>
              <w:t>目的在于勘测</w:t>
            </w:r>
            <w:r>
              <w:rPr>
                <w:rFonts w:hint="default" w:ascii="Times New Roman" w:hAnsi="Times New Roman" w:eastAsia="宋体" w:cs="Times New Roman"/>
                <w:color w:val="auto"/>
                <w:spacing w:val="0"/>
                <w:w w:val="100"/>
                <w:sz w:val="24"/>
                <w:szCs w:val="24"/>
                <w:highlight w:val="none"/>
                <w:lang w:val="en-US" w:eastAsia="zh-CN"/>
              </w:rPr>
              <w:t>项目</w:t>
            </w:r>
            <w:r>
              <w:rPr>
                <w:rFonts w:hint="default" w:ascii="Times New Roman" w:hAnsi="Times New Roman" w:eastAsia="宋体" w:cs="Times New Roman"/>
                <w:color w:val="auto"/>
                <w:spacing w:val="0"/>
                <w:w w:val="100"/>
                <w:sz w:val="24"/>
                <w:szCs w:val="24"/>
                <w:highlight w:val="none"/>
                <w:lang w:eastAsia="zh-CN"/>
              </w:rPr>
              <w:t>地下资源储藏情</w:t>
            </w:r>
            <w:r>
              <w:rPr>
                <w:rFonts w:hint="default" w:ascii="Times New Roman" w:hAnsi="Times New Roman" w:eastAsia="宋体" w:cs="Times New Roman"/>
                <w:color w:val="auto"/>
                <w:spacing w:val="0"/>
                <w:w w:val="100"/>
                <w:sz w:val="24"/>
                <w:szCs w:val="24"/>
                <w:highlight w:val="none"/>
                <w:lang w:val="en-US" w:eastAsia="zh-CN"/>
              </w:rPr>
              <w:t>况，通过完井测试评价油藏情况，若测试具有工业产能，后期进行井场建设和采油生产；若勘探未见石油或石油不具有工业开采价值，则进行弃井作业并进行生态恢复。</w:t>
            </w:r>
          </w:p>
          <w:p w14:paraId="38602F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2023年5月，中国石油化工股份有限公司华北油气分公司采油一厂委托庆阳衡安环保工程有限公司编制完成了《泾河3402H预探井建设项目环境影响报告表》；</w:t>
            </w:r>
          </w:p>
          <w:p w14:paraId="1A5FAB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2023年5月23日，庆阳市生态环境局以庆环评表字〔2023〕119号对本项目的环境影响报告表做出批复。</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pacing w:val="0"/>
                <w:w w:val="100"/>
                <w:sz w:val="24"/>
                <w:szCs w:val="24"/>
                <w:highlight w:val="none"/>
                <w:lang w:val="en-US" w:eastAsia="zh-CN"/>
              </w:rPr>
            </w:pPr>
            <w:bookmarkStart w:id="1" w:name="OLE_LINK17"/>
            <w:r>
              <w:rPr>
                <w:rFonts w:hint="default"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6"/>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2"/>
              <w:gridCol w:w="1302"/>
              <w:gridCol w:w="1135"/>
              <w:gridCol w:w="1249"/>
              <w:gridCol w:w="1256"/>
            </w:tblGrid>
            <w:tr w14:paraId="226E6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7" w:type="pct"/>
                  <w:noWrap w:val="0"/>
                  <w:vAlign w:val="center"/>
                </w:tcPr>
                <w:p w14:paraId="13263F18">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井场</w:t>
                  </w:r>
                </w:p>
              </w:tc>
              <w:tc>
                <w:tcPr>
                  <w:tcW w:w="1049" w:type="pct"/>
                  <w:noWrap w:val="0"/>
                  <w:vAlign w:val="center"/>
                </w:tcPr>
                <w:p w14:paraId="17B64CA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开钻时间</w:t>
                  </w:r>
                </w:p>
              </w:tc>
              <w:tc>
                <w:tcPr>
                  <w:tcW w:w="914" w:type="pct"/>
                  <w:noWrap w:val="0"/>
                  <w:vAlign w:val="center"/>
                </w:tcPr>
                <w:p w14:paraId="7715A03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完钻时间</w:t>
                  </w:r>
                </w:p>
              </w:tc>
              <w:tc>
                <w:tcPr>
                  <w:tcW w:w="1249" w:type="dxa"/>
                  <w:noWrap w:val="0"/>
                  <w:vAlign w:val="center"/>
                </w:tcPr>
                <w:p w14:paraId="20A991F5">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试油开始时间</w:t>
                  </w:r>
                </w:p>
              </w:tc>
              <w:tc>
                <w:tcPr>
                  <w:tcW w:w="1256" w:type="dxa"/>
                  <w:noWrap w:val="0"/>
                  <w:vAlign w:val="center"/>
                </w:tcPr>
                <w:p w14:paraId="4FBA0ED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试油结束时间</w:t>
                  </w:r>
                </w:p>
              </w:tc>
            </w:tr>
            <w:tr w14:paraId="56013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7" w:type="pct"/>
                  <w:shd w:val="clear" w:color="auto" w:fill="auto"/>
                  <w:noWrap w:val="0"/>
                  <w:vAlign w:val="center"/>
                </w:tcPr>
                <w:p w14:paraId="308DAA4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泾河3402H（良平2H）</w:t>
                  </w:r>
                </w:p>
              </w:tc>
              <w:tc>
                <w:tcPr>
                  <w:tcW w:w="1049" w:type="pct"/>
                  <w:shd w:val="clear" w:color="auto" w:fill="auto"/>
                  <w:noWrap w:val="0"/>
                  <w:vAlign w:val="center"/>
                </w:tcPr>
                <w:p w14:paraId="583A482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2023-08-09</w:t>
                  </w:r>
                </w:p>
              </w:tc>
              <w:tc>
                <w:tcPr>
                  <w:tcW w:w="914" w:type="pct"/>
                  <w:shd w:val="clear" w:color="auto" w:fill="auto"/>
                  <w:noWrap w:val="0"/>
                  <w:vAlign w:val="center"/>
                </w:tcPr>
                <w:p w14:paraId="3AD4A07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2023-12-23</w:t>
                  </w:r>
                </w:p>
              </w:tc>
              <w:tc>
                <w:tcPr>
                  <w:tcW w:w="1006" w:type="pct"/>
                  <w:shd w:val="clear" w:color="auto" w:fill="auto"/>
                  <w:noWrap w:val="0"/>
                  <w:vAlign w:val="center"/>
                </w:tcPr>
                <w:p w14:paraId="64BC31B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2024-3-10</w:t>
                  </w:r>
                </w:p>
              </w:tc>
              <w:tc>
                <w:tcPr>
                  <w:tcW w:w="1012" w:type="pct"/>
                  <w:shd w:val="clear" w:color="auto" w:fill="auto"/>
                  <w:noWrap w:val="0"/>
                  <w:vAlign w:val="center"/>
                </w:tcPr>
                <w:p w14:paraId="457B6DB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2024-8-28</w:t>
                  </w:r>
                </w:p>
              </w:tc>
            </w:tr>
            <w:bookmarkEnd w:id="1"/>
          </w:tbl>
          <w:p w14:paraId="0061C4D4">
            <w:pPr>
              <w:pStyle w:val="3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2025年2月23日，中国石油化工股份有限公司华北油气分公司采油一厂委托甘肃卉昕朋环保科技有限公司对该项目进行竣工环境保护验收调查工作，根据现场踏勘情况，井场有经济利用价值，临时关井，待转产；井场现已恢复平整并进行了植被恢复。具备验收、调查条件。</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default" w:ascii="Times New Roman" w:hAnsi="Times New Roman" w:eastAsia="宋体" w:cs="Times New Roman"/>
                <w:color w:val="auto"/>
                <w:spacing w:val="0"/>
                <w:w w:val="100"/>
                <w:sz w:val="24"/>
                <w:szCs w:val="24"/>
                <w:highlight w:val="none"/>
                <w:lang w:val="en-US" w:eastAsia="zh-CN"/>
              </w:rPr>
              <w:t>2025年3月10日，甘肃卉昕朋环保科技有限公司</w:t>
            </w:r>
            <w:r>
              <w:rPr>
                <w:rFonts w:hint="default"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土壤环境进行了调查与监测。在此基础上</w:t>
            </w:r>
            <w:r>
              <w:rPr>
                <w:rFonts w:hint="default" w:ascii="Times New Roman" w:hAnsi="Times New Roman" w:eastAsia="宋体" w:cs="Times New Roman"/>
                <w:color w:val="auto"/>
                <w:spacing w:val="0"/>
                <w:w w:val="100"/>
                <w:sz w:val="24"/>
                <w:szCs w:val="24"/>
                <w:highlight w:val="none"/>
                <w:lang w:val="en-US" w:eastAsia="zh-CN"/>
              </w:rPr>
              <w:t>，编写完成了《</w:t>
            </w:r>
            <w:r>
              <w:rPr>
                <w:rFonts w:hint="default" w:ascii="Times New Roman" w:hAnsi="Times New Roman" w:eastAsia="宋体" w:cs="Times New Roman"/>
                <w:color w:val="auto"/>
                <w:spacing w:val="0"/>
                <w:w w:val="100"/>
                <w:sz w:val="24"/>
                <w:szCs w:val="24"/>
                <w:highlight w:val="none"/>
                <w:lang w:eastAsia="zh-CN"/>
              </w:rPr>
              <w:t>泾河3402H预探井建设项目竣工环境保护验收调查表</w:t>
            </w:r>
            <w:r>
              <w:rPr>
                <w:rFonts w:hint="default" w:ascii="Times New Roman" w:hAnsi="Times New Roman" w:eastAsia="宋体" w:cs="Times New Roman"/>
                <w:color w:val="auto"/>
                <w:spacing w:val="0"/>
                <w:w w:val="100"/>
                <w:sz w:val="24"/>
                <w:szCs w:val="24"/>
                <w:highlight w:val="none"/>
                <w:lang w:val="en-US" w:eastAsia="zh-CN"/>
              </w:rPr>
              <w:t>》。</w:t>
            </w:r>
          </w:p>
        </w:tc>
      </w:tr>
      <w:tr w14:paraId="0476D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20" w:type="pct"/>
            <w:shd w:val="clear" w:color="auto" w:fill="auto"/>
            <w:noWrap w:val="0"/>
            <w:vAlign w:val="center"/>
          </w:tcPr>
          <w:p w14:paraId="53FC146C">
            <w:pPr>
              <w:pStyle w:val="3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pacing w:val="0"/>
                <w:w w:val="100"/>
                <w:kern w:val="0"/>
                <w:sz w:val="24"/>
                <w:szCs w:val="21"/>
                <w:highlight w:val="none"/>
                <w:lang w:val="en-US" w:eastAsia="zh-CN" w:bidi="ar-SA"/>
              </w:rPr>
            </w:pPr>
            <w:r>
              <w:rPr>
                <w:rFonts w:hint="default" w:ascii="Times New Roman" w:hAnsi="Times New Roman" w:cs="Times New Roman"/>
                <w:b/>
                <w:bCs/>
                <w:color w:val="auto"/>
                <w:spacing w:val="0"/>
                <w:w w:val="100"/>
                <w:kern w:val="0"/>
                <w:sz w:val="24"/>
                <w:highlight w:val="none"/>
                <w:lang w:val="en-US" w:eastAsia="zh-CN"/>
              </w:rPr>
              <w:t>调查依据</w:t>
            </w:r>
          </w:p>
        </w:tc>
        <w:tc>
          <w:tcPr>
            <w:tcW w:w="3779" w:type="pct"/>
            <w:gridSpan w:val="12"/>
            <w:shd w:val="clear" w:color="auto" w:fill="auto"/>
            <w:noWrap w:val="0"/>
            <w:vAlign w:val="center"/>
          </w:tcPr>
          <w:p w14:paraId="5A0D7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（1）《中华人民共和国环境保护法》，2015年1月1日； </w:t>
            </w:r>
          </w:p>
          <w:p w14:paraId="382EF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（2）《中华人民共和国环境影响评价法》，2018年12月29日； </w:t>
            </w:r>
          </w:p>
          <w:p w14:paraId="6562CA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（3）《中华人民共和国大气污染防治法》，2018年10月26日； </w:t>
            </w:r>
          </w:p>
          <w:p w14:paraId="0D22F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（4）《中华人民共和国水污染防治法》，2018年1月1日； </w:t>
            </w:r>
          </w:p>
          <w:p w14:paraId="6626C1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（5）《中华人民共和国噪声污染防治法》，2022年6月5日； </w:t>
            </w:r>
          </w:p>
          <w:p w14:paraId="3A3A72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（6）《中华人民共和国固体废物污染环境防治法》，2020年9 月1日； </w:t>
            </w:r>
          </w:p>
          <w:p w14:paraId="2871BD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（7）《中华人民共和国土壤污染防治法》，2019年1月1日； </w:t>
            </w:r>
          </w:p>
          <w:p w14:paraId="14F37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（8）《建设项目竣工环境保护验收暂行办法》，国环规环评〔2017〕4号， 2017年 11月22日； </w:t>
            </w:r>
          </w:p>
          <w:p w14:paraId="392FC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（9）《建设项目竣工环境保护验收技术规范-生态影响类》（HJ/T 394-2007）； </w:t>
            </w:r>
          </w:p>
          <w:p w14:paraId="3597F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（10）《建设项目竣工环境保护验收技术规范-石油天然气开采》 </w:t>
            </w:r>
          </w:p>
          <w:p w14:paraId="1E6E3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HJ612-2011； </w:t>
            </w:r>
          </w:p>
          <w:p w14:paraId="23D82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（11）《关于印发环评管理中部分行业建设项目重大变动清单的通知》环境保护部办公厅文件（环办〔2015〕52 号）； </w:t>
            </w:r>
          </w:p>
          <w:p w14:paraId="10912F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（12）《生态环境部办公厅关于印发〈污染影响类建设项目重大变动清单（试行）〉的通知》环办环评函〔2020〕688 号； </w:t>
            </w:r>
          </w:p>
          <w:p w14:paraId="3E76F2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（13）《关于进一步加强石油天然气行业环境影响评价管理的通知》（环办环评函〔2019〕910号）；</w:t>
            </w:r>
          </w:p>
          <w:p w14:paraId="76CFFE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（14）《泾河3402H预探井建设项目环境影响报告表》（庆阳衡安环保工程有限公司，2023年5月）；</w:t>
            </w:r>
          </w:p>
          <w:p w14:paraId="52ED870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（15）《关于&lt;泾河3402H预探井建设项目环境影响报告表&gt;的审批意见》（</w:t>
            </w:r>
            <w:r>
              <w:rPr>
                <w:rFonts w:hint="default" w:ascii="Times New Roman" w:hAnsi="Times New Roman" w:eastAsia="宋体" w:cs="Times New Roman"/>
                <w:color w:val="auto"/>
                <w:spacing w:val="0"/>
                <w:w w:val="100"/>
                <w:kern w:val="0"/>
                <w:sz w:val="24"/>
                <w:szCs w:val="24"/>
                <w:highlight w:val="none"/>
                <w:lang w:val="en-US" w:eastAsia="zh-CN"/>
              </w:rPr>
              <w:t>庆环评表字〔2023〕119号</w:t>
            </w:r>
            <w:r>
              <w:rPr>
                <w:rFonts w:hint="default" w:ascii="Times New Roman" w:hAnsi="Times New Roman" w:eastAsia="宋体" w:cs="Times New Roman"/>
                <w:color w:val="auto"/>
                <w:spacing w:val="0"/>
                <w:w w:val="100"/>
                <w:sz w:val="24"/>
                <w:szCs w:val="24"/>
                <w:highlight w:val="none"/>
                <w:lang w:val="en-US" w:eastAsia="zh-CN"/>
              </w:rPr>
              <w:t>）（庆阳市生态环境局，2023年5月23日）。</w:t>
            </w:r>
          </w:p>
          <w:p w14:paraId="08A7F49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490B497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670159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rightChars="0" w:firstLine="0" w:firstLineChars="0"/>
              <w:jc w:val="left"/>
              <w:textAlignment w:val="auto"/>
              <w:rPr>
                <w:rFonts w:hint="default" w:ascii="Times New Roman" w:hAnsi="Times New Roman" w:eastAsia="宋体" w:cs="Times New Roman"/>
                <w:color w:val="auto"/>
                <w:spacing w:val="0"/>
                <w:w w:val="100"/>
                <w:sz w:val="21"/>
                <w:szCs w:val="21"/>
                <w:highlight w:val="none"/>
                <w:lang w:val="en-US" w:eastAsia="zh-CN" w:bidi="ar-SA"/>
              </w:rPr>
            </w:pPr>
          </w:p>
        </w:tc>
      </w:tr>
    </w:tbl>
    <w:p w14:paraId="41EADDF8">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2" w:name="_Toc20993"/>
      <w:r>
        <w:rPr>
          <w:rFonts w:hint="default" w:ascii="Times New Roman" w:hAnsi="Times New Roman" w:eastAsia="宋体" w:cs="Times New Roman"/>
          <w:b/>
          <w:color w:val="auto"/>
          <w:kern w:val="2"/>
          <w:sz w:val="32"/>
          <w:szCs w:val="24"/>
          <w:lang w:val="en-US" w:eastAsia="zh-CN"/>
        </w:rPr>
        <w:t>2.调查范围、因子、目标、重点</w:t>
      </w:r>
      <w:bookmarkEnd w:id="2"/>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auto"/>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default"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6"/>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5"/>
              <w:gridCol w:w="1673"/>
              <w:gridCol w:w="2098"/>
              <w:gridCol w:w="2543"/>
            </w:tblGrid>
            <w:tr w14:paraId="2937F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071"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44"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629" w:type="pct"/>
                  <w:tcBorders>
                    <w:tl2br w:val="nil"/>
                    <w:tr2bl w:val="nil"/>
                  </w:tcBorders>
                  <w:noWrap w:val="0"/>
                  <w:vAlign w:val="center"/>
                </w:tcPr>
                <w:p w14:paraId="150CD1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是否一致</w:t>
                  </w:r>
                </w:p>
              </w:tc>
            </w:tr>
            <w:tr w14:paraId="1E6F88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071"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井场及道路300m范围区域</w:t>
                  </w:r>
                </w:p>
              </w:tc>
              <w:tc>
                <w:tcPr>
                  <w:tcW w:w="1344" w:type="pct"/>
                  <w:tcBorders>
                    <w:tl2br w:val="nil"/>
                    <w:tr2bl w:val="nil"/>
                  </w:tcBorders>
                  <w:shd w:val="clear" w:color="auto" w:fill="auto"/>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井场及道路300m范围区域</w:t>
                  </w:r>
                </w:p>
              </w:tc>
              <w:tc>
                <w:tcPr>
                  <w:tcW w:w="1629" w:type="pct"/>
                  <w:tcBorders>
                    <w:tl2br w:val="nil"/>
                    <w:tr2bl w:val="nil"/>
                  </w:tcBorders>
                  <w:shd w:val="clear" w:color="auto" w:fill="auto"/>
                  <w:noWrap w:val="0"/>
                  <w:vAlign w:val="center"/>
                </w:tcPr>
                <w:p w14:paraId="265B7B3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4C60B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071"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eastAsia="zh-CN"/>
                    </w:rPr>
                    <w:t>00m范围</w:t>
                  </w:r>
                </w:p>
              </w:tc>
              <w:tc>
                <w:tcPr>
                  <w:tcW w:w="1344" w:type="pct"/>
                  <w:tcBorders>
                    <w:tl2br w:val="nil"/>
                    <w:tr2bl w:val="nil"/>
                  </w:tcBorders>
                  <w:shd w:val="clear" w:color="auto" w:fill="auto"/>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eastAsia="zh-CN"/>
                    </w:rPr>
                    <w:t>00m范围</w:t>
                  </w:r>
                </w:p>
              </w:tc>
              <w:tc>
                <w:tcPr>
                  <w:tcW w:w="1629" w:type="pct"/>
                  <w:tcBorders>
                    <w:tl2br w:val="nil"/>
                    <w:tr2bl w:val="nil"/>
                  </w:tcBorders>
                  <w:shd w:val="clear" w:color="auto" w:fill="auto"/>
                  <w:noWrap w:val="0"/>
                  <w:vAlign w:val="center"/>
                </w:tcPr>
                <w:p w14:paraId="26A051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18E106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071"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44" w:type="pct"/>
                  <w:tcBorders>
                    <w:tl2br w:val="nil"/>
                    <w:tr2bl w:val="nil"/>
                  </w:tcBorders>
                  <w:shd w:val="clear" w:color="auto" w:fill="auto"/>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629" w:type="pct"/>
                  <w:tcBorders>
                    <w:tl2br w:val="nil"/>
                    <w:tr2bl w:val="nil"/>
                  </w:tcBorders>
                  <w:shd w:val="clear" w:color="auto" w:fill="auto"/>
                  <w:noWrap w:val="0"/>
                  <w:vAlign w:val="center"/>
                </w:tcPr>
                <w:p w14:paraId="12A84A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43A1F9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071"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default" w:ascii="Times New Roman" w:hAnsi="Times New Roman" w:eastAsia="宋体" w:cs="Times New Roman"/>
                      <w:color w:val="auto"/>
                      <w:spacing w:val="0"/>
                      <w:w w:val="100"/>
                      <w:sz w:val="21"/>
                      <w:szCs w:val="21"/>
                      <w:highlight w:val="none"/>
                      <w:lang w:val="en-US" w:eastAsia="zh-CN"/>
                    </w:rPr>
                    <w:t>50</w:t>
                  </w:r>
                  <w:r>
                    <w:rPr>
                      <w:rFonts w:hint="default" w:ascii="Times New Roman" w:hAnsi="Times New Roman" w:eastAsia="宋体" w:cs="Times New Roman"/>
                      <w:color w:val="auto"/>
                      <w:spacing w:val="0"/>
                      <w:w w:val="100"/>
                      <w:sz w:val="21"/>
                      <w:szCs w:val="21"/>
                      <w:highlight w:val="none"/>
                      <w:lang w:eastAsia="zh-CN"/>
                    </w:rPr>
                    <w:t>m范围</w:t>
                  </w:r>
                </w:p>
              </w:tc>
              <w:tc>
                <w:tcPr>
                  <w:tcW w:w="1344" w:type="pct"/>
                  <w:tcBorders>
                    <w:tl2br w:val="nil"/>
                    <w:tr2bl w:val="nil"/>
                  </w:tcBorders>
                  <w:shd w:val="clear" w:color="auto" w:fill="auto"/>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井场周边</w:t>
                  </w:r>
                  <w:r>
                    <w:rPr>
                      <w:rFonts w:hint="default" w:ascii="Times New Roman" w:hAnsi="Times New Roman" w:eastAsia="宋体" w:cs="Times New Roman"/>
                      <w:color w:val="auto"/>
                      <w:spacing w:val="0"/>
                      <w:w w:val="100"/>
                      <w:sz w:val="21"/>
                      <w:szCs w:val="21"/>
                      <w:highlight w:val="none"/>
                      <w:lang w:val="en-US" w:eastAsia="zh-CN"/>
                    </w:rPr>
                    <w:t>50</w:t>
                  </w:r>
                  <w:r>
                    <w:rPr>
                      <w:rFonts w:hint="default" w:ascii="Times New Roman" w:hAnsi="Times New Roman" w:eastAsia="宋体" w:cs="Times New Roman"/>
                      <w:color w:val="auto"/>
                      <w:spacing w:val="0"/>
                      <w:w w:val="100"/>
                      <w:sz w:val="21"/>
                      <w:szCs w:val="21"/>
                      <w:highlight w:val="none"/>
                      <w:lang w:eastAsia="zh-CN"/>
                    </w:rPr>
                    <w:t>m范围</w:t>
                  </w:r>
                </w:p>
              </w:tc>
              <w:tc>
                <w:tcPr>
                  <w:tcW w:w="1629" w:type="pct"/>
                  <w:tcBorders>
                    <w:tl2br w:val="nil"/>
                    <w:tr2bl w:val="nil"/>
                  </w:tcBorders>
                  <w:shd w:val="clear" w:color="auto" w:fill="auto"/>
                  <w:noWrap w:val="0"/>
                  <w:vAlign w:val="center"/>
                </w:tcPr>
                <w:p w14:paraId="7CD0F7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51776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1673" w:type="dxa"/>
                  <w:tcBorders>
                    <w:tl2br w:val="nil"/>
                    <w:tr2bl w:val="nil"/>
                  </w:tcBorders>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2098" w:type="dxa"/>
                  <w:tcBorders>
                    <w:tl2br w:val="nil"/>
                    <w:tr2bl w:val="nil"/>
                  </w:tcBorders>
                  <w:shd w:val="clear" w:color="auto" w:fill="auto"/>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629" w:type="pct"/>
                  <w:tcBorders>
                    <w:tl2br w:val="nil"/>
                    <w:tr2bl w:val="nil"/>
                  </w:tcBorders>
                  <w:shd w:val="clear" w:color="auto" w:fill="auto"/>
                  <w:noWrap w:val="0"/>
                  <w:vAlign w:val="center"/>
                </w:tcPr>
                <w:p w14:paraId="1FE769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678BA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071"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44" w:type="pct"/>
                  <w:tcBorders>
                    <w:tl2br w:val="nil"/>
                    <w:tr2bl w:val="nil"/>
                  </w:tcBorders>
                  <w:shd w:val="clear" w:color="auto" w:fill="auto"/>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629" w:type="pct"/>
                  <w:tcBorders>
                    <w:tl2br w:val="nil"/>
                    <w:tr2bl w:val="nil"/>
                  </w:tcBorders>
                  <w:shd w:val="clear" w:color="auto" w:fill="auto"/>
                  <w:noWrap w:val="0"/>
                  <w:vAlign w:val="center"/>
                </w:tcPr>
                <w:p w14:paraId="61CFE92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bl>
          <w:p w14:paraId="5BE373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6"/>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调查内容/因子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shd w:val="clear" w:color="auto" w:fill="auto"/>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shd w:val="clear" w:color="auto" w:fill="auto"/>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bl>
          <w:p w14:paraId="6FA9D40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本</w:t>
            </w:r>
            <w:r>
              <w:rPr>
                <w:rFonts w:hint="default" w:ascii="Times New Roman" w:hAnsi="Times New Roman" w:eastAsia="宋体" w:cs="Times New Roman"/>
                <w:color w:val="auto"/>
                <w:spacing w:val="0"/>
                <w:w w:val="100"/>
                <w:sz w:val="24"/>
                <w:szCs w:val="24"/>
                <w:highlight w:val="none"/>
              </w:rPr>
              <w:t>次验收调查以环境影响评价文件</w:t>
            </w:r>
            <w:r>
              <w:rPr>
                <w:rFonts w:hint="default" w:ascii="Times New Roman" w:hAnsi="Times New Roman" w:eastAsia="宋体" w:cs="Times New Roman"/>
                <w:color w:val="auto"/>
                <w:spacing w:val="0"/>
                <w:w w:val="100"/>
                <w:sz w:val="24"/>
                <w:szCs w:val="24"/>
                <w:highlight w:val="none"/>
                <w:lang w:val="en-US" w:eastAsia="zh-CN"/>
              </w:rPr>
              <w:t>及批复文件</w:t>
            </w:r>
            <w:r>
              <w:rPr>
                <w:rFonts w:hint="default" w:ascii="Times New Roman" w:hAnsi="Times New Roman" w:eastAsia="宋体" w:cs="Times New Roman"/>
                <w:color w:val="auto"/>
                <w:spacing w:val="0"/>
                <w:w w:val="100"/>
                <w:sz w:val="24"/>
                <w:szCs w:val="24"/>
                <w:highlight w:val="none"/>
              </w:rPr>
              <w:t>为基础</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通过资料收集及实地调查</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工程</w:t>
            </w:r>
            <w:r>
              <w:rPr>
                <w:rFonts w:hint="default" w:ascii="Times New Roman" w:hAnsi="Times New Roman" w:eastAsia="宋体" w:cs="Times New Roman"/>
                <w:color w:val="auto"/>
                <w:spacing w:val="0"/>
                <w:w w:val="100"/>
                <w:sz w:val="24"/>
                <w:szCs w:val="24"/>
                <w:highlight w:val="none"/>
                <w:lang w:val="en-US" w:eastAsia="zh-CN"/>
              </w:rPr>
              <w:t>调查</w:t>
            </w:r>
            <w:r>
              <w:rPr>
                <w:rFonts w:hint="default" w:ascii="Times New Roman" w:hAnsi="Times New Roman" w:eastAsia="宋体" w:cs="Times New Roman"/>
                <w:color w:val="auto"/>
                <w:spacing w:val="0"/>
                <w:w w:val="100"/>
                <w:sz w:val="24"/>
                <w:szCs w:val="24"/>
                <w:highlight w:val="none"/>
              </w:rPr>
              <w:t>范围内无自然保护区、</w:t>
            </w:r>
            <w:r>
              <w:rPr>
                <w:rFonts w:hint="default" w:ascii="Times New Roman" w:hAnsi="Times New Roman" w:eastAsia="宋体" w:cs="Times New Roman"/>
                <w:color w:val="auto"/>
                <w:spacing w:val="0"/>
                <w:w w:val="100"/>
                <w:sz w:val="24"/>
                <w:szCs w:val="24"/>
                <w:highlight w:val="none"/>
                <w:lang w:val="en-US" w:eastAsia="zh-CN"/>
              </w:rPr>
              <w:t>水源保护区、</w:t>
            </w:r>
            <w:r>
              <w:rPr>
                <w:rFonts w:hint="default" w:ascii="Times New Roman" w:hAnsi="Times New Roman" w:eastAsia="宋体" w:cs="Times New Roman"/>
                <w:color w:val="auto"/>
                <w:spacing w:val="0"/>
                <w:w w:val="100"/>
                <w:sz w:val="24"/>
                <w:szCs w:val="24"/>
                <w:highlight w:val="none"/>
              </w:rPr>
              <w:t>风景名胜区、文物古迹等需要特殊保护的环境敏感对象</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不会因本项目的实施而改变区域环境现有功能。本次工作对环评阶段识别的环境敏感目标进行了校核</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经调查</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项目验收阶段环境敏感目标与环评阶段</w:t>
            </w:r>
            <w:r>
              <w:rPr>
                <w:rFonts w:hint="default" w:ascii="Times New Roman" w:hAnsi="Times New Roman" w:eastAsia="宋体" w:cs="Times New Roman"/>
                <w:color w:val="auto"/>
                <w:spacing w:val="0"/>
                <w:w w:val="100"/>
                <w:sz w:val="24"/>
                <w:szCs w:val="24"/>
                <w:highlight w:val="none"/>
                <w:lang w:val="en-US" w:eastAsia="zh-CN"/>
              </w:rPr>
              <w:t>保持</w:t>
            </w:r>
            <w:r>
              <w:rPr>
                <w:rFonts w:hint="default" w:ascii="Times New Roman" w:hAnsi="Times New Roman" w:eastAsia="宋体" w:cs="Times New Roman"/>
                <w:color w:val="auto"/>
                <w:spacing w:val="0"/>
                <w:w w:val="100"/>
                <w:sz w:val="24"/>
                <w:szCs w:val="24"/>
                <w:highlight w:val="none"/>
              </w:rPr>
              <w:t>一致</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泾河3402H（良平2H）</w:t>
            </w:r>
            <w:r>
              <w:rPr>
                <w:rFonts w:hint="default" w:ascii="Times New Roman" w:hAnsi="Times New Roman" w:eastAsia="宋体" w:cs="Times New Roman"/>
                <w:color w:val="auto"/>
                <w:spacing w:val="0"/>
                <w:w w:val="100"/>
                <w:sz w:val="24"/>
                <w:szCs w:val="24"/>
                <w:highlight w:val="none"/>
              </w:rPr>
              <w:t>井场</w:t>
            </w:r>
            <w:r>
              <w:rPr>
                <w:rFonts w:hint="default" w:ascii="Times New Roman" w:hAnsi="Times New Roman" w:eastAsia="宋体" w:cs="Times New Roman"/>
                <w:color w:val="auto"/>
                <w:spacing w:val="0"/>
                <w:w w:val="100"/>
                <w:sz w:val="24"/>
                <w:szCs w:val="24"/>
                <w:highlight w:val="none"/>
                <w:lang w:val="en-US" w:eastAsia="zh-CN"/>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6"/>
              <w:tblW w:w="4996"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09"/>
              <w:gridCol w:w="815"/>
              <w:gridCol w:w="888"/>
              <w:gridCol w:w="1089"/>
              <w:gridCol w:w="740"/>
              <w:gridCol w:w="706"/>
              <w:gridCol w:w="1117"/>
              <w:gridCol w:w="1044"/>
            </w:tblGrid>
            <w:tr w14:paraId="09DC4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13" w:hRule="atLeast"/>
              </w:trPr>
              <w:tc>
                <w:tcPr>
                  <w:tcW w:w="4330" w:type="pct"/>
                  <w:gridSpan w:val="8"/>
                  <w:tcBorders>
                    <w:tl2br w:val="nil"/>
                    <w:tr2bl w:val="nil"/>
                  </w:tcBorders>
                  <w:noWrap w:val="0"/>
                  <w:vAlign w:val="center"/>
                </w:tcPr>
                <w:p w14:paraId="16048E3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环评阶段</w:t>
                  </w:r>
                </w:p>
              </w:tc>
              <w:tc>
                <w:tcPr>
                  <w:tcW w:w="669" w:type="pct"/>
                  <w:vMerge w:val="restart"/>
                  <w:tcBorders>
                    <w:tl2br w:val="nil"/>
                    <w:tr2bl w:val="nil"/>
                  </w:tcBorders>
                  <w:noWrap w:val="0"/>
                  <w:vAlign w:val="center"/>
                </w:tcPr>
                <w:p w14:paraId="2CCA70E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实际建设阶段</w:t>
                  </w:r>
                </w:p>
              </w:tc>
            </w:tr>
            <w:tr w14:paraId="49711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44" w:type="pct"/>
                  <w:vMerge w:val="restart"/>
                  <w:tcBorders>
                    <w:tl2br w:val="nil"/>
                    <w:tr2bl w:val="nil"/>
                  </w:tcBorders>
                  <w:noWrap w:val="0"/>
                  <w:vAlign w:val="center"/>
                </w:tcPr>
                <w:p w14:paraId="7BF0AD2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名称</w:t>
                  </w:r>
                </w:p>
              </w:tc>
              <w:tc>
                <w:tcPr>
                  <w:tcW w:w="976" w:type="pct"/>
                  <w:gridSpan w:val="2"/>
                  <w:tcBorders>
                    <w:tl2br w:val="nil"/>
                    <w:tr2bl w:val="nil"/>
                  </w:tcBorders>
                  <w:noWrap w:val="0"/>
                  <w:vAlign w:val="center"/>
                </w:tcPr>
                <w:p w14:paraId="5B63C4A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坐标/m</w:t>
                  </w:r>
                </w:p>
              </w:tc>
              <w:tc>
                <w:tcPr>
                  <w:tcW w:w="569" w:type="pct"/>
                  <w:vMerge w:val="restart"/>
                  <w:tcBorders>
                    <w:tl2br w:val="nil"/>
                    <w:tr2bl w:val="nil"/>
                  </w:tcBorders>
                  <w:noWrap w:val="0"/>
                  <w:vAlign w:val="center"/>
                </w:tcPr>
                <w:p w14:paraId="25DAA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保护对象</w:t>
                  </w:r>
                </w:p>
              </w:tc>
              <w:tc>
                <w:tcPr>
                  <w:tcW w:w="697" w:type="pct"/>
                  <w:vMerge w:val="restart"/>
                  <w:tcBorders>
                    <w:tl2br w:val="nil"/>
                    <w:tr2bl w:val="nil"/>
                  </w:tcBorders>
                  <w:noWrap w:val="0"/>
                  <w:vAlign w:val="center"/>
                </w:tcPr>
                <w:p w14:paraId="63FBE21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保护</w:t>
                  </w:r>
                </w:p>
                <w:p w14:paraId="78F1A73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内容</w:t>
                  </w:r>
                </w:p>
              </w:tc>
              <w:tc>
                <w:tcPr>
                  <w:tcW w:w="474" w:type="pct"/>
                  <w:vMerge w:val="restart"/>
                  <w:tcBorders>
                    <w:tl2br w:val="nil"/>
                    <w:tr2bl w:val="nil"/>
                  </w:tcBorders>
                  <w:noWrap w:val="0"/>
                  <w:vAlign w:val="center"/>
                </w:tcPr>
                <w:p w14:paraId="2A098A4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环境功能区</w:t>
                  </w:r>
                </w:p>
              </w:tc>
              <w:tc>
                <w:tcPr>
                  <w:tcW w:w="452" w:type="pct"/>
                  <w:vMerge w:val="restart"/>
                  <w:tcBorders>
                    <w:tl2br w:val="nil"/>
                    <w:tr2bl w:val="nil"/>
                  </w:tcBorders>
                  <w:noWrap w:val="0"/>
                  <w:vAlign w:val="center"/>
                </w:tcPr>
                <w:p w14:paraId="3E822B0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相对厂址方位</w:t>
                  </w:r>
                </w:p>
              </w:tc>
              <w:tc>
                <w:tcPr>
                  <w:tcW w:w="715" w:type="pct"/>
                  <w:vMerge w:val="restart"/>
                  <w:tcBorders>
                    <w:tl2br w:val="nil"/>
                    <w:tr2bl w:val="nil"/>
                  </w:tcBorders>
                  <w:noWrap w:val="0"/>
                  <w:vAlign w:val="center"/>
                </w:tcPr>
                <w:p w14:paraId="16096E0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相对厂界最近距离（m）</w:t>
                  </w:r>
                </w:p>
              </w:tc>
              <w:tc>
                <w:tcPr>
                  <w:tcW w:w="669" w:type="pct"/>
                  <w:vMerge w:val="continue"/>
                  <w:tcBorders>
                    <w:tl2br w:val="nil"/>
                    <w:tr2bl w:val="nil"/>
                  </w:tcBorders>
                  <w:noWrap w:val="0"/>
                  <w:vAlign w:val="center"/>
                </w:tcPr>
                <w:p w14:paraId="602645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3EF97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4" w:type="pct"/>
                  <w:vMerge w:val="continue"/>
                  <w:tcBorders>
                    <w:tl2br w:val="nil"/>
                    <w:tr2bl w:val="nil"/>
                  </w:tcBorders>
                  <w:noWrap w:val="0"/>
                  <w:vAlign w:val="center"/>
                </w:tcPr>
                <w:p w14:paraId="4984E7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noWrap w:val="0"/>
                  <w:vAlign w:val="center"/>
                </w:tcPr>
                <w:p w14:paraId="3D8DFEA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 w:val="0"/>
                      <w:bCs w:val="0"/>
                      <w:color w:val="auto"/>
                      <w:spacing w:val="0"/>
                      <w:sz w:val="21"/>
                      <w:szCs w:val="21"/>
                      <w:highlight w:val="none"/>
                      <w:lang w:val="en-US" w:eastAsia="zh-CN"/>
                    </w:rPr>
                    <w:t>E</w:t>
                  </w:r>
                </w:p>
              </w:tc>
              <w:tc>
                <w:tcPr>
                  <w:tcW w:w="522" w:type="pct"/>
                  <w:tcBorders>
                    <w:tl2br w:val="nil"/>
                    <w:tr2bl w:val="nil"/>
                  </w:tcBorders>
                  <w:noWrap w:val="0"/>
                  <w:vAlign w:val="center"/>
                </w:tcPr>
                <w:p w14:paraId="30D46A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 w:val="0"/>
                      <w:bCs w:val="0"/>
                      <w:color w:val="auto"/>
                      <w:spacing w:val="0"/>
                      <w:sz w:val="21"/>
                      <w:szCs w:val="21"/>
                      <w:highlight w:val="none"/>
                      <w:lang w:val="en-US" w:eastAsia="zh-CN"/>
                    </w:rPr>
                    <w:t>N</w:t>
                  </w:r>
                </w:p>
              </w:tc>
              <w:tc>
                <w:tcPr>
                  <w:tcW w:w="569" w:type="pct"/>
                  <w:vMerge w:val="continue"/>
                  <w:tcBorders>
                    <w:tl2br w:val="nil"/>
                    <w:tr2bl w:val="nil"/>
                  </w:tcBorders>
                  <w:noWrap w:val="0"/>
                  <w:vAlign w:val="center"/>
                </w:tcPr>
                <w:p w14:paraId="4ADF3B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697" w:type="pct"/>
                  <w:vMerge w:val="continue"/>
                  <w:tcBorders>
                    <w:tl2br w:val="nil"/>
                    <w:tr2bl w:val="nil"/>
                  </w:tcBorders>
                  <w:noWrap w:val="0"/>
                  <w:vAlign w:val="center"/>
                </w:tcPr>
                <w:p w14:paraId="6849921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44F2C7C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vMerge w:val="continue"/>
                  <w:tcBorders>
                    <w:tl2br w:val="nil"/>
                    <w:tr2bl w:val="nil"/>
                  </w:tcBorders>
                  <w:noWrap w:val="0"/>
                  <w:vAlign w:val="center"/>
                </w:tcPr>
                <w:p w14:paraId="607BEE1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715" w:type="pct"/>
                  <w:vMerge w:val="continue"/>
                  <w:tcBorders>
                    <w:tl2br w:val="nil"/>
                    <w:tr2bl w:val="nil"/>
                  </w:tcBorders>
                  <w:noWrap w:val="0"/>
                  <w:vAlign w:val="center"/>
                </w:tcPr>
                <w:p w14:paraId="03ED32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669" w:type="pct"/>
                  <w:vMerge w:val="continue"/>
                  <w:tcBorders>
                    <w:tl2br w:val="nil"/>
                    <w:tr2bl w:val="nil"/>
                  </w:tcBorders>
                  <w:noWrap w:val="0"/>
                  <w:vAlign w:val="center"/>
                </w:tcPr>
                <w:p w14:paraId="441F158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370039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restart"/>
                  <w:tcBorders>
                    <w:tl2br w:val="nil"/>
                    <w:tr2bl w:val="nil"/>
                  </w:tcBorders>
                  <w:noWrap w:val="0"/>
                  <w:vAlign w:val="center"/>
                </w:tcPr>
                <w:p w14:paraId="48E85BB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大气</w:t>
                  </w:r>
                </w:p>
                <w:p w14:paraId="0837FD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w:t>
                  </w:r>
                </w:p>
              </w:tc>
              <w:tc>
                <w:tcPr>
                  <w:tcW w:w="454" w:type="pct"/>
                  <w:tcBorders>
                    <w:tl2br w:val="nil"/>
                    <w:tr2bl w:val="nil"/>
                  </w:tcBorders>
                  <w:shd w:val="clear" w:color="auto" w:fill="auto"/>
                  <w:noWrap w:val="0"/>
                  <w:vAlign w:val="center"/>
                </w:tcPr>
                <w:p w14:paraId="5D1DE11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107.935799010</w:t>
                  </w:r>
                </w:p>
              </w:tc>
              <w:tc>
                <w:tcPr>
                  <w:tcW w:w="522" w:type="pct"/>
                  <w:tcBorders>
                    <w:tl2br w:val="nil"/>
                    <w:tr2bl w:val="nil"/>
                  </w:tcBorders>
                  <w:shd w:val="clear" w:color="auto" w:fill="auto"/>
                  <w:noWrap w:val="0"/>
                  <w:vAlign w:val="center"/>
                </w:tcPr>
                <w:p w14:paraId="6E08F3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35.415968050</w:t>
                  </w:r>
                </w:p>
              </w:tc>
              <w:tc>
                <w:tcPr>
                  <w:tcW w:w="569" w:type="pct"/>
                  <w:tcBorders>
                    <w:tl2br w:val="nil"/>
                    <w:tr2bl w:val="nil"/>
                  </w:tcBorders>
                  <w:shd w:val="clear" w:color="auto" w:fill="auto"/>
                  <w:noWrap w:val="0"/>
                  <w:vAlign w:val="center"/>
                </w:tcPr>
                <w:p w14:paraId="67EC128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1户农户/4人</w:t>
                  </w:r>
                </w:p>
              </w:tc>
              <w:tc>
                <w:tcPr>
                  <w:tcW w:w="697" w:type="pct"/>
                  <w:vMerge w:val="restart"/>
                  <w:tcBorders>
                    <w:tl2br w:val="nil"/>
                    <w:tr2bl w:val="nil"/>
                  </w:tcBorders>
                  <w:noWrap w:val="0"/>
                  <w:vAlign w:val="center"/>
                </w:tcPr>
                <w:p w14:paraId="21E26EB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大气环境质量</w:t>
                  </w:r>
                </w:p>
              </w:tc>
              <w:tc>
                <w:tcPr>
                  <w:tcW w:w="474" w:type="pct"/>
                  <w:vMerge w:val="restart"/>
                  <w:tcBorders>
                    <w:tl2br w:val="nil"/>
                    <w:tr2bl w:val="nil"/>
                  </w:tcBorders>
                  <w:noWrap w:val="0"/>
                  <w:vAlign w:val="center"/>
                </w:tcPr>
                <w:p w14:paraId="168DDB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二级</w:t>
                  </w:r>
                </w:p>
              </w:tc>
              <w:tc>
                <w:tcPr>
                  <w:tcW w:w="452" w:type="pct"/>
                  <w:tcBorders>
                    <w:tl2br w:val="nil"/>
                    <w:tr2bl w:val="nil"/>
                  </w:tcBorders>
                  <w:shd w:val="clear" w:color="auto" w:fill="auto"/>
                  <w:noWrap w:val="0"/>
                  <w:vAlign w:val="center"/>
                </w:tcPr>
                <w:p w14:paraId="7636E5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E</w:t>
                  </w:r>
                </w:p>
              </w:tc>
              <w:tc>
                <w:tcPr>
                  <w:tcW w:w="715" w:type="pct"/>
                  <w:tcBorders>
                    <w:tl2br w:val="nil"/>
                    <w:tr2bl w:val="nil"/>
                  </w:tcBorders>
                  <w:shd w:val="clear" w:color="auto" w:fill="auto"/>
                  <w:noWrap w:val="0"/>
                  <w:vAlign w:val="center"/>
                </w:tcPr>
                <w:p w14:paraId="7D2AD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113</w:t>
                  </w:r>
                </w:p>
              </w:tc>
              <w:tc>
                <w:tcPr>
                  <w:tcW w:w="669" w:type="pct"/>
                  <w:vMerge w:val="restart"/>
                  <w:tcBorders>
                    <w:tl2br w:val="nil"/>
                    <w:tr2bl w:val="nil"/>
                  </w:tcBorders>
                  <w:noWrap w:val="0"/>
                  <w:vAlign w:val="center"/>
                </w:tcPr>
                <w:p w14:paraId="3F94D7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与环评阶段一致</w:t>
                  </w:r>
                </w:p>
              </w:tc>
            </w:tr>
            <w:tr w14:paraId="7D661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7C9C561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7A44953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107.936238893</w:t>
                  </w:r>
                </w:p>
              </w:tc>
              <w:tc>
                <w:tcPr>
                  <w:tcW w:w="522" w:type="pct"/>
                  <w:tcBorders>
                    <w:tl2br w:val="nil"/>
                    <w:tr2bl w:val="nil"/>
                  </w:tcBorders>
                  <w:shd w:val="clear" w:color="auto" w:fill="auto"/>
                  <w:noWrap w:val="0"/>
                  <w:vAlign w:val="center"/>
                </w:tcPr>
                <w:p w14:paraId="3C6957B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35.415308227</w:t>
                  </w:r>
                </w:p>
              </w:tc>
              <w:tc>
                <w:tcPr>
                  <w:tcW w:w="569" w:type="pct"/>
                  <w:tcBorders>
                    <w:tl2br w:val="nil"/>
                    <w:tr2bl w:val="nil"/>
                  </w:tcBorders>
                  <w:shd w:val="clear" w:color="auto" w:fill="auto"/>
                  <w:noWrap w:val="0"/>
                  <w:vAlign w:val="center"/>
                </w:tcPr>
                <w:p w14:paraId="509DE12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1户农户/3人</w:t>
                  </w:r>
                </w:p>
              </w:tc>
              <w:tc>
                <w:tcPr>
                  <w:tcW w:w="697" w:type="pct"/>
                  <w:vMerge w:val="continue"/>
                  <w:tcBorders>
                    <w:tl2br w:val="nil"/>
                    <w:tr2bl w:val="nil"/>
                  </w:tcBorders>
                  <w:noWrap w:val="0"/>
                  <w:vAlign w:val="center"/>
                </w:tcPr>
                <w:p w14:paraId="2E2558B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2AE716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1477D95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SE</w:t>
                  </w:r>
                </w:p>
              </w:tc>
              <w:tc>
                <w:tcPr>
                  <w:tcW w:w="715" w:type="pct"/>
                  <w:tcBorders>
                    <w:tl2br w:val="nil"/>
                    <w:tr2bl w:val="nil"/>
                  </w:tcBorders>
                  <w:shd w:val="clear" w:color="auto" w:fill="auto"/>
                  <w:noWrap w:val="0"/>
                  <w:vAlign w:val="center"/>
                </w:tcPr>
                <w:p w14:paraId="550BD6B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153</w:t>
                  </w:r>
                </w:p>
              </w:tc>
              <w:tc>
                <w:tcPr>
                  <w:tcW w:w="669" w:type="pct"/>
                  <w:vMerge w:val="continue"/>
                  <w:tcBorders>
                    <w:tl2br w:val="nil"/>
                    <w:tr2bl w:val="nil"/>
                  </w:tcBorders>
                  <w:noWrap w:val="0"/>
                  <w:vAlign w:val="center"/>
                </w:tcPr>
                <w:p w14:paraId="41F87E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2A405B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34D82A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77615E6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107.936110147</w:t>
                  </w:r>
                </w:p>
              </w:tc>
              <w:tc>
                <w:tcPr>
                  <w:tcW w:w="522" w:type="pct"/>
                  <w:tcBorders>
                    <w:tl2br w:val="nil"/>
                    <w:tr2bl w:val="nil"/>
                  </w:tcBorders>
                  <w:shd w:val="clear" w:color="auto" w:fill="auto"/>
                  <w:noWrap w:val="0"/>
                  <w:vAlign w:val="center"/>
                </w:tcPr>
                <w:p w14:paraId="0659945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35.416306009</w:t>
                  </w:r>
                </w:p>
              </w:tc>
              <w:tc>
                <w:tcPr>
                  <w:tcW w:w="569" w:type="pct"/>
                  <w:tcBorders>
                    <w:tl2br w:val="nil"/>
                    <w:tr2bl w:val="nil"/>
                  </w:tcBorders>
                  <w:shd w:val="clear" w:color="auto" w:fill="auto"/>
                  <w:noWrap w:val="0"/>
                  <w:vAlign w:val="center"/>
                </w:tcPr>
                <w:p w14:paraId="5B15C9C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1户农户/3人</w:t>
                  </w:r>
                </w:p>
              </w:tc>
              <w:tc>
                <w:tcPr>
                  <w:tcW w:w="697" w:type="pct"/>
                  <w:vMerge w:val="continue"/>
                  <w:tcBorders>
                    <w:tl2br w:val="nil"/>
                    <w:tr2bl w:val="nil"/>
                  </w:tcBorders>
                  <w:noWrap w:val="0"/>
                  <w:vAlign w:val="center"/>
                </w:tcPr>
                <w:p w14:paraId="0A73F20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1D4CE8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7112EE6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E</w:t>
                  </w:r>
                </w:p>
              </w:tc>
              <w:tc>
                <w:tcPr>
                  <w:tcW w:w="715" w:type="pct"/>
                  <w:tcBorders>
                    <w:tl2br w:val="nil"/>
                    <w:tr2bl w:val="nil"/>
                  </w:tcBorders>
                  <w:shd w:val="clear" w:color="auto" w:fill="auto"/>
                  <w:noWrap w:val="0"/>
                  <w:vAlign w:val="center"/>
                </w:tcPr>
                <w:p w14:paraId="5D8C56A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144</w:t>
                  </w:r>
                </w:p>
              </w:tc>
              <w:tc>
                <w:tcPr>
                  <w:tcW w:w="669" w:type="pct"/>
                  <w:vMerge w:val="continue"/>
                  <w:tcBorders>
                    <w:tl2br w:val="nil"/>
                    <w:tr2bl w:val="nil"/>
                  </w:tcBorders>
                  <w:noWrap w:val="0"/>
                  <w:vAlign w:val="center"/>
                </w:tcPr>
                <w:p w14:paraId="7983C78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2B0B2B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6C2E3D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6569B33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107.937810667</w:t>
                  </w:r>
                </w:p>
              </w:tc>
              <w:tc>
                <w:tcPr>
                  <w:tcW w:w="522" w:type="pct"/>
                  <w:tcBorders>
                    <w:tl2br w:val="nil"/>
                    <w:tr2bl w:val="nil"/>
                  </w:tcBorders>
                  <w:shd w:val="clear" w:color="auto" w:fill="auto"/>
                  <w:noWrap w:val="0"/>
                  <w:vAlign w:val="center"/>
                </w:tcPr>
                <w:p w14:paraId="06C3EAB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35.415388693</w:t>
                  </w:r>
                </w:p>
              </w:tc>
              <w:tc>
                <w:tcPr>
                  <w:tcW w:w="569" w:type="pct"/>
                  <w:tcBorders>
                    <w:tl2br w:val="nil"/>
                    <w:tr2bl w:val="nil"/>
                  </w:tcBorders>
                  <w:shd w:val="clear" w:color="auto" w:fill="auto"/>
                  <w:noWrap w:val="0"/>
                  <w:vAlign w:val="center"/>
                </w:tcPr>
                <w:p w14:paraId="1DAA44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2户农户/5人</w:t>
                  </w:r>
                </w:p>
              </w:tc>
              <w:tc>
                <w:tcPr>
                  <w:tcW w:w="697" w:type="pct"/>
                  <w:vMerge w:val="continue"/>
                  <w:tcBorders>
                    <w:tl2br w:val="nil"/>
                    <w:tr2bl w:val="nil"/>
                  </w:tcBorders>
                  <w:noWrap w:val="0"/>
                  <w:vAlign w:val="center"/>
                </w:tcPr>
                <w:p w14:paraId="46F37A3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38D04CF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13D298F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SE</w:t>
                  </w:r>
                </w:p>
              </w:tc>
              <w:tc>
                <w:tcPr>
                  <w:tcW w:w="715" w:type="pct"/>
                  <w:tcBorders>
                    <w:tl2br w:val="nil"/>
                    <w:tr2bl w:val="nil"/>
                  </w:tcBorders>
                  <w:shd w:val="clear" w:color="auto" w:fill="auto"/>
                  <w:noWrap w:val="0"/>
                  <w:vAlign w:val="center"/>
                </w:tcPr>
                <w:p w14:paraId="581B1CE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298</w:t>
                  </w:r>
                </w:p>
              </w:tc>
              <w:tc>
                <w:tcPr>
                  <w:tcW w:w="669" w:type="pct"/>
                  <w:vMerge w:val="continue"/>
                  <w:tcBorders>
                    <w:tl2br w:val="nil"/>
                    <w:tr2bl w:val="nil"/>
                  </w:tcBorders>
                  <w:noWrap w:val="0"/>
                  <w:vAlign w:val="center"/>
                </w:tcPr>
                <w:p w14:paraId="7241B5A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7549C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7574E75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3E9CD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107.934899129</w:t>
                  </w:r>
                </w:p>
              </w:tc>
              <w:tc>
                <w:tcPr>
                  <w:tcW w:w="522" w:type="pct"/>
                  <w:tcBorders>
                    <w:tl2br w:val="nil"/>
                    <w:tr2bl w:val="nil"/>
                  </w:tcBorders>
                  <w:shd w:val="clear" w:color="auto" w:fill="auto"/>
                  <w:noWrap w:val="0"/>
                  <w:vAlign w:val="center"/>
                </w:tcPr>
                <w:p w14:paraId="496D63D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35.417763789</w:t>
                  </w:r>
                </w:p>
              </w:tc>
              <w:tc>
                <w:tcPr>
                  <w:tcW w:w="569" w:type="pct"/>
                  <w:tcBorders>
                    <w:tl2br w:val="nil"/>
                    <w:tr2bl w:val="nil"/>
                  </w:tcBorders>
                  <w:shd w:val="clear" w:color="auto" w:fill="auto"/>
                  <w:noWrap w:val="0"/>
                  <w:vAlign w:val="center"/>
                </w:tcPr>
                <w:p w14:paraId="14FDC41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1户农户/3人</w:t>
                  </w:r>
                </w:p>
              </w:tc>
              <w:tc>
                <w:tcPr>
                  <w:tcW w:w="697" w:type="pct"/>
                  <w:vMerge w:val="continue"/>
                  <w:tcBorders>
                    <w:tl2br w:val="nil"/>
                    <w:tr2bl w:val="nil"/>
                  </w:tcBorders>
                  <w:noWrap w:val="0"/>
                  <w:vAlign w:val="center"/>
                </w:tcPr>
                <w:p w14:paraId="74EC4A2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06BAC2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768AD70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NE</w:t>
                  </w:r>
                </w:p>
              </w:tc>
              <w:tc>
                <w:tcPr>
                  <w:tcW w:w="715" w:type="pct"/>
                  <w:tcBorders>
                    <w:tl2br w:val="nil"/>
                    <w:tr2bl w:val="nil"/>
                  </w:tcBorders>
                  <w:shd w:val="clear" w:color="auto" w:fill="auto"/>
                  <w:noWrap w:val="0"/>
                  <w:vAlign w:val="center"/>
                </w:tcPr>
                <w:p w14:paraId="6CD341C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147</w:t>
                  </w:r>
                </w:p>
              </w:tc>
              <w:tc>
                <w:tcPr>
                  <w:tcW w:w="669" w:type="pct"/>
                  <w:vMerge w:val="continue"/>
                  <w:tcBorders>
                    <w:tl2br w:val="nil"/>
                    <w:tr2bl w:val="nil"/>
                  </w:tcBorders>
                  <w:noWrap w:val="0"/>
                  <w:vAlign w:val="center"/>
                </w:tcPr>
                <w:p w14:paraId="34233F7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0E218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3C41A3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259F90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107.940322556</w:t>
                  </w:r>
                </w:p>
              </w:tc>
              <w:tc>
                <w:tcPr>
                  <w:tcW w:w="522" w:type="pct"/>
                  <w:tcBorders>
                    <w:tl2br w:val="nil"/>
                    <w:tr2bl w:val="nil"/>
                  </w:tcBorders>
                  <w:shd w:val="clear" w:color="auto" w:fill="auto"/>
                  <w:noWrap w:val="0"/>
                  <w:vAlign w:val="center"/>
                </w:tcPr>
                <w:p w14:paraId="5ABADFD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35.415473183</w:t>
                  </w:r>
                </w:p>
              </w:tc>
              <w:tc>
                <w:tcPr>
                  <w:tcW w:w="569" w:type="pct"/>
                  <w:tcBorders>
                    <w:tl2br w:val="nil"/>
                    <w:tr2bl w:val="nil"/>
                  </w:tcBorders>
                  <w:shd w:val="clear" w:color="auto" w:fill="auto"/>
                  <w:noWrap w:val="0"/>
                  <w:vAlign w:val="center"/>
                </w:tcPr>
                <w:p w14:paraId="4D43D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10户农户/30人</w:t>
                  </w:r>
                </w:p>
              </w:tc>
              <w:tc>
                <w:tcPr>
                  <w:tcW w:w="697" w:type="pct"/>
                  <w:vMerge w:val="continue"/>
                  <w:tcBorders>
                    <w:tl2br w:val="nil"/>
                    <w:tr2bl w:val="nil"/>
                  </w:tcBorders>
                  <w:noWrap w:val="0"/>
                  <w:vAlign w:val="center"/>
                </w:tcPr>
                <w:p w14:paraId="7D9598F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2D5AF1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57E07D4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E</w:t>
                  </w:r>
                </w:p>
              </w:tc>
              <w:tc>
                <w:tcPr>
                  <w:tcW w:w="715" w:type="pct"/>
                  <w:tcBorders>
                    <w:tl2br w:val="nil"/>
                    <w:tr2bl w:val="nil"/>
                  </w:tcBorders>
                  <w:shd w:val="clear" w:color="auto" w:fill="auto"/>
                  <w:noWrap w:val="0"/>
                  <w:vAlign w:val="center"/>
                </w:tcPr>
                <w:p w14:paraId="7495245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298~535</w:t>
                  </w:r>
                </w:p>
              </w:tc>
              <w:tc>
                <w:tcPr>
                  <w:tcW w:w="669" w:type="pct"/>
                  <w:vMerge w:val="continue"/>
                  <w:tcBorders>
                    <w:tl2br w:val="nil"/>
                    <w:tr2bl w:val="nil"/>
                  </w:tcBorders>
                  <w:noWrap w:val="0"/>
                  <w:vAlign w:val="center"/>
                </w:tcPr>
                <w:p w14:paraId="3C6C5D5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27656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444" w:type="pct"/>
                  <w:tcBorders>
                    <w:tl2br w:val="nil"/>
                    <w:tr2bl w:val="nil"/>
                  </w:tcBorders>
                  <w:noWrap w:val="0"/>
                  <w:vAlign w:val="center"/>
                </w:tcPr>
                <w:p w14:paraId="63222BA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土壤</w:t>
                  </w:r>
                </w:p>
                <w:p w14:paraId="210DE3B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w:t>
                  </w:r>
                </w:p>
              </w:tc>
              <w:tc>
                <w:tcPr>
                  <w:tcW w:w="1545" w:type="pct"/>
                  <w:gridSpan w:val="3"/>
                  <w:tcBorders>
                    <w:tl2br w:val="nil"/>
                    <w:tr2bl w:val="nil"/>
                  </w:tcBorders>
                  <w:noWrap w:val="0"/>
                  <w:vAlign w:val="center"/>
                </w:tcPr>
                <w:p w14:paraId="03B951A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井场周边1km范围内</w:t>
                  </w:r>
                </w:p>
              </w:tc>
              <w:tc>
                <w:tcPr>
                  <w:tcW w:w="697" w:type="pct"/>
                  <w:tcBorders>
                    <w:tl2br w:val="nil"/>
                    <w:tr2bl w:val="nil"/>
                  </w:tcBorders>
                  <w:noWrap w:val="0"/>
                  <w:vAlign w:val="center"/>
                </w:tcPr>
                <w:p w14:paraId="39E49F7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土壤环境质量</w:t>
                  </w:r>
                </w:p>
              </w:tc>
              <w:tc>
                <w:tcPr>
                  <w:tcW w:w="1642" w:type="pct"/>
                  <w:gridSpan w:val="3"/>
                  <w:tcBorders>
                    <w:tl2br w:val="nil"/>
                    <w:tr2bl w:val="nil"/>
                  </w:tcBorders>
                  <w:noWrap w:val="0"/>
                  <w:vAlign w:val="center"/>
                </w:tcPr>
                <w:p w14:paraId="1CFEAC2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农用地</w:t>
                  </w:r>
                </w:p>
              </w:tc>
              <w:tc>
                <w:tcPr>
                  <w:tcW w:w="669" w:type="pct"/>
                  <w:vMerge w:val="restart"/>
                  <w:tcBorders>
                    <w:tl2br w:val="nil"/>
                    <w:tr2bl w:val="nil"/>
                  </w:tcBorders>
                  <w:shd w:val="clear" w:color="auto" w:fill="auto"/>
                  <w:noWrap w:val="0"/>
                  <w:vAlign w:val="center"/>
                </w:tcPr>
                <w:p w14:paraId="3D64CF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color w:val="auto"/>
                      <w:sz w:val="21"/>
                      <w:szCs w:val="21"/>
                      <w:lang w:val="en-US" w:eastAsia="zh-CN" w:bidi="ar-SA"/>
                    </w:rPr>
                  </w:pPr>
                  <w:r>
                    <w:rPr>
                      <w:rFonts w:hint="default" w:ascii="Times New Roman" w:hAnsi="Times New Roman" w:cs="Times New Roman" w:eastAsiaTheme="minorEastAsia"/>
                      <w:bCs/>
                      <w:color w:val="auto"/>
                      <w:sz w:val="21"/>
                      <w:szCs w:val="21"/>
                      <w:lang w:val="en-US" w:eastAsia="zh-CN"/>
                    </w:rPr>
                    <w:t>与环评阶段一致</w:t>
                  </w:r>
                </w:p>
              </w:tc>
            </w:tr>
            <w:tr w14:paraId="0F0E3E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444" w:type="pct"/>
                  <w:tcBorders>
                    <w:tl2br w:val="nil"/>
                    <w:tr2bl w:val="nil"/>
                  </w:tcBorders>
                  <w:noWrap w:val="0"/>
                  <w:vAlign w:val="center"/>
                </w:tcPr>
                <w:p w14:paraId="014E3A4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生态</w:t>
                  </w:r>
                </w:p>
                <w:p w14:paraId="4129C7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w:t>
                  </w:r>
                </w:p>
              </w:tc>
              <w:tc>
                <w:tcPr>
                  <w:tcW w:w="1545" w:type="pct"/>
                  <w:gridSpan w:val="3"/>
                  <w:tcBorders>
                    <w:tl2br w:val="nil"/>
                    <w:tr2bl w:val="nil"/>
                  </w:tcBorders>
                  <w:noWrap w:val="0"/>
                  <w:vAlign w:val="center"/>
                </w:tcPr>
                <w:p w14:paraId="32F6D7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井场及道路300m范围区域</w:t>
                  </w:r>
                </w:p>
              </w:tc>
              <w:tc>
                <w:tcPr>
                  <w:tcW w:w="697" w:type="pct"/>
                  <w:tcBorders>
                    <w:tl2br w:val="nil"/>
                    <w:tr2bl w:val="nil"/>
                  </w:tcBorders>
                  <w:noWrap w:val="0"/>
                  <w:vAlign w:val="center"/>
                </w:tcPr>
                <w:p w14:paraId="1DEAC5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动植物物种、种群、生物群落及生态空间等</w:t>
                  </w:r>
                </w:p>
              </w:tc>
              <w:tc>
                <w:tcPr>
                  <w:tcW w:w="1642" w:type="pct"/>
                  <w:gridSpan w:val="3"/>
                  <w:tcBorders>
                    <w:tl2br w:val="nil"/>
                    <w:tr2bl w:val="nil"/>
                  </w:tcBorders>
                  <w:noWrap w:val="0"/>
                  <w:vAlign w:val="center"/>
                </w:tcPr>
                <w:p w14:paraId="3AC6F97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严格控制破坏压占土地范围，施工后及时恢复</w:t>
                  </w:r>
                </w:p>
              </w:tc>
              <w:tc>
                <w:tcPr>
                  <w:tcW w:w="669" w:type="pct"/>
                  <w:vMerge w:val="continue"/>
                  <w:tcBorders>
                    <w:tl2br w:val="nil"/>
                    <w:tr2bl w:val="nil"/>
                  </w:tcBorders>
                  <w:shd w:val="clear" w:color="auto" w:fill="auto"/>
                  <w:noWrap w:val="0"/>
                  <w:vAlign w:val="center"/>
                </w:tcPr>
                <w:p w14:paraId="3B6AA97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color w:val="auto"/>
                      <w:sz w:val="21"/>
                      <w:szCs w:val="21"/>
                      <w:lang w:val="en-US" w:eastAsia="zh-CN" w:bidi="ar-SA"/>
                    </w:rPr>
                  </w:pPr>
                </w:p>
              </w:tc>
            </w:tr>
          </w:tbl>
          <w:p w14:paraId="76EC90A0">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80"/>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30"/>
                <w:rFonts w:hint="default" w:ascii="Times New Roman" w:hAnsi="Times New Roman" w:eastAsia="宋体" w:cs="Times New Roman"/>
                <w:i w:val="0"/>
                <w:iCs w:val="0"/>
                <w:color w:val="auto"/>
                <w:lang w:eastAsia="zh-CN"/>
              </w:rPr>
            </w:pPr>
            <w:r>
              <w:rPr>
                <w:rStyle w:val="30"/>
                <w:rFonts w:hint="default" w:ascii="Times New Roman" w:hAnsi="Times New Roman" w:eastAsia="宋体" w:cs="Times New Roman"/>
                <w:i w:val="0"/>
                <w:iCs w:val="0"/>
                <w:color w:val="auto"/>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30"/>
                <w:rFonts w:hint="default" w:ascii="Times New Roman" w:hAnsi="Times New Roman" w:eastAsia="宋体" w:cs="Times New Roman"/>
                <w:i w:val="0"/>
                <w:iCs w:val="0"/>
                <w:color w:val="auto"/>
                <w:lang w:eastAsia="zh-CN"/>
              </w:rPr>
              <w:t>表</w:t>
            </w:r>
            <w:r>
              <w:rPr>
                <w:rStyle w:val="30"/>
                <w:rFonts w:hint="default" w:ascii="Times New Roman" w:hAnsi="Times New Roman" w:eastAsia="宋体" w:cs="Times New Roman"/>
                <w:i w:val="0"/>
                <w:iCs w:val="0"/>
                <w:color w:val="auto"/>
              </w:rPr>
              <w:t>和环评批复的环保要求及环境影响评价的主要结论，确定本项目的调查重点</w:t>
            </w:r>
            <w:r>
              <w:rPr>
                <w:rStyle w:val="30"/>
                <w:rFonts w:hint="default" w:ascii="Times New Roman" w:hAnsi="Times New Roman" w:eastAsia="宋体" w:cs="Times New Roman"/>
                <w:i w:val="0"/>
                <w:iCs w:val="0"/>
                <w:color w:val="auto"/>
                <w:lang w:eastAsia="zh-CN"/>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（2）调查环境敏感保护目标基本情况及变化情况；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（3）调查环境影响报告表及批复中提出的环保设施和措施落实情况及其效果；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（4）调查井场及道路周围生态恢复情况；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30"/>
                <w:rFonts w:hint="default" w:ascii="Times New Roman" w:hAnsi="Times New Roman" w:eastAsia="宋体" w:cs="Times New Roman"/>
                <w:i w:val="0"/>
                <w:iCs w:val="0"/>
                <w:color w:val="auto"/>
              </w:rPr>
            </w:pPr>
            <w:r>
              <w:rPr>
                <w:rFonts w:hint="default" w:ascii="Times New Roman" w:hAnsi="Times New Roman" w:eastAsia="宋体" w:cs="Times New Roman"/>
                <w:color w:val="auto"/>
                <w:kern w:val="0"/>
                <w:sz w:val="24"/>
                <w:szCs w:val="24"/>
                <w:lang w:val="en-US" w:eastAsia="zh-CN" w:bidi="ar"/>
              </w:rPr>
              <w:t>（5）调查环境风险防范和应急措施的落实及有效性。</w:t>
            </w:r>
          </w:p>
          <w:p w14:paraId="7065B77E">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577CEBE0">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47B8820D">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1EC93253">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64611136">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6D9EFE82">
            <w:pPr>
              <w:pStyle w:val="5"/>
              <w:widowControl w:val="0"/>
              <w:suppressLineNumbers w:val="0"/>
              <w:spacing w:before="0"/>
              <w:ind w:left="0" w:right="0"/>
              <w:jc w:val="both"/>
              <w:rPr>
                <w:rStyle w:val="30"/>
                <w:rFonts w:hint="default" w:ascii="Times New Roman" w:hAnsi="Times New Roman" w:eastAsia="宋体" w:cs="Times New Roman"/>
                <w:i w:val="0"/>
                <w:iCs w:val="0"/>
                <w:color w:val="auto"/>
              </w:rPr>
            </w:pPr>
          </w:p>
          <w:p w14:paraId="557FF4B2">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2D0C27CB">
            <w:pPr>
              <w:pStyle w:val="5"/>
              <w:widowControl w:val="0"/>
              <w:suppressLineNumbers w:val="0"/>
              <w:spacing w:before="0"/>
              <w:ind w:left="0" w:right="0"/>
              <w:jc w:val="both"/>
              <w:rPr>
                <w:rStyle w:val="30"/>
                <w:rFonts w:hint="default" w:ascii="Times New Roman" w:hAnsi="Times New Roman" w:eastAsia="宋体" w:cs="Times New Roman"/>
                <w:i w:val="0"/>
                <w:iCs w:val="0"/>
                <w:color w:val="auto"/>
              </w:rPr>
            </w:pPr>
          </w:p>
          <w:p w14:paraId="1782DD3B">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071918CF">
            <w:pPr>
              <w:pStyle w:val="5"/>
              <w:widowControl w:val="0"/>
              <w:suppressLineNumbers w:val="0"/>
              <w:spacing w:before="0"/>
              <w:ind w:left="0" w:right="0"/>
              <w:jc w:val="both"/>
              <w:rPr>
                <w:rStyle w:val="30"/>
                <w:rFonts w:hint="default" w:ascii="Times New Roman" w:hAnsi="Times New Roman" w:eastAsia="宋体" w:cs="Times New Roman"/>
                <w:i w:val="0"/>
                <w:iCs w:val="0"/>
                <w:color w:val="auto"/>
              </w:rPr>
            </w:pPr>
          </w:p>
          <w:p w14:paraId="6AE32FA7">
            <w:pPr>
              <w:pStyle w:val="80"/>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1AD3272B">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3" w:name="_Toc2466"/>
      <w:r>
        <w:rPr>
          <w:rFonts w:hint="default" w:ascii="Times New Roman" w:hAnsi="Times New Roman" w:eastAsia="宋体" w:cs="Times New Roman"/>
          <w:b/>
          <w:color w:val="auto"/>
          <w:kern w:val="2"/>
          <w:sz w:val="32"/>
          <w:szCs w:val="24"/>
          <w:lang w:val="en-US" w:eastAsia="zh-CN"/>
        </w:rPr>
        <w:t>3.验收执行标准</w:t>
      </w:r>
      <w:bookmarkEnd w:id="3"/>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50D55F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56FCB5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default"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default"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lang w:val="en-US" w:eastAsia="zh-CN"/>
              </w:rPr>
              <w:t>1</w:t>
            </w:r>
            <w:r>
              <w:rPr>
                <w:rFonts w:hint="default"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z w:val="24"/>
                <w:szCs w:val="24"/>
              </w:rPr>
              <w:t>环境空气质量按《环境空气质量标准》（GB3095-2012）中的二级标准验收</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并按《环境空气质量标准》（GB3095-2012）二级标准校核</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非甲烷总烃小时值执行《大气污染物综合排放标准》详解中的2</w:t>
            </w:r>
            <w:r>
              <w:rPr>
                <w:rFonts w:hint="default"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Pr>
              <w:tc>
                <w:tcPr>
                  <w:tcW w:w="272" w:type="pct"/>
                  <w:vMerge w:val="restart"/>
                  <w:tcBorders>
                    <w:tl2br w:val="nil"/>
                    <w:tr2bl w:val="nil"/>
                  </w:tcBorders>
                  <w:vAlign w:val="center"/>
                </w:tcPr>
                <w:p w14:paraId="7BD2D89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类别</w:t>
                  </w:r>
                </w:p>
              </w:tc>
              <w:tc>
                <w:tcPr>
                  <w:tcW w:w="1445" w:type="pct"/>
                  <w:vMerge w:val="restart"/>
                  <w:tcBorders>
                    <w:tl2br w:val="nil"/>
                    <w:tr2bl w:val="nil"/>
                  </w:tcBorders>
                  <w:vAlign w:val="center"/>
                </w:tcPr>
                <w:p w14:paraId="1F80421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标准名称及级(类)别</w:t>
                  </w:r>
                </w:p>
              </w:tc>
              <w:tc>
                <w:tcPr>
                  <w:tcW w:w="816" w:type="pct"/>
                  <w:vMerge w:val="restart"/>
                  <w:tcBorders>
                    <w:tl2br w:val="nil"/>
                    <w:tr2bl w:val="nil"/>
                  </w:tcBorders>
                  <w:vAlign w:val="center"/>
                </w:tcPr>
                <w:p w14:paraId="2938F6D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污染因子</w:t>
                  </w:r>
                </w:p>
              </w:tc>
              <w:tc>
                <w:tcPr>
                  <w:tcW w:w="2465" w:type="pct"/>
                  <w:gridSpan w:val="3"/>
                  <w:tcBorders>
                    <w:tl2br w:val="nil"/>
                    <w:tr2bl w:val="nil"/>
                  </w:tcBorders>
                  <w:vAlign w:val="center"/>
                </w:tcPr>
                <w:p w14:paraId="080F52C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9C4F1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CC4AF4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688" w:type="pct"/>
                  <w:gridSpan w:val="2"/>
                  <w:tcBorders>
                    <w:tl2br w:val="nil"/>
                    <w:tr2bl w:val="nil"/>
                  </w:tcBorders>
                  <w:vAlign w:val="center"/>
                </w:tcPr>
                <w:p w14:paraId="580794A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单  位</w:t>
                  </w:r>
                </w:p>
              </w:tc>
              <w:tc>
                <w:tcPr>
                  <w:tcW w:w="777" w:type="pct"/>
                  <w:tcBorders>
                    <w:tl2br w:val="nil"/>
                    <w:tr2bl w:val="nil"/>
                  </w:tcBorders>
                  <w:vAlign w:val="center"/>
                </w:tcPr>
                <w:p w14:paraId="0E5C52B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p w14:paraId="1236375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w:t>
                  </w:r>
                </w:p>
                <w:p w14:paraId="3128058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境</w:t>
                  </w:r>
                </w:p>
                <w:p w14:paraId="0379EFE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空</w:t>
                  </w:r>
                </w:p>
                <w:p w14:paraId="20A5F60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气</w:t>
                  </w:r>
                </w:p>
              </w:tc>
              <w:tc>
                <w:tcPr>
                  <w:tcW w:w="1445" w:type="pct"/>
                  <w:vMerge w:val="restart"/>
                  <w:tcBorders>
                    <w:tl2br w:val="nil"/>
                    <w:tr2bl w:val="nil"/>
                  </w:tcBorders>
                  <w:vAlign w:val="center"/>
                </w:tcPr>
                <w:p w14:paraId="237A141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《环境空气质量标准》（GB3095-2012）二级标准</w:t>
                  </w:r>
                </w:p>
              </w:tc>
              <w:tc>
                <w:tcPr>
                  <w:tcW w:w="816" w:type="pct"/>
                  <w:vMerge w:val="restart"/>
                  <w:tcBorders>
                    <w:tl2br w:val="nil"/>
                    <w:tr2bl w:val="nil"/>
                  </w:tcBorders>
                  <w:vAlign w:val="center"/>
                </w:tcPr>
                <w:p w14:paraId="7F52989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SO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3036F63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restart"/>
                  <w:tcBorders>
                    <w:tl2br w:val="nil"/>
                    <w:tr2bl w:val="nil"/>
                  </w:tcBorders>
                  <w:vAlign w:val="center"/>
                </w:tcPr>
                <w:p w14:paraId="78B2328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7C8DB88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47335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AFACA1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66B8343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577F4B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45E5B2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E5D7AE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817687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13D31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4991E2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D1E87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016577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1CBDD76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6B7AD14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0F604BD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919FD9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0B72C7E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B68D01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0F9E9B2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AAD251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7E7A80D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59D0EEA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EBCE57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AD83B1A">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85FE29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015E315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24ABB8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59A9AB5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CO</w:t>
                  </w:r>
                </w:p>
              </w:tc>
              <w:tc>
                <w:tcPr>
                  <w:tcW w:w="1057" w:type="pct"/>
                  <w:tcBorders>
                    <w:tl2br w:val="nil"/>
                    <w:tr2bl w:val="nil"/>
                  </w:tcBorders>
                </w:tcPr>
                <w:p w14:paraId="700CBDA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restart"/>
                  <w:tcBorders>
                    <w:tl2br w:val="nil"/>
                    <w:tr2bl w:val="nil"/>
                  </w:tcBorders>
                  <w:vAlign w:val="center"/>
                </w:tcPr>
                <w:p w14:paraId="611D6FE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8678E87">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4539604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5ABE2B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0B879B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27C9295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317BC68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CD56A1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tcBorders>
                    <w:tl2br w:val="nil"/>
                    <w:tr2bl w:val="nil"/>
                  </w:tcBorders>
                  <w:vAlign w:val="center"/>
                </w:tcPr>
                <w:p w14:paraId="665197C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O</w:t>
                  </w:r>
                  <w:r>
                    <w:rPr>
                      <w:rFonts w:hint="default" w:ascii="Times New Roman" w:hAnsi="Times New Roman" w:eastAsia="宋体" w:cs="Times New Roman"/>
                      <w:color w:val="auto"/>
                      <w:sz w:val="21"/>
                      <w:szCs w:val="21"/>
                      <w:vertAlign w:val="subscript"/>
                    </w:rPr>
                    <w:t>3</w:t>
                  </w:r>
                </w:p>
              </w:tc>
              <w:tc>
                <w:tcPr>
                  <w:tcW w:w="1057" w:type="pct"/>
                  <w:tcBorders>
                    <w:tl2br w:val="nil"/>
                    <w:tr2bl w:val="nil"/>
                  </w:tcBorders>
                </w:tcPr>
                <w:p w14:paraId="48B01E4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日最大8小时平均</w:t>
                  </w:r>
                </w:p>
              </w:tc>
              <w:tc>
                <w:tcPr>
                  <w:tcW w:w="631" w:type="pct"/>
                  <w:vMerge w:val="restart"/>
                  <w:tcBorders>
                    <w:tl2br w:val="nil"/>
                    <w:tr2bl w:val="nil"/>
                  </w:tcBorders>
                  <w:vAlign w:val="center"/>
                </w:tcPr>
                <w:p w14:paraId="3B00AF8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6AFAE4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31FD177">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28CF7E0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10</w:t>
                  </w:r>
                </w:p>
              </w:tc>
              <w:tc>
                <w:tcPr>
                  <w:tcW w:w="1057" w:type="pct"/>
                  <w:tcBorders>
                    <w:tl2br w:val="nil"/>
                    <w:tr2bl w:val="nil"/>
                  </w:tcBorders>
                </w:tcPr>
                <w:p w14:paraId="7664306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01FC847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84128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EBD3F4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01BD25E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73AAAE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4D85AFF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64C750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0D98D7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4C4EF00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2.5</w:t>
                  </w:r>
                </w:p>
              </w:tc>
              <w:tc>
                <w:tcPr>
                  <w:tcW w:w="1057" w:type="pct"/>
                  <w:tcBorders>
                    <w:tl2br w:val="nil"/>
                    <w:tr2bl w:val="nil"/>
                  </w:tcBorders>
                </w:tcPr>
                <w:p w14:paraId="351FC27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00DE10B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B8A30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C62561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6C55B13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2459C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1B3DABE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CBC86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tcBorders>
                    <w:tl2br w:val="nil"/>
                    <w:tr2bl w:val="nil"/>
                  </w:tcBorders>
                  <w:vAlign w:val="center"/>
                </w:tcPr>
                <w:p w14:paraId="7501B30A">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《大气污染物综合排放标准》详解</w:t>
                  </w:r>
                </w:p>
              </w:tc>
              <w:tc>
                <w:tcPr>
                  <w:tcW w:w="816" w:type="pct"/>
                  <w:tcBorders>
                    <w:tl2br w:val="nil"/>
                    <w:tr2bl w:val="nil"/>
                  </w:tcBorders>
                  <w:vAlign w:val="center"/>
                </w:tcPr>
                <w:p w14:paraId="3B709F4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非甲烷总烃</w:t>
                  </w:r>
                </w:p>
              </w:tc>
              <w:tc>
                <w:tcPr>
                  <w:tcW w:w="1057" w:type="pct"/>
                  <w:tcBorders>
                    <w:tl2br w:val="nil"/>
                    <w:tr2bl w:val="nil"/>
                  </w:tcBorders>
                  <w:vAlign w:val="center"/>
                </w:tcPr>
                <w:p w14:paraId="4F959E6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小时值</w:t>
                  </w:r>
                </w:p>
              </w:tc>
              <w:tc>
                <w:tcPr>
                  <w:tcW w:w="631" w:type="pct"/>
                  <w:tcBorders>
                    <w:tl2br w:val="nil"/>
                    <w:tr2bl w:val="nil"/>
                  </w:tcBorders>
                  <w:vAlign w:val="center"/>
                </w:tcPr>
                <w:p w14:paraId="2E7E711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5087849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w:t>
                  </w:r>
                </w:p>
              </w:tc>
            </w:tr>
          </w:tbl>
          <w:p w14:paraId="4A90DDA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（2）声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default" w:ascii="Times New Roman" w:hAnsi="Times New Roman" w:eastAsia="宋体" w:cs="Times New Roman"/>
                <w:color w:val="auto"/>
                <w:spacing w:val="0"/>
                <w:w w:val="100"/>
                <w:sz w:val="24"/>
                <w:szCs w:val="24"/>
                <w:highlight w:val="none"/>
                <w:lang w:eastAsia="zh-CN"/>
              </w:rPr>
              <w:t>见表</w:t>
            </w:r>
            <w:r>
              <w:rPr>
                <w:rFonts w:hint="default"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表3-2  声环境质量标准2类标准限值    单位：dB（A）</w:t>
            </w:r>
          </w:p>
          <w:tbl>
            <w:tblPr>
              <w:tblStyle w:val="26"/>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0FF867B8">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0C4B84D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auto"/>
                <w:sz w:val="24"/>
                <w:szCs w:val="24"/>
                <w:highlight w:val="none"/>
                <w:lang w:val="en-US" w:eastAsia="zh-CN" w:bidi="ar-SA"/>
              </w:rPr>
              <w:t>自本项目取得环评批复以来，除</w:t>
            </w:r>
            <w:r>
              <w:rPr>
                <w:rFonts w:hint="default" w:ascii="Times New Roman" w:hAnsi="Times New Roman" w:eastAsia="宋体" w:cs="Times New Roman"/>
                <w:color w:val="auto"/>
                <w:kern w:val="0"/>
                <w:sz w:val="24"/>
                <w:lang w:val="en-US" w:eastAsia="zh-CN"/>
              </w:rPr>
              <w:t>危险废物贮存污染控制标准以外，</w:t>
            </w:r>
            <w:r>
              <w:rPr>
                <w:rFonts w:hint="default" w:ascii="Times New Roman" w:hAnsi="Times New Roman" w:eastAsia="宋体" w:cs="Times New Roman"/>
                <w:b w:val="0"/>
                <w:bCs w:val="0"/>
                <w:color w:val="auto"/>
                <w:sz w:val="24"/>
                <w:szCs w:val="24"/>
                <w:highlight w:val="none"/>
                <w:lang w:val="en-US" w:eastAsia="zh-CN" w:bidi="ar-SA"/>
              </w:rPr>
              <w:t>其他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1、废气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 2 中无组织排放监控浓度限值；非甲烷总烃无组织排放执行《陆上石油石油开采工业大气污染物排放标准》（GB39728-2020）。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6"/>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default"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w:t>
            </w:r>
            <w:r>
              <w:rPr>
                <w:rFonts w:hint="eastAsia" w:ascii="Times New Roman" w:hAnsi="Times New Roman" w:eastAsia="宋体" w:cs="Times New Roman"/>
                <w:b w:val="0"/>
                <w:bCs w:val="0"/>
                <w:color w:val="auto"/>
                <w:sz w:val="24"/>
                <w:szCs w:val="24"/>
                <w:highlight w:val="none"/>
                <w:lang w:val="en-US" w:eastAsia="zh-CN" w:bidi="ar-SA"/>
              </w:rPr>
              <w:t>5</w:t>
            </w:r>
            <w:r>
              <w:rPr>
                <w:rFonts w:hint="default" w:ascii="Times New Roman" w:hAnsi="Times New Roman" w:eastAsia="宋体" w:cs="Times New Roman"/>
                <w:b w:val="0"/>
                <w:bCs w:val="0"/>
                <w:color w:val="auto"/>
                <w:sz w:val="24"/>
                <w:szCs w:val="24"/>
                <w:highlight w:val="none"/>
                <w:lang w:val="en-US" w:eastAsia="zh-CN" w:bidi="ar-SA"/>
              </w:rPr>
              <w:t>。</w:t>
            </w:r>
          </w:p>
          <w:p w14:paraId="580E1EEF">
            <w:pPr>
              <w:pStyle w:val="84"/>
              <w:keepNext w:val="0"/>
              <w:keepLines w:val="0"/>
              <w:suppressLineNumbers w:val="0"/>
              <w:spacing w:before="0" w:beforeAutospacing="0" w:after="0" w:afterAutospacing="0" w:line="240" w:lineRule="auto"/>
              <w:ind w:left="0" w:right="0" w:firstLine="0" w:firstLineChars="0"/>
              <w:rPr>
                <w:rFonts w:hint="default" w:ascii="Times New Roman" w:hAnsi="Times New Roman" w:eastAsia="宋体" w:cs="Times New Roman"/>
                <w:b/>
                <w:bCs/>
                <w:snapToGrid/>
                <w:color w:val="auto"/>
                <w:kern w:val="2"/>
                <w:sz w:val="21"/>
                <w:szCs w:val="21"/>
              </w:rPr>
            </w:pPr>
            <w:r>
              <w:rPr>
                <w:rFonts w:hint="default" w:ascii="Times New Roman" w:hAnsi="Times New Roman" w:eastAsia="宋体" w:cs="Times New Roman"/>
                <w:b/>
                <w:bCs/>
                <w:snapToGrid/>
                <w:color w:val="auto"/>
                <w:kern w:val="2"/>
                <w:sz w:val="21"/>
                <w:szCs w:val="21"/>
              </w:rPr>
              <w:t>表</w:t>
            </w:r>
            <w:r>
              <w:rPr>
                <w:rFonts w:hint="default" w:ascii="Times New Roman" w:hAnsi="Times New Roman" w:eastAsia="宋体" w:cs="Times New Roman"/>
                <w:b/>
                <w:bCs/>
                <w:snapToGrid/>
                <w:color w:val="auto"/>
                <w:kern w:val="2"/>
                <w:sz w:val="21"/>
                <w:szCs w:val="21"/>
                <w:lang w:val="en-US" w:eastAsia="zh-CN"/>
              </w:rPr>
              <w:t>3-</w:t>
            </w:r>
            <w:r>
              <w:rPr>
                <w:rFonts w:hint="eastAsia" w:eastAsia="宋体" w:cs="Times New Roman"/>
                <w:b/>
                <w:bCs/>
                <w:snapToGrid/>
                <w:color w:val="auto"/>
                <w:kern w:val="2"/>
                <w:sz w:val="21"/>
                <w:szCs w:val="21"/>
                <w:lang w:val="en-US" w:eastAsia="zh-CN"/>
              </w:rPr>
              <w:t>5</w:t>
            </w:r>
            <w:r>
              <w:rPr>
                <w:rFonts w:hint="default" w:ascii="Times New Roman" w:hAnsi="Times New Roman" w:eastAsia="宋体" w:cs="Times New Roman"/>
                <w:b/>
                <w:bCs/>
                <w:snapToGrid/>
                <w:color w:val="auto"/>
                <w:kern w:val="2"/>
                <w:sz w:val="21"/>
                <w:szCs w:val="21"/>
              </w:rPr>
              <w:t xml:space="preserve">  建筑施工场界环境噪声排放标准</w:t>
            </w:r>
          </w:p>
          <w:tbl>
            <w:tblPr>
              <w:tblStyle w:val="26"/>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5"/>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昼间dB（A）</w:t>
                  </w:r>
                </w:p>
              </w:tc>
              <w:tc>
                <w:tcPr>
                  <w:tcW w:w="2499" w:type="pct"/>
                  <w:tcBorders>
                    <w:tl2br w:val="nil"/>
                    <w:tr2bl w:val="nil"/>
                  </w:tcBorders>
                  <w:noWrap w:val="0"/>
                  <w:vAlign w:val="center"/>
                </w:tcPr>
                <w:p w14:paraId="5CB100DC">
                  <w:pPr>
                    <w:pStyle w:val="85"/>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5"/>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70</w:t>
                  </w:r>
                </w:p>
              </w:tc>
              <w:tc>
                <w:tcPr>
                  <w:tcW w:w="2499" w:type="pct"/>
                  <w:tcBorders>
                    <w:tl2br w:val="nil"/>
                    <w:tr2bl w:val="nil"/>
                  </w:tcBorders>
                  <w:noWrap w:val="0"/>
                  <w:vAlign w:val="center"/>
                </w:tcPr>
                <w:p w14:paraId="2ED45DF7">
                  <w:pPr>
                    <w:pStyle w:val="85"/>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本项目废水拉运至泾河8撬装式水净化站处理达标后回注油层，不外排。该站执行《碎屑岩油藏注水水质指标技术要求及分析方法》（SY-T5329－2022）中相关回注标准要求。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固体废物执行固体废物执行《一般工业固体废物贮存和填埋污染控制标准》（GB18599-2020）；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default" w:ascii="Times New Roman" w:hAnsi="Times New Roman" w:eastAsia="宋体" w:cs="Times New Roman"/>
                <w:color w:val="auto"/>
                <w:kern w:val="0"/>
                <w:sz w:val="24"/>
                <w:lang w:val="en-US" w:eastAsia="zh-CN"/>
              </w:rPr>
              <w:t>危险废物执行《危险废物贮存污染控制标准》（GB18597-2023）中有关规定（危废标准已于2023年修订，由2001年版更新为2023年版）。</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03F8BB3E">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ascii="Times New Roman" w:hAnsi="Times New Roman" w:eastAsia="宋体" w:cs="Times New Roman"/>
                <w:b w:val="0"/>
                <w:color w:val="auto"/>
                <w:kern w:val="0"/>
                <w:sz w:val="24"/>
                <w:szCs w:val="22"/>
                <w:lang w:val="en-US" w:eastAsia="zh-CN" w:bidi="ar-SA"/>
              </w:rPr>
            </w:pPr>
            <w:r>
              <w:rPr>
                <w:rFonts w:hint="default" w:ascii="Times New Roman" w:hAnsi="Times New Roman" w:eastAsia="宋体" w:cs="Times New Roman"/>
                <w:b w:val="0"/>
                <w:color w:val="auto"/>
                <w:kern w:val="0"/>
                <w:sz w:val="24"/>
                <w:szCs w:val="22"/>
                <w:lang w:val="en-US" w:eastAsia="zh-CN" w:bidi="ar-SA"/>
              </w:rPr>
              <w:t>本项目为</w:t>
            </w:r>
            <w:r>
              <w:rPr>
                <w:rFonts w:hint="default" w:ascii="Times New Roman" w:hAnsi="Times New Roman" w:cs="Times New Roman"/>
                <w:b w:val="0"/>
                <w:color w:val="auto"/>
                <w:kern w:val="0"/>
                <w:sz w:val="24"/>
                <w:szCs w:val="22"/>
                <w:lang w:val="en-US" w:eastAsia="zh-CN" w:bidi="ar-SA"/>
              </w:rPr>
              <w:t>石油勘探</w:t>
            </w:r>
            <w:r>
              <w:rPr>
                <w:rFonts w:hint="default" w:ascii="Times New Roman" w:hAnsi="Times New Roman" w:eastAsia="宋体" w:cs="Times New Roman"/>
                <w:b w:val="0"/>
                <w:color w:val="auto"/>
                <w:kern w:val="0"/>
                <w:sz w:val="24"/>
                <w:szCs w:val="22"/>
                <w:lang w:val="en-US" w:eastAsia="zh-CN" w:bidi="ar-SA"/>
              </w:rPr>
              <w:t>项目，勘探钻井试</w:t>
            </w:r>
            <w:r>
              <w:rPr>
                <w:rFonts w:hint="default" w:ascii="Times New Roman" w:hAnsi="Times New Roman" w:cs="Times New Roman"/>
                <w:b w:val="0"/>
                <w:color w:val="auto"/>
                <w:kern w:val="0"/>
                <w:sz w:val="24"/>
                <w:szCs w:val="22"/>
                <w:lang w:val="en-US" w:eastAsia="zh-CN" w:bidi="ar-SA"/>
              </w:rPr>
              <w:t>油</w:t>
            </w:r>
            <w:r>
              <w:rPr>
                <w:rFonts w:hint="default" w:ascii="Times New Roman" w:hAnsi="Times New Roman" w:eastAsia="宋体" w:cs="Times New Roman"/>
                <w:b w:val="0"/>
                <w:color w:val="auto"/>
                <w:kern w:val="0"/>
                <w:sz w:val="24"/>
                <w:szCs w:val="22"/>
                <w:lang w:val="en-US" w:eastAsia="zh-CN" w:bidi="ar-SA"/>
              </w:rPr>
              <w:t>完成后即停止产污，无废水产生，无废气产生，同时依据环评及批复文件，项目不涉及总</w:t>
            </w:r>
            <w:r>
              <w:rPr>
                <w:rFonts w:hint="default" w:ascii="Times New Roman" w:hAnsi="Times New Roman" w:eastAsia="宋体" w:cs="Times New Roman"/>
                <w:b w:val="0"/>
                <w:bCs w:val="0"/>
                <w:color w:val="auto"/>
                <w:kern w:val="0"/>
                <w:sz w:val="24"/>
                <w:szCs w:val="22"/>
                <w:lang w:val="en-US" w:eastAsia="zh-CN" w:bidi="ar-SA"/>
              </w:rPr>
              <w:t>量控制指标申</w:t>
            </w:r>
            <w:r>
              <w:rPr>
                <w:rFonts w:hint="default" w:ascii="Times New Roman" w:hAnsi="Times New Roman" w:eastAsia="宋体" w:cs="Times New Roman"/>
                <w:b w:val="0"/>
                <w:bCs w:val="0"/>
                <w:color w:val="auto"/>
                <w:kern w:val="0"/>
                <w:sz w:val="24"/>
                <w:szCs w:val="24"/>
                <w:lang w:val="en-US" w:eastAsia="zh-CN" w:bidi="ar"/>
              </w:rPr>
              <w:t>请</w:t>
            </w:r>
            <w:r>
              <w:rPr>
                <w:rFonts w:hint="default" w:ascii="Times New Roman" w:hAnsi="Times New Roman" w:eastAsia="宋体" w:cs="Times New Roman"/>
                <w:b w:val="0"/>
                <w:color w:val="auto"/>
                <w:kern w:val="0"/>
                <w:sz w:val="24"/>
                <w:szCs w:val="22"/>
                <w:lang w:val="en-US" w:eastAsia="zh-CN" w:bidi="ar-SA"/>
              </w:rPr>
              <w:t>。</w:t>
            </w:r>
          </w:p>
          <w:p w14:paraId="33998A6D">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tc>
      </w:tr>
    </w:tbl>
    <w:p w14:paraId="091308A0">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1"/>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4"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4"/>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6716"/>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color w:val="auto"/>
                <w:spacing w:val="0"/>
                <w:w w:val="100"/>
                <w:sz w:val="24"/>
                <w:szCs w:val="24"/>
                <w:highlight w:val="none"/>
                <w:lang w:eastAsia="zh-CN"/>
              </w:rPr>
              <w:t>泾河3402H（良平2H）预探井建设项目</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19EE805C">
            <w:pPr>
              <w:pStyle w:val="3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eastAsia="zh-CN"/>
              </w:rPr>
              <w:t>庆阳市</w:t>
            </w:r>
            <w:r>
              <w:rPr>
                <w:rFonts w:hint="default" w:ascii="Times New Roman" w:hAnsi="Times New Roman" w:cs="Times New Roman"/>
                <w:color w:val="auto"/>
                <w:spacing w:val="0"/>
                <w:w w:val="100"/>
                <w:sz w:val="24"/>
                <w:szCs w:val="24"/>
                <w:highlight w:val="none"/>
                <w:lang w:eastAsia="zh-CN"/>
              </w:rPr>
              <w:t>宁县早胜镇南庄村二组；</w:t>
            </w:r>
            <w:r>
              <w:rPr>
                <w:rFonts w:hint="default" w:ascii="Times New Roman" w:hAnsi="Times New Roman" w:eastAsia="宋体" w:cs="Times New Roman"/>
                <w:color w:val="auto"/>
                <w:spacing w:val="0"/>
                <w:w w:val="100"/>
                <w:sz w:val="24"/>
                <w:szCs w:val="24"/>
                <w:highlight w:val="none"/>
                <w:lang w:val="en-US" w:eastAsia="zh-CN"/>
              </w:rPr>
              <w:t>中心点坐标</w:t>
            </w:r>
            <w:r>
              <w:rPr>
                <w:rFonts w:hint="default" w:ascii="Times New Roman" w:hAnsi="Times New Roman" w:cs="Times New Roman"/>
                <w:color w:val="auto"/>
                <w:spacing w:val="0"/>
                <w:w w:val="100"/>
                <w:sz w:val="24"/>
                <w:szCs w:val="24"/>
                <w:highlight w:val="none"/>
                <w:lang w:val="en-US" w:eastAsia="zh-CN"/>
              </w:rPr>
              <w:t>：E107°47′38.782″，N35°22′38.788″</w:t>
            </w:r>
          </w:p>
          <w:p w14:paraId="3DF412ED">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9"/>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本项目为石油勘探井的钻试工程，只有钻井过程和试油期，不涉及运行期和闭井期。验收范围</w:t>
            </w:r>
            <w:r>
              <w:rPr>
                <w:rFonts w:hint="default" w:ascii="Times New Roman" w:hAnsi="Times New Roman" w:cs="Times New Roman"/>
                <w:color w:val="auto"/>
                <w:sz w:val="24"/>
                <w:szCs w:val="24"/>
                <w:lang w:val="en-US" w:eastAsia="zh-CN"/>
              </w:rPr>
              <w:t>井场</w:t>
            </w:r>
            <w:r>
              <w:rPr>
                <w:rFonts w:hint="default" w:ascii="Times New Roman" w:hAnsi="Times New Roman" w:eastAsia="宋体" w:cs="Times New Roman"/>
                <w:color w:val="auto"/>
                <w:sz w:val="24"/>
                <w:szCs w:val="24"/>
                <w:lang w:val="en-US" w:eastAsia="zh-CN"/>
              </w:rPr>
              <w:t>钻井与试油工程进行验收</w:t>
            </w:r>
            <w:r>
              <w:rPr>
                <w:rFonts w:hint="default" w:ascii="Times New Roman" w:hAnsi="Times New Roman"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en-US" w:eastAsia="zh-CN" w:bidi="ar-SA"/>
              </w:rPr>
              <w:t>表 4-1 工程实施及现状情况一览表</w:t>
            </w:r>
          </w:p>
          <w:tbl>
            <w:tblPr>
              <w:tblStyle w:val="27"/>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444"/>
              <w:gridCol w:w="839"/>
              <w:gridCol w:w="2077"/>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实际井深</w:t>
                  </w:r>
                </w:p>
              </w:tc>
              <w:tc>
                <w:tcPr>
                  <w:tcW w:w="839"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井型</w:t>
                  </w:r>
                </w:p>
              </w:tc>
              <w:tc>
                <w:tcPr>
                  <w:tcW w:w="2077"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是否具备工业油流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泾河3402H（良平2H）</w:t>
                  </w:r>
                </w:p>
              </w:tc>
              <w:tc>
                <w:tcPr>
                  <w:tcW w:w="1444" w:type="dxa"/>
                  <w:tcBorders>
                    <w:tl2br w:val="nil"/>
                    <w:tr2bl w:val="nil"/>
                  </w:tcBorders>
                  <w:shd w:val="clear" w:color="auto" w:fill="auto"/>
                  <w:vAlign w:val="center"/>
                </w:tcPr>
                <w:p w14:paraId="210B117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2311m</w:t>
                  </w:r>
                </w:p>
              </w:tc>
              <w:tc>
                <w:tcPr>
                  <w:tcW w:w="839"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直井</w:t>
                  </w:r>
                </w:p>
              </w:tc>
              <w:tc>
                <w:tcPr>
                  <w:tcW w:w="2077"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临时关井，待转产</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 xml:space="preserve">4-2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6"/>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2"/>
              <w:gridCol w:w="425"/>
              <w:gridCol w:w="2"/>
              <w:gridCol w:w="958"/>
              <w:gridCol w:w="2429"/>
              <w:gridCol w:w="2435"/>
              <w:gridCol w:w="752"/>
              <w:gridCol w:w="1265"/>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tblHeader/>
                <w:jc w:val="center"/>
              </w:trPr>
              <w:tc>
                <w:tcPr>
                  <w:tcW w:w="258" w:type="pct"/>
                  <w:gridSpan w:val="2"/>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579"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468"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472"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54"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764"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38BB47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90" w:hRule="atLeast"/>
                <w:jc w:val="center"/>
              </w:trPr>
              <w:tc>
                <w:tcPr>
                  <w:tcW w:w="258" w:type="pct"/>
                  <w:gridSpan w:val="2"/>
                  <w:tcBorders>
                    <w:tl2br w:val="nil"/>
                    <w:tr2bl w:val="nil"/>
                  </w:tcBorders>
                  <w:noWrap w:val="0"/>
                  <w:vAlign w:val="center"/>
                </w:tcPr>
                <w:p w14:paraId="771E86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7C6CA1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579" w:type="pct"/>
                  <w:tcBorders>
                    <w:tl2br w:val="nil"/>
                    <w:tr2bl w:val="nil"/>
                  </w:tcBorders>
                  <w:shd w:val="clear" w:color="auto" w:fill="auto"/>
                  <w:noWrap w:val="0"/>
                  <w:vAlign w:val="center"/>
                </w:tcPr>
                <w:p w14:paraId="7D476E91">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w:t>
                  </w:r>
                  <w:r>
                    <w:rPr>
                      <w:rFonts w:hint="default" w:ascii="Times New Roman" w:hAnsi="Times New Roman" w:eastAsia="宋体" w:cs="Times New Roman"/>
                      <w:color w:val="auto"/>
                      <w:spacing w:val="0"/>
                      <w:highlight w:val="none"/>
                    </w:rPr>
                    <w:t>工程</w:t>
                  </w:r>
                </w:p>
              </w:tc>
              <w:tc>
                <w:tcPr>
                  <w:tcW w:w="1468" w:type="pct"/>
                  <w:tcBorders>
                    <w:tl2br w:val="nil"/>
                    <w:tr2bl w:val="nil"/>
                  </w:tcBorders>
                  <w:shd w:val="clear" w:color="auto" w:fill="auto"/>
                  <w:noWrap w:val="0"/>
                  <w:vAlign w:val="center"/>
                </w:tcPr>
                <w:p w14:paraId="10C12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设计平均钻井进尺为2900m，为直井，钻机型号为ZJ-40，工程包括钻井成套设备搬运、安装、调试、钻进、录井、测井、固井等环节。</w:t>
                  </w:r>
                </w:p>
              </w:tc>
              <w:tc>
                <w:tcPr>
                  <w:tcW w:w="1472" w:type="pct"/>
                  <w:tcBorders>
                    <w:tl2br w:val="nil"/>
                    <w:tr2bl w:val="nil"/>
                  </w:tcBorders>
                  <w:noWrap w:val="0"/>
                  <w:vAlign w:val="center"/>
                </w:tcPr>
                <w:p w14:paraId="1F39E4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泾河3402H（良平2H）实际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为：2311m</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为</w:t>
                  </w:r>
                  <w:r>
                    <w:rPr>
                      <w:rFonts w:hint="default" w:ascii="Times New Roman" w:hAnsi="Times New Roman" w:eastAsia="宋体" w:cs="Times New Roman"/>
                      <w:color w:val="auto"/>
                      <w:spacing w:val="0"/>
                      <w:sz w:val="21"/>
                      <w:szCs w:val="21"/>
                      <w:highlight w:val="none"/>
                      <w:lang w:val="en-US" w:eastAsia="zh-CN"/>
                    </w:rPr>
                    <w:t>直井，</w:t>
                  </w:r>
                  <w:r>
                    <w:rPr>
                      <w:rFonts w:hint="default" w:ascii="Times New Roman" w:hAnsi="Times New Roman" w:eastAsia="宋体" w:cs="Times New Roman"/>
                      <w:color w:val="auto"/>
                      <w:spacing w:val="0"/>
                      <w:sz w:val="21"/>
                      <w:szCs w:val="21"/>
                      <w:highlight w:val="none"/>
                    </w:rPr>
                    <w:t>钻机型号为ZJ-40，工程包括钻井成套设备搬运、安装、调试、钻进、录井、测井、固井等环节</w:t>
                  </w:r>
                </w:p>
              </w:tc>
              <w:tc>
                <w:tcPr>
                  <w:tcW w:w="454" w:type="pct"/>
                  <w:tcBorders>
                    <w:tl2br w:val="nil"/>
                    <w:tr2bl w:val="nil"/>
                  </w:tcBorders>
                  <w:noWrap w:val="0"/>
                  <w:vAlign w:val="center"/>
                </w:tcPr>
                <w:p w14:paraId="24003F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基本一致</w:t>
                  </w:r>
                </w:p>
              </w:tc>
              <w:tc>
                <w:tcPr>
                  <w:tcW w:w="764" w:type="pct"/>
                  <w:tcBorders>
                    <w:tl2br w:val="nil"/>
                    <w:tr2bl w:val="nil"/>
                  </w:tcBorders>
                  <w:noWrap w:val="0"/>
                  <w:vAlign w:val="center"/>
                </w:tcPr>
                <w:p w14:paraId="2B4F6A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勘探深度变浅，根据项目场址处实际地层情况，对钻井深度进行了微调，钻井目的层未发生改变）</w:t>
                  </w:r>
                </w:p>
              </w:tc>
            </w:tr>
            <w:tr w14:paraId="6CDCC9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restart"/>
                  <w:tcBorders>
                    <w:tl2br w:val="nil"/>
                    <w:tr2bl w:val="nil"/>
                  </w:tcBorders>
                  <w:shd w:val="clear" w:color="auto" w:fill="auto"/>
                  <w:noWrap w:val="0"/>
                  <w:vAlign w:val="center"/>
                </w:tcPr>
                <w:p w14:paraId="6D12F5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配套工程</w:t>
                  </w:r>
                </w:p>
                <w:p w14:paraId="6EBD87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p>
              </w:tc>
              <w:tc>
                <w:tcPr>
                  <w:tcW w:w="579" w:type="pct"/>
                  <w:tcBorders>
                    <w:tl2br w:val="nil"/>
                    <w:tr2bl w:val="nil"/>
                  </w:tcBorders>
                  <w:shd w:val="clear" w:color="auto" w:fill="auto"/>
                  <w:noWrap w:val="0"/>
                  <w:vAlign w:val="center"/>
                </w:tcPr>
                <w:p w14:paraId="584E69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钻前工程</w:t>
                  </w:r>
                </w:p>
              </w:tc>
              <w:tc>
                <w:tcPr>
                  <w:tcW w:w="1468" w:type="pct"/>
                  <w:tcBorders>
                    <w:tl2br w:val="nil"/>
                    <w:tr2bl w:val="nil"/>
                  </w:tcBorders>
                  <w:shd w:val="clear" w:color="auto" w:fill="auto"/>
                  <w:noWrap w:val="0"/>
                  <w:vAlign w:val="center"/>
                </w:tcPr>
                <w:p w14:paraId="7561B3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钻前准备工作，包括表土剥离，局部井场平整及硬化，修建临时道路，修建设备基础、降排水（污）措施等。井场配套布置安装泥浆不落地设备、生活区、发电室等，井场设置表土堆放场。</w:t>
                  </w:r>
                </w:p>
              </w:tc>
              <w:tc>
                <w:tcPr>
                  <w:tcW w:w="1472" w:type="pct"/>
                  <w:tcBorders>
                    <w:tl2br w:val="nil"/>
                    <w:tr2bl w:val="nil"/>
                  </w:tcBorders>
                  <w:shd w:val="clear" w:color="auto" w:fill="auto"/>
                  <w:noWrap w:val="0"/>
                  <w:vAlign w:val="center"/>
                </w:tcPr>
                <w:p w14:paraId="3E1562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钻前准备工作，包括表土剥离，局部井场平整及硬化，修建临时道路，修建设备基础、降排水（污）措施等。井场配套布置安装泥浆不落地设备、生活区、发电室等，井场设置表土堆放场。</w:t>
                  </w:r>
                </w:p>
              </w:tc>
              <w:tc>
                <w:tcPr>
                  <w:tcW w:w="454" w:type="pct"/>
                  <w:tcBorders>
                    <w:tl2br w:val="nil"/>
                    <w:tr2bl w:val="nil"/>
                  </w:tcBorders>
                  <w:noWrap w:val="0"/>
                  <w:vAlign w:val="center"/>
                </w:tcPr>
                <w:p w14:paraId="5CE1FD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34B3B1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81977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shd w:val="clear" w:color="auto" w:fill="auto"/>
                  <w:noWrap w:val="0"/>
                  <w:vAlign w:val="center"/>
                </w:tcPr>
                <w:p w14:paraId="259466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p>
              </w:tc>
              <w:tc>
                <w:tcPr>
                  <w:tcW w:w="579" w:type="pct"/>
                  <w:tcBorders>
                    <w:tl2br w:val="nil"/>
                    <w:tr2bl w:val="nil"/>
                  </w:tcBorders>
                  <w:shd w:val="clear" w:color="auto" w:fill="auto"/>
                  <w:noWrap w:val="0"/>
                  <w:vAlign w:val="center"/>
                </w:tcPr>
                <w:p w14:paraId="6B948B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完井测试</w:t>
                  </w:r>
                </w:p>
              </w:tc>
              <w:tc>
                <w:tcPr>
                  <w:tcW w:w="1468" w:type="pct"/>
                  <w:tcBorders>
                    <w:tl2br w:val="nil"/>
                    <w:tr2bl w:val="nil"/>
                  </w:tcBorders>
                  <w:shd w:val="clear" w:color="auto" w:fill="auto"/>
                  <w:noWrap w:val="0"/>
                  <w:vAlign w:val="center"/>
                </w:tcPr>
                <w:p w14:paraId="4106D0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当钻至目的层后，对钻井进行完井测试，以取得施工段流体性质、测试产能、底层压力等详细工程资料。完井作业包括洗井、射孔、压裂、试油等过程。</w:t>
                  </w:r>
                </w:p>
              </w:tc>
              <w:tc>
                <w:tcPr>
                  <w:tcW w:w="1472" w:type="pct"/>
                  <w:tcBorders>
                    <w:tl2br w:val="nil"/>
                    <w:tr2bl w:val="nil"/>
                  </w:tcBorders>
                  <w:shd w:val="clear" w:color="auto" w:fill="auto"/>
                  <w:noWrap w:val="0"/>
                  <w:vAlign w:val="center"/>
                </w:tcPr>
                <w:p w14:paraId="055531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当钻至目的层后，对钻井进行完井测试，以取得施工段流体性质、测试产能、底层压力等详细工程资料。完井作业包括洗井、射孔、压裂、试油等过程。</w:t>
                  </w:r>
                </w:p>
              </w:tc>
              <w:tc>
                <w:tcPr>
                  <w:tcW w:w="454" w:type="pct"/>
                  <w:tcBorders>
                    <w:tl2br w:val="nil"/>
                    <w:tr2bl w:val="nil"/>
                  </w:tcBorders>
                  <w:noWrap w:val="0"/>
                  <w:vAlign w:val="center"/>
                </w:tcPr>
                <w:p w14:paraId="75B949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627938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71" w:hRule="atLeast"/>
                <w:jc w:val="center"/>
              </w:trPr>
              <w:tc>
                <w:tcPr>
                  <w:tcW w:w="258" w:type="pct"/>
                  <w:gridSpan w:val="2"/>
                  <w:tcBorders>
                    <w:tl2br w:val="nil"/>
                    <w:tr2bl w:val="nil"/>
                  </w:tcBorders>
                  <w:shd w:val="clear" w:color="auto" w:fill="auto"/>
                  <w:noWrap w:val="0"/>
                  <w:vAlign w:val="center"/>
                </w:tcPr>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辅助工程</w:t>
                  </w:r>
                </w:p>
              </w:tc>
              <w:tc>
                <w:tcPr>
                  <w:tcW w:w="579"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生活设施</w:t>
                  </w:r>
                </w:p>
              </w:tc>
              <w:tc>
                <w:tcPr>
                  <w:tcW w:w="1468" w:type="pct"/>
                  <w:tcBorders>
                    <w:tl2br w:val="nil"/>
                    <w:tr2bl w:val="nil"/>
                  </w:tcBorders>
                  <w:shd w:val="clear" w:color="auto" w:fill="auto"/>
                  <w:noWrap w:val="0"/>
                  <w:vAlign w:val="center"/>
                </w:tcPr>
                <w:p w14:paraId="7A240DBF">
                  <w:pPr>
                    <w:keepNext w:val="0"/>
                    <w:keepLines w:val="0"/>
                    <w:pageBreakBefore w:val="0"/>
                    <w:widowControl w:val="0"/>
                    <w:suppressLineNumbers w:val="0"/>
                    <w:tabs>
                      <w:tab w:val="left" w:pos="525"/>
                    </w:tabs>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eastAsia="zh-CN"/>
                    </w:rPr>
                    <w:t>场内设置旱厕，定期清掏，用于周边农田堆肥</w:t>
                  </w:r>
                </w:p>
              </w:tc>
              <w:tc>
                <w:tcPr>
                  <w:tcW w:w="1472"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项目地设置1座移动式环保厕所，</w:t>
                  </w:r>
                  <w:r>
                    <w:rPr>
                      <w:rFonts w:hint="default" w:ascii="Times New Roman" w:hAnsi="Times New Roman" w:eastAsia="宋体" w:cs="Times New Roman"/>
                      <w:bCs/>
                      <w:color w:val="auto"/>
                      <w:spacing w:val="0"/>
                      <w:sz w:val="21"/>
                      <w:szCs w:val="21"/>
                      <w:highlight w:val="none"/>
                      <w:lang w:eastAsia="zh-CN"/>
                    </w:rPr>
                    <w:t>定期清掏，用于周边农田堆肥</w:t>
                  </w:r>
                </w:p>
              </w:tc>
              <w:tc>
                <w:tcPr>
                  <w:tcW w:w="454"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98" w:hRule="atLeast"/>
                <w:jc w:val="center"/>
              </w:trPr>
              <w:tc>
                <w:tcPr>
                  <w:tcW w:w="258" w:type="pct"/>
                  <w:gridSpan w:val="2"/>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579"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供水</w:t>
                  </w:r>
                </w:p>
              </w:tc>
              <w:tc>
                <w:tcPr>
                  <w:tcW w:w="1468"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生产用水采用水罐车拉运至水罐区、生活用水采用桶装水</w:t>
                  </w:r>
                </w:p>
              </w:tc>
              <w:tc>
                <w:tcPr>
                  <w:tcW w:w="1472"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rPr>
                    <w:t>由柴油发电机供给</w:t>
                  </w:r>
                </w:p>
              </w:tc>
              <w:tc>
                <w:tcPr>
                  <w:tcW w:w="454"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排水</w:t>
                  </w:r>
                </w:p>
              </w:tc>
              <w:tc>
                <w:tcPr>
                  <w:tcW w:w="1468"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场地内设移动式环保厕所，定期清掏外用作农肥</w:t>
                  </w:r>
                </w:p>
              </w:tc>
              <w:tc>
                <w:tcPr>
                  <w:tcW w:w="1472"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default"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附近地表水供给，生活用水采用桶装水</w:t>
                  </w:r>
                </w:p>
              </w:tc>
              <w:tc>
                <w:tcPr>
                  <w:tcW w:w="454"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17B1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6741C3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5B38DA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供电</w:t>
                  </w:r>
                </w:p>
              </w:tc>
              <w:tc>
                <w:tcPr>
                  <w:tcW w:w="1468" w:type="pct"/>
                  <w:tcBorders>
                    <w:tl2br w:val="nil"/>
                    <w:tr2bl w:val="nil"/>
                  </w:tcBorders>
                  <w:shd w:val="clear" w:color="auto" w:fill="auto"/>
                  <w:noWrap w:val="0"/>
                  <w:vAlign w:val="center"/>
                </w:tcPr>
                <w:p w14:paraId="51C84F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由自备柴油发电机组发电2套</w:t>
                  </w:r>
                </w:p>
              </w:tc>
              <w:tc>
                <w:tcPr>
                  <w:tcW w:w="1472" w:type="pct"/>
                  <w:tcBorders>
                    <w:tl2br w:val="nil"/>
                    <w:tr2bl w:val="nil"/>
                  </w:tcBorders>
                  <w:noWrap w:val="0"/>
                  <w:vAlign w:val="center"/>
                </w:tcPr>
                <w:p w14:paraId="23300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由自备柴油发电机组发电2套</w:t>
                  </w:r>
                </w:p>
              </w:tc>
              <w:tc>
                <w:tcPr>
                  <w:tcW w:w="454" w:type="pct"/>
                  <w:tcBorders>
                    <w:tl2br w:val="nil"/>
                    <w:tr2bl w:val="nil"/>
                  </w:tcBorders>
                  <w:noWrap w:val="0"/>
                  <w:vAlign w:val="center"/>
                </w:tcPr>
                <w:p w14:paraId="7767CF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057533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193E9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073C1D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11695C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道路</w:t>
                  </w:r>
                </w:p>
              </w:tc>
              <w:tc>
                <w:tcPr>
                  <w:tcW w:w="1468" w:type="pct"/>
                  <w:tcBorders>
                    <w:tl2br w:val="nil"/>
                    <w:tr2bl w:val="nil"/>
                  </w:tcBorders>
                  <w:shd w:val="clear" w:color="auto" w:fill="auto"/>
                  <w:noWrap w:val="0"/>
                  <w:vAlign w:val="center"/>
                </w:tcPr>
                <w:p w14:paraId="3D631E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井场外有乡村道路，新建进场施工便道，与乡村道路相连接，道路宽度为6m，配备洒水车定期洒水抑尘。</w:t>
                  </w:r>
                </w:p>
              </w:tc>
              <w:tc>
                <w:tcPr>
                  <w:tcW w:w="1472" w:type="pct"/>
                  <w:tcBorders>
                    <w:tl2br w:val="nil"/>
                    <w:tr2bl w:val="nil"/>
                  </w:tcBorders>
                  <w:noWrap w:val="0"/>
                  <w:vAlign w:val="center"/>
                </w:tcPr>
                <w:p w14:paraId="0E7B9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井场外有乡村道路，新建进场施工便道，与乡村道路相连接，道路宽度为6m，配备洒水车定期洒水抑尘。</w:t>
                  </w:r>
                </w:p>
              </w:tc>
              <w:tc>
                <w:tcPr>
                  <w:tcW w:w="454" w:type="pct"/>
                  <w:tcBorders>
                    <w:tl2br w:val="nil"/>
                    <w:tr2bl w:val="nil"/>
                  </w:tcBorders>
                  <w:noWrap w:val="0"/>
                  <w:vAlign w:val="center"/>
                </w:tcPr>
                <w:p w14:paraId="76A29F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50D49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9E75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258" w:type="pct"/>
                  <w:gridSpan w:val="2"/>
                  <w:tcBorders>
                    <w:tl2br w:val="nil"/>
                    <w:tr2bl w:val="nil"/>
                  </w:tcBorders>
                  <w:shd w:val="clear" w:color="auto" w:fill="auto"/>
                  <w:noWrap w:val="0"/>
                  <w:vAlign w:val="center"/>
                </w:tcPr>
                <w:p w14:paraId="7E218211">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储运工程</w:t>
                  </w:r>
                </w:p>
              </w:tc>
              <w:tc>
                <w:tcPr>
                  <w:tcW w:w="580" w:type="pct"/>
                  <w:gridSpan w:val="2"/>
                  <w:tcBorders>
                    <w:tl2br w:val="nil"/>
                    <w:tr2bl w:val="nil"/>
                  </w:tcBorders>
                  <w:shd w:val="clear" w:color="auto" w:fill="auto"/>
                  <w:noWrap w:val="0"/>
                  <w:vAlign w:val="center"/>
                </w:tcPr>
                <w:p w14:paraId="0F40E8FE">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468" w:type="pct"/>
                  <w:tcBorders>
                    <w:tl2br w:val="nil"/>
                    <w:tr2bl w:val="nil"/>
                  </w:tcBorders>
                  <w:shd w:val="clear" w:color="auto" w:fill="auto"/>
                  <w:noWrap w:val="0"/>
                  <w:vAlign w:val="center"/>
                </w:tcPr>
                <w:p w14:paraId="1921B5A3">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地上罐，单罐有效容积60m³，用于储存柴油，底部采用重点防渗处理，并设围堰</w:t>
                  </w:r>
                </w:p>
              </w:tc>
              <w:tc>
                <w:tcPr>
                  <w:tcW w:w="1472" w:type="pct"/>
                  <w:tcBorders>
                    <w:tl2br w:val="nil"/>
                    <w:tr2bl w:val="nil"/>
                  </w:tcBorders>
                  <w:noWrap w:val="0"/>
                  <w:vAlign w:val="center"/>
                </w:tcPr>
                <w:p w14:paraId="26A760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地上罐，单罐有效容积60m³，用于储存柴油，底部采用重点防渗处理，并设围堰</w:t>
                  </w:r>
                </w:p>
              </w:tc>
              <w:tc>
                <w:tcPr>
                  <w:tcW w:w="454" w:type="pct"/>
                  <w:tcBorders>
                    <w:tl2br w:val="nil"/>
                    <w:tr2bl w:val="nil"/>
                  </w:tcBorders>
                  <w:shd w:val="clear" w:color="auto" w:fill="auto"/>
                  <w:noWrap w:val="0"/>
                  <w:vAlign w:val="center"/>
                </w:tcPr>
                <w:p w14:paraId="5FD3BA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19C33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3F9514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90" w:hRule="atLeast"/>
                <w:jc w:val="center"/>
              </w:trPr>
              <w:tc>
                <w:tcPr>
                  <w:tcW w:w="258" w:type="pct"/>
                  <w:gridSpan w:val="2"/>
                  <w:tcBorders>
                    <w:tl2br w:val="nil"/>
                    <w:tr2bl w:val="nil"/>
                  </w:tcBorders>
                  <w:shd w:val="clear" w:color="auto" w:fill="auto"/>
                  <w:noWrap w:val="0"/>
                  <w:vAlign w:val="center"/>
                </w:tcPr>
                <w:p w14:paraId="02254FC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p>
              </w:tc>
              <w:tc>
                <w:tcPr>
                  <w:tcW w:w="579" w:type="pct"/>
                  <w:tcBorders>
                    <w:tl2br w:val="nil"/>
                    <w:tr2bl w:val="nil"/>
                  </w:tcBorders>
                  <w:shd w:val="clear" w:color="auto" w:fill="auto"/>
                  <w:noWrap w:val="0"/>
                  <w:vAlign w:val="center"/>
                </w:tcPr>
                <w:p w14:paraId="5DFC8354">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468" w:type="pct"/>
                  <w:tcBorders>
                    <w:tl2br w:val="nil"/>
                    <w:tr2bl w:val="nil"/>
                  </w:tcBorders>
                  <w:shd w:val="clear" w:color="auto" w:fill="auto"/>
                  <w:noWrap w:val="0"/>
                  <w:vAlign w:val="center"/>
                </w:tcPr>
                <w:p w14:paraId="44423CD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p>
              </w:tc>
              <w:tc>
                <w:tcPr>
                  <w:tcW w:w="1472" w:type="pct"/>
                  <w:tcBorders>
                    <w:tl2br w:val="nil"/>
                    <w:tr2bl w:val="nil"/>
                  </w:tcBorders>
                  <w:noWrap w:val="0"/>
                  <w:vAlign w:val="center"/>
                </w:tcPr>
                <w:p w14:paraId="3DEBB9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井场内设置2具50m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val="en-US" w:eastAsia="zh-CN"/>
                    </w:rPr>
                    <w:t>措施废液储罐</w:t>
                  </w:r>
                </w:p>
              </w:tc>
              <w:tc>
                <w:tcPr>
                  <w:tcW w:w="454" w:type="pct"/>
                  <w:tcBorders>
                    <w:tl2br w:val="nil"/>
                    <w:tr2bl w:val="nil"/>
                  </w:tcBorders>
                  <w:shd w:val="clear" w:color="auto" w:fill="auto"/>
                  <w:noWrap w:val="0"/>
                  <w:vAlign w:val="center"/>
                </w:tcPr>
                <w:p w14:paraId="346DA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5CA0A5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restart"/>
                  <w:tcBorders>
                    <w:tl2br w:val="nil"/>
                    <w:tr2bl w:val="nil"/>
                  </w:tcBorders>
                  <w:noWrap w:val="0"/>
                  <w:vAlign w:val="center"/>
                </w:tcPr>
                <w:p w14:paraId="4041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579" w:type="pct"/>
                  <w:vMerge w:val="restart"/>
                  <w:tcBorders>
                    <w:tl2br w:val="nil"/>
                    <w:tr2bl w:val="nil"/>
                  </w:tcBorders>
                  <w:noWrap w:val="0"/>
                  <w:vAlign w:val="center"/>
                </w:tcPr>
                <w:p w14:paraId="0DAE3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468" w:type="pct"/>
                  <w:tcBorders>
                    <w:tl2br w:val="nil"/>
                    <w:tr2bl w:val="nil"/>
                  </w:tcBorders>
                  <w:shd w:val="clear" w:color="auto" w:fill="auto"/>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1472"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454"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579" w:type="pct"/>
                  <w:vMerge w:val="continue"/>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1468" w:type="pct"/>
                  <w:tcBorders>
                    <w:tl2br w:val="nil"/>
                    <w:tr2bl w:val="nil"/>
                  </w:tcBorders>
                  <w:shd w:val="clear" w:color="auto" w:fill="auto"/>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施工机械废气：主要为燃油废气，选用燃烧效率高的柴油机，采用含硫量低的柴油。</w:t>
                  </w:r>
                </w:p>
              </w:tc>
              <w:tc>
                <w:tcPr>
                  <w:tcW w:w="1472"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施工机械废气：主要为燃油废气，选用</w:t>
                  </w:r>
                  <w:r>
                    <w:rPr>
                      <w:rFonts w:hint="default" w:ascii="Times New Roman" w:hAnsi="Times New Roman" w:eastAsia="宋体" w:cs="Times New Roman"/>
                      <w:color w:val="auto"/>
                      <w:spacing w:val="0"/>
                      <w:sz w:val="21"/>
                      <w:szCs w:val="21"/>
                      <w:highlight w:val="none"/>
                    </w:rPr>
                    <w:t>燃烧效率高的柴油机</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采用含硫量低的柴油</w:t>
                  </w:r>
                  <w:r>
                    <w:rPr>
                      <w:rFonts w:hint="default" w:ascii="Times New Roman" w:hAnsi="Times New Roman" w:eastAsia="宋体" w:cs="Times New Roman"/>
                      <w:color w:val="auto"/>
                      <w:spacing w:val="0"/>
                      <w:sz w:val="21"/>
                      <w:szCs w:val="21"/>
                      <w:highlight w:val="none"/>
                      <w:lang w:eastAsia="zh-CN"/>
                    </w:rPr>
                    <w:t>。</w:t>
                  </w:r>
                </w:p>
              </w:tc>
              <w:tc>
                <w:tcPr>
                  <w:tcW w:w="454"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468" w:type="pct"/>
                  <w:tcBorders>
                    <w:tl2br w:val="nil"/>
                    <w:tr2bl w:val="nil"/>
                  </w:tcBorders>
                  <w:shd w:val="clear" w:color="auto" w:fill="auto"/>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钻井废水、试油废水、措施返排液依托泾河8撬装式水净化站处理达标后回注油层，不外排</w:t>
                  </w:r>
                </w:p>
              </w:tc>
              <w:tc>
                <w:tcPr>
                  <w:tcW w:w="1472"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钻井废水、试油废水、措施返排液依托泾河8撬装式水净化站处理达标后回注油层，</w:t>
                  </w:r>
                  <w:r>
                    <w:rPr>
                      <w:rFonts w:hint="default" w:ascii="Times New Roman" w:hAnsi="Times New Roman" w:eastAsia="宋体" w:cs="Times New Roman"/>
                      <w:color w:val="auto"/>
                      <w:spacing w:val="0"/>
                      <w:sz w:val="21"/>
                      <w:szCs w:val="21"/>
                      <w:highlight w:val="none"/>
                      <w:lang w:val="en-US" w:eastAsia="zh-CN"/>
                    </w:rPr>
                    <w:t>未</w:t>
                  </w:r>
                  <w:r>
                    <w:rPr>
                      <w:rFonts w:hint="default" w:ascii="Times New Roman" w:hAnsi="Times New Roman" w:eastAsia="宋体" w:cs="Times New Roman"/>
                      <w:color w:val="auto"/>
                      <w:spacing w:val="0"/>
                      <w:sz w:val="21"/>
                      <w:szCs w:val="21"/>
                      <w:highlight w:val="none"/>
                      <w:lang w:eastAsia="zh-CN"/>
                    </w:rPr>
                    <w:t>外排</w:t>
                  </w:r>
                </w:p>
              </w:tc>
              <w:tc>
                <w:tcPr>
                  <w:tcW w:w="454"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579"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468" w:type="pct"/>
                  <w:tcBorders>
                    <w:tl2br w:val="nil"/>
                    <w:tr2bl w:val="nil"/>
                  </w:tcBorders>
                  <w:shd w:val="clear" w:color="auto" w:fill="auto"/>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生活污水用于场地洒水降尘，厂区植被绿化；场内设置旱厕，定期清掏，用于周边农田堆肥</w:t>
                  </w:r>
                </w:p>
              </w:tc>
              <w:tc>
                <w:tcPr>
                  <w:tcW w:w="1472"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用于场地洒水降尘，厂区植被绿化；井场内设置移动式环保厕所，定期清掏，用于周边农田堆肥</w:t>
                  </w:r>
                </w:p>
              </w:tc>
              <w:tc>
                <w:tcPr>
                  <w:tcW w:w="454"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468" w:type="pct"/>
                  <w:tcBorders>
                    <w:tl2br w:val="nil"/>
                    <w:tr2bl w:val="nil"/>
                  </w:tcBorders>
                  <w:shd w:val="clear" w:color="auto" w:fill="auto"/>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一般岩屑、钻井泥浆</w:t>
                  </w:r>
                  <w:r>
                    <w:rPr>
                      <w:rFonts w:hint="default" w:ascii="Times New Roman" w:hAnsi="Times New Roman" w:eastAsia="宋体" w:cs="Times New Roman"/>
                      <w:color w:val="auto"/>
                      <w:spacing w:val="0"/>
                      <w:sz w:val="21"/>
                      <w:szCs w:val="21"/>
                      <w:highlight w:val="none"/>
                      <w:lang w:val="en-US" w:eastAsia="zh-CN"/>
                    </w:rPr>
                    <w:t>采用“不落地收集+板框压滤”工艺，处理后产生的液相用于配制钻井液，剩余无法循环利用的液相拉运至措施废液处理站集中处理，处理后作为油田注水开发工艺生产用水回注油层；不落地处理振动筛筛选出的颗粒类岩石质固相和板框压滤机处理后产生的固相，处置达标后可集中填埋或制作烧结砖等资源化综合利用</w:t>
                  </w:r>
                </w:p>
              </w:tc>
              <w:tc>
                <w:tcPr>
                  <w:tcW w:w="1472" w:type="pct"/>
                  <w:tcBorders>
                    <w:tl2br w:val="nil"/>
                    <w:tr2bl w:val="nil"/>
                  </w:tcBorders>
                  <w:noWrap w:val="0"/>
                  <w:vAlign w:val="center"/>
                </w:tcPr>
                <w:p w14:paraId="09829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default" w:ascii="Times New Roman" w:hAnsi="Times New Roman" w:eastAsia="宋体" w:cs="Times New Roman"/>
                      <w:bCs/>
                      <w:color w:val="auto"/>
                      <w:sz w:val="21"/>
                      <w:szCs w:val="21"/>
                      <w:highlight w:val="none"/>
                      <w:lang w:val="en-US"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pacing w:val="0"/>
                      <w:sz w:val="21"/>
                      <w:szCs w:val="21"/>
                      <w:highlight w:val="none"/>
                      <w:lang w:eastAsia="zh-CN"/>
                    </w:rPr>
                    <w:t>经</w:t>
                  </w:r>
                  <w:r>
                    <w:rPr>
                      <w:rFonts w:hint="default" w:ascii="Times New Roman" w:hAnsi="Times New Roman" w:eastAsia="宋体" w:cs="Times New Roman"/>
                      <w:bCs/>
                      <w:color w:val="auto"/>
                      <w:spacing w:val="0"/>
                      <w:sz w:val="21"/>
                      <w:szCs w:val="21"/>
                      <w:highlight w:val="none"/>
                      <w:lang w:val="en-US" w:eastAsia="zh-CN"/>
                    </w:rPr>
                    <w:t>固液分离</w:t>
                  </w:r>
                  <w:r>
                    <w:rPr>
                      <w:rFonts w:hint="default" w:ascii="Times New Roman" w:hAnsi="Times New Roman" w:eastAsia="宋体" w:cs="Times New Roman"/>
                      <w:bCs/>
                      <w:color w:val="auto"/>
                      <w:spacing w:val="0"/>
                      <w:sz w:val="21"/>
                      <w:szCs w:val="21"/>
                      <w:highlight w:val="none"/>
                      <w:lang w:eastAsia="zh-CN"/>
                    </w:rPr>
                    <w:t>后的液相用于配制钻井液，剩余无法循环利用的液相，拉运至</w:t>
                  </w:r>
                  <w:r>
                    <w:rPr>
                      <w:rFonts w:hint="default" w:ascii="Times New Roman" w:hAnsi="Times New Roman" w:eastAsia="宋体" w:cs="Times New Roman"/>
                      <w:bCs/>
                      <w:color w:val="auto"/>
                      <w:spacing w:val="0"/>
                      <w:sz w:val="21"/>
                      <w:szCs w:val="21"/>
                      <w:highlight w:val="none"/>
                      <w:lang w:val="en-US" w:eastAsia="zh-CN"/>
                    </w:rPr>
                    <w:t>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处理达标后回注油层，不外排</w:t>
                  </w:r>
                </w:p>
              </w:tc>
              <w:tc>
                <w:tcPr>
                  <w:tcW w:w="454"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restart"/>
                  <w:tcBorders>
                    <w:tl2br w:val="nil"/>
                    <w:tr2bl w:val="nil"/>
                  </w:tcBorders>
                  <w:noWrap w:val="0"/>
                  <w:vAlign w:val="center"/>
                </w:tcPr>
                <w:p w14:paraId="02D42A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468" w:type="pct"/>
                  <w:tcBorders>
                    <w:tl2br w:val="nil"/>
                    <w:tr2bl w:val="nil"/>
                  </w:tcBorders>
                  <w:shd w:val="clear" w:color="auto" w:fill="auto"/>
                  <w:noWrap w:val="0"/>
                  <w:vAlign w:val="center"/>
                </w:tcPr>
                <w:p w14:paraId="0E5FB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废弃钻井</w:t>
                  </w:r>
                </w:p>
                <w:p w14:paraId="4D4668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泥浆、钻井</w:t>
                  </w:r>
                </w:p>
                <w:p w14:paraId="48473E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岩屑（不含油）：根据庆环发[2022]13号庆阳市生态环境局关于规范油区水基钻井泥浆不落地管理工作的通知，钻井废弃泥浆、岩屑采取不落地收集+板框压滤装置处置，产生的泥饼（固相含水率不大于60%）暂存井场，泥饼临时暂存要落实“三防”措施并加强管理，井场内暂存时间不得超过6个月，采用“下铺上盖”方式，四周设置0.2m高围堰。下铺防渗要求：等效黏土防渗层Mb≥6.0m，K≤1x10</w:t>
                  </w:r>
                  <w:r>
                    <w:rPr>
                      <w:rFonts w:hint="default" w:ascii="Times New Roman" w:hAnsi="Times New Roman" w:eastAsia="宋体" w:cs="Times New Roman"/>
                      <w:color w:val="auto"/>
                      <w:spacing w:val="0"/>
                      <w:kern w:val="21"/>
                      <w:sz w:val="21"/>
                      <w:szCs w:val="21"/>
                      <w:highlight w:val="none"/>
                      <w:vertAlign w:val="superscript"/>
                      <w:lang w:val="en-US" w:eastAsia="zh-CN" w:bidi="ar-SA"/>
                    </w:rPr>
                    <w:t>-10</w:t>
                  </w:r>
                  <w:r>
                    <w:rPr>
                      <w:rFonts w:hint="default" w:ascii="Times New Roman" w:hAnsi="Times New Roman" w:eastAsia="宋体" w:cs="Times New Roman"/>
                      <w:color w:val="auto"/>
                      <w:spacing w:val="0"/>
                      <w:kern w:val="21"/>
                      <w:sz w:val="21"/>
                      <w:szCs w:val="21"/>
                      <w:highlight w:val="none"/>
                      <w:lang w:val="en-US" w:eastAsia="zh-CN" w:bidi="ar-SA"/>
                    </w:rPr>
                    <w:t>cm/s；或参照GB18598执行《石油化工工程防渗技术规范》（GB/T50934-2013）。</w:t>
                  </w:r>
                </w:p>
                <w:p w14:paraId="45E42B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产生的钻井废弃泥浆、一般岩屑全部采用“不落地收集+板框压滤”处理工艺，经处理后的液相用于配制钻井液，剩余无法循环利用的液相，拉运至废液处理站集中处理后，作为油田注水开发工艺生产用水回注油层；不落地处理振动筛筛选出的颗粒类岩石质固相和板框压滤机处理后产生的固相，处置达标后可在一般工业固废集中填埋场安全填埋处置或制作烧结砖资源化利用。</w:t>
                  </w:r>
                </w:p>
              </w:tc>
              <w:tc>
                <w:tcPr>
                  <w:tcW w:w="1472" w:type="pct"/>
                  <w:tcBorders>
                    <w:tl2br w:val="nil"/>
                    <w:tr2bl w:val="nil"/>
                  </w:tcBorders>
                  <w:shd w:val="clear" w:color="auto" w:fill="auto"/>
                  <w:noWrap w:val="0"/>
                  <w:vAlign w:val="center"/>
                </w:tcPr>
                <w:p w14:paraId="0A2C25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钻井废弃泥浆、岩屑采取不落地收集+板框压滤装置处置，产生的泥饼（固相含水率不大于60%）暂存井场，泥饼临时暂存要落实“三防”措施并加强管理，井场内暂存时间</w:t>
                  </w:r>
                  <w:r>
                    <w:rPr>
                      <w:rFonts w:hint="default" w:ascii="Times New Roman" w:hAnsi="Times New Roman" w:eastAsia="宋体" w:cs="Times New Roman"/>
                      <w:bCs/>
                      <w:color w:val="auto"/>
                      <w:sz w:val="21"/>
                      <w:szCs w:val="21"/>
                      <w:highlight w:val="none"/>
                      <w:lang w:val="en-US" w:eastAsia="zh-CN"/>
                    </w:rPr>
                    <w:t>未</w:t>
                  </w:r>
                  <w:r>
                    <w:rPr>
                      <w:rFonts w:hint="default" w:ascii="Times New Roman" w:hAnsi="Times New Roman" w:eastAsia="宋体" w:cs="Times New Roman"/>
                      <w:bCs/>
                      <w:color w:val="auto"/>
                      <w:sz w:val="21"/>
                      <w:szCs w:val="21"/>
                      <w:highlight w:val="none"/>
                      <w:lang w:eastAsia="zh-CN"/>
                    </w:rPr>
                    <w:t>超过6个月。采用“下铺上盖”方式，四周设置0.2m高围堰，</w:t>
                  </w:r>
                  <w:r>
                    <w:rPr>
                      <w:rFonts w:hint="default" w:ascii="Times New Roman" w:hAnsi="Times New Roman" w:eastAsia="宋体" w:cs="Times New Roman"/>
                      <w:color w:val="auto"/>
                      <w:spacing w:val="0"/>
                      <w:kern w:val="21"/>
                      <w:sz w:val="21"/>
                      <w:szCs w:val="21"/>
                      <w:highlight w:val="none"/>
                      <w:lang w:val="en-US" w:eastAsia="zh-CN" w:bidi="ar-SA"/>
                    </w:rPr>
                    <w:t>采用“下铺上盖”方式，四周设置0.2m高围堰。下铺防渗要求：等效黏土防渗层Mb≥6.0m，K≤1x10</w:t>
                  </w:r>
                  <w:r>
                    <w:rPr>
                      <w:rFonts w:hint="default" w:ascii="Times New Roman" w:hAnsi="Times New Roman" w:eastAsia="宋体" w:cs="Times New Roman"/>
                      <w:color w:val="auto"/>
                      <w:spacing w:val="0"/>
                      <w:kern w:val="21"/>
                      <w:sz w:val="21"/>
                      <w:szCs w:val="21"/>
                      <w:highlight w:val="none"/>
                      <w:vertAlign w:val="superscript"/>
                      <w:lang w:val="en-US" w:eastAsia="zh-CN" w:bidi="ar-SA"/>
                    </w:rPr>
                    <w:t>-10</w:t>
                  </w:r>
                  <w:r>
                    <w:rPr>
                      <w:rFonts w:hint="default" w:ascii="Times New Roman" w:hAnsi="Times New Roman" w:eastAsia="宋体" w:cs="Times New Roman"/>
                      <w:color w:val="auto"/>
                      <w:spacing w:val="0"/>
                      <w:kern w:val="21"/>
                      <w:sz w:val="21"/>
                      <w:szCs w:val="21"/>
                      <w:highlight w:val="none"/>
                      <w:lang w:val="en-US" w:eastAsia="zh-CN" w:bidi="ar-SA"/>
                    </w:rPr>
                    <w:t>cm/s</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val="en-US" w:eastAsia="zh-CN" w:bidi="ar-SA"/>
                    </w:rPr>
                    <w:t>产生的钻井废弃泥浆、一般岩屑全部采用“不落地收集+板框压滤”处理工艺，经处理后的</w:t>
                  </w:r>
                  <w:r>
                    <w:rPr>
                      <w:rFonts w:hint="default" w:ascii="Times New Roman" w:hAnsi="Times New Roman" w:eastAsia="宋体" w:cs="Times New Roman"/>
                      <w:bCs/>
                      <w:color w:val="auto"/>
                      <w:sz w:val="21"/>
                      <w:szCs w:val="21"/>
                      <w:highlight w:val="none"/>
                      <w:lang w:eastAsia="zh-CN"/>
                    </w:rPr>
                    <w:t>岩屑暂存于固渣暂存处，由防渗漏、防溢流的运输车辆</w:t>
                  </w:r>
                  <w:r>
                    <w:rPr>
                      <w:rFonts w:hint="default"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default" w:ascii="Times New Roman" w:hAnsi="Times New Roman" w:eastAsia="宋体" w:cs="Times New Roman"/>
                      <w:color w:val="000000" w:themeColor="text1"/>
                      <w:sz w:val="21"/>
                      <w:szCs w:val="21"/>
                      <w:lang w:eastAsia="zh-CN"/>
                      <w14:textFill>
                        <w14:solidFill>
                          <w14:schemeClr w14:val="tx1"/>
                        </w14:solidFill>
                      </w14:textFill>
                    </w:rPr>
                    <w:t>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未产生二次污染</w:t>
                  </w:r>
                </w:p>
              </w:tc>
              <w:tc>
                <w:tcPr>
                  <w:tcW w:w="454" w:type="pct"/>
                  <w:tcBorders>
                    <w:tl2br w:val="nil"/>
                    <w:tr2bl w:val="nil"/>
                  </w:tcBorders>
                  <w:shd w:val="clear" w:color="auto" w:fill="auto"/>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32C556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C507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7B67B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07514A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含油岩屑统一收集后，交由有资质单位安全处置</w:t>
                  </w:r>
                </w:p>
              </w:tc>
              <w:tc>
                <w:tcPr>
                  <w:tcW w:w="1472" w:type="pct"/>
                  <w:tcBorders>
                    <w:tl2br w:val="nil"/>
                    <w:tr2bl w:val="nil"/>
                  </w:tcBorders>
                  <w:shd w:val="clear" w:color="auto" w:fill="auto"/>
                  <w:noWrap w:val="0"/>
                  <w:vAlign w:val="center"/>
                </w:tcPr>
                <w:p w14:paraId="73C864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含油岩屑统一收集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eastAsia="zh-CN"/>
                    </w:rPr>
                    <w:t>，交由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454" w:type="pct"/>
                  <w:tcBorders>
                    <w:tl2br w:val="nil"/>
                    <w:tr2bl w:val="nil"/>
                  </w:tcBorders>
                  <w:shd w:val="clear" w:color="auto" w:fill="auto"/>
                  <w:noWrap w:val="0"/>
                  <w:vAlign w:val="center"/>
                </w:tcPr>
                <w:p w14:paraId="7819B8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1A28AE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BFDB4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2BBF13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废弃原材料、包装材料安全合理处置</w:t>
                  </w:r>
                </w:p>
              </w:tc>
              <w:tc>
                <w:tcPr>
                  <w:tcW w:w="1472" w:type="pct"/>
                  <w:tcBorders>
                    <w:tl2br w:val="nil"/>
                    <w:tr2bl w:val="nil"/>
                  </w:tcBorders>
                  <w:shd w:val="clear" w:color="auto" w:fill="auto"/>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未被污染的</w:t>
                  </w:r>
                  <w:r>
                    <w:rPr>
                      <w:rFonts w:hint="default" w:ascii="Times New Roman" w:hAnsi="Times New Roman" w:eastAsia="宋体" w:cs="Times New Roman"/>
                      <w:color w:val="auto"/>
                      <w:spacing w:val="0"/>
                      <w:sz w:val="21"/>
                      <w:szCs w:val="21"/>
                      <w:highlight w:val="none"/>
                      <w:lang w:eastAsia="zh-CN"/>
                    </w:rPr>
                    <w:t>废弃原材料、包装材料收集后</w:t>
                  </w:r>
                  <w:r>
                    <w:rPr>
                      <w:rFonts w:hint="default" w:ascii="Times New Roman" w:hAnsi="Times New Roman" w:eastAsia="宋体" w:cs="Times New Roman"/>
                      <w:color w:val="auto"/>
                      <w:spacing w:val="0"/>
                      <w:sz w:val="21"/>
                      <w:szCs w:val="21"/>
                      <w:highlight w:val="none"/>
                      <w:lang w:val="en-US" w:eastAsia="zh-CN"/>
                    </w:rPr>
                    <w:t>由五普40837HB处置</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被污染的</w:t>
                  </w:r>
                  <w:r>
                    <w:rPr>
                      <w:rFonts w:hint="default" w:ascii="Times New Roman" w:hAnsi="Times New Roman" w:eastAsia="宋体" w:cs="Times New Roman"/>
                      <w:color w:val="auto"/>
                      <w:spacing w:val="0"/>
                      <w:sz w:val="21"/>
                      <w:szCs w:val="21"/>
                      <w:highlight w:val="none"/>
                      <w:lang w:eastAsia="zh-CN"/>
                    </w:rPr>
                    <w:t>废弃原材料、包装材料收集后，交由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454"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落地油及时回收，委托有资质单位进行处置</w:t>
                  </w:r>
                </w:p>
              </w:tc>
              <w:tc>
                <w:tcPr>
                  <w:tcW w:w="1472" w:type="pct"/>
                  <w:tcBorders>
                    <w:tl2br w:val="nil"/>
                    <w:tr2bl w:val="nil"/>
                  </w:tcBorders>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落地油收集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eastAsia="zh-CN"/>
                    </w:rPr>
                    <w:t>，交由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454" w:type="pct"/>
                  <w:tcBorders>
                    <w:tl2br w:val="nil"/>
                    <w:tr2bl w:val="nil"/>
                  </w:tcBorders>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8DDAE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45C7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6CC63D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76C3B0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废机油：各种机械产生的废机油采用专用收集桶收集暂存至5m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val="en-US" w:eastAsia="zh-CN"/>
                    </w:rPr>
                    <w:t>的临时危废暂存间，定期委托有资质单位外运处置</w:t>
                  </w:r>
                </w:p>
              </w:tc>
              <w:tc>
                <w:tcPr>
                  <w:tcW w:w="1472" w:type="pct"/>
                  <w:tcBorders>
                    <w:tl2br w:val="nil"/>
                    <w:tr2bl w:val="nil"/>
                  </w:tcBorders>
                  <w:shd w:val="clear" w:color="auto" w:fill="auto"/>
                  <w:noWrap w:val="0"/>
                  <w:vAlign w:val="center"/>
                </w:tcPr>
                <w:p w14:paraId="773D16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FF0000"/>
                      <w:spacing w:val="0"/>
                      <w:sz w:val="21"/>
                      <w:szCs w:val="21"/>
                      <w:highlight w:val="none"/>
                      <w:lang w:val="en-US" w:eastAsia="zh-CN"/>
                    </w:rPr>
                    <w:t>未产生</w:t>
                  </w:r>
                </w:p>
              </w:tc>
              <w:tc>
                <w:tcPr>
                  <w:tcW w:w="454" w:type="pct"/>
                  <w:tcBorders>
                    <w:tl2br w:val="nil"/>
                    <w:tr2bl w:val="nil"/>
                  </w:tcBorders>
                  <w:shd w:val="clear" w:color="auto" w:fill="auto"/>
                  <w:noWrap w:val="0"/>
                  <w:vAlign w:val="center"/>
                </w:tcPr>
                <w:p w14:paraId="51C29A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shd w:val="clear" w:color="auto" w:fill="auto"/>
                  <w:noWrap w:val="0"/>
                  <w:vAlign w:val="center"/>
                </w:tcPr>
                <w:p w14:paraId="087F83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CF3CA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施工场地设置生活垃圾箱（桶），生活垃圾收集后清运至政府部门指定地点统一处置</w:t>
                  </w:r>
                </w:p>
              </w:tc>
              <w:tc>
                <w:tcPr>
                  <w:tcW w:w="1472" w:type="pct"/>
                  <w:tcBorders>
                    <w:tl2br w:val="nil"/>
                    <w:tr2bl w:val="nil"/>
                  </w:tcBorders>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施工场地设置生活垃圾箱（桶）收集后</w:t>
                  </w:r>
                  <w:r>
                    <w:rPr>
                      <w:rFonts w:hint="default" w:ascii="Times New Roman" w:hAnsi="Times New Roman" w:eastAsia="宋体" w:cs="Times New Roman"/>
                      <w:color w:val="auto"/>
                      <w:spacing w:val="0"/>
                      <w:sz w:val="21"/>
                      <w:szCs w:val="21"/>
                      <w:highlight w:val="none"/>
                      <w:lang w:val="en-US" w:eastAsia="zh-CN"/>
                    </w:rPr>
                    <w:t>交由就近的生活垃圾中转站处置</w:t>
                  </w:r>
                </w:p>
              </w:tc>
              <w:tc>
                <w:tcPr>
                  <w:tcW w:w="454" w:type="pct"/>
                  <w:tcBorders>
                    <w:tl2br w:val="nil"/>
                    <w:tr2bl w:val="nil"/>
                  </w:tcBorders>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噪声治理</w:t>
                  </w:r>
                </w:p>
              </w:tc>
              <w:tc>
                <w:tcPr>
                  <w:tcW w:w="1468" w:type="pct"/>
                  <w:tcBorders>
                    <w:tl2br w:val="nil"/>
                    <w:tr2bl w:val="nil"/>
                  </w:tcBorders>
                  <w:shd w:val="clear" w:color="auto" w:fill="auto"/>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选用低噪设备，采取隔声、降噪措施；合理安排施工作业时间；墙体阻隔</w:t>
                  </w:r>
                </w:p>
              </w:tc>
              <w:tc>
                <w:tcPr>
                  <w:tcW w:w="1472" w:type="pct"/>
                  <w:tcBorders>
                    <w:tl2br w:val="nil"/>
                    <w:tr2bl w:val="nil"/>
                  </w:tcBorders>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rPr>
                    <w:t>用</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rPr>
                    <w:t>低噪设备</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采取隔声、降噪</w:t>
                  </w:r>
                  <w:r>
                    <w:rPr>
                      <w:rFonts w:hint="default"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rPr>
                    <w:t>合理安排施工作业时间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未出现投诉现象</w:t>
                  </w:r>
                </w:p>
              </w:tc>
              <w:tc>
                <w:tcPr>
                  <w:tcW w:w="454" w:type="pct"/>
                  <w:tcBorders>
                    <w:tl2br w:val="nil"/>
                    <w:tr2bl w:val="nil"/>
                  </w:tcBorders>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837" w:type="pct"/>
                  <w:gridSpan w:val="3"/>
                  <w:vMerge w:val="restart"/>
                  <w:tcBorders>
                    <w:tl2br w:val="nil"/>
                    <w:tr2bl w:val="nil"/>
                  </w:tcBorders>
                  <w:shd w:val="clear" w:color="auto" w:fill="auto"/>
                  <w:noWrap w:val="0"/>
                  <w:vAlign w:val="center"/>
                </w:tcPr>
                <w:p w14:paraId="17AA45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2147483648" w:afterAutospacing="0"/>
                    <w:ind w:left="0" w:right="0"/>
                    <w:jc w:val="left"/>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eastAsia="zh-CN"/>
                    </w:rPr>
                    <w:t>风险防范、</w:t>
                  </w:r>
                  <w:r>
                    <w:rPr>
                      <w:rFonts w:hint="default" w:ascii="Times New Roman" w:hAnsi="Times New Roman" w:eastAsia="宋体" w:cs="Times New Roman"/>
                      <w:color w:val="auto"/>
                      <w:kern w:val="2"/>
                      <w:sz w:val="21"/>
                      <w:szCs w:val="22"/>
                    </w:rPr>
                    <w:t>土壤、地下水</w:t>
                  </w:r>
                  <w:r>
                    <w:rPr>
                      <w:rFonts w:hint="default" w:ascii="Times New Roman" w:hAnsi="Times New Roman" w:eastAsia="宋体" w:cs="Times New Roman"/>
                      <w:color w:val="auto"/>
                      <w:kern w:val="2"/>
                      <w:sz w:val="21"/>
                      <w:szCs w:val="22"/>
                      <w:lang w:eastAsia="zh-CN"/>
                    </w:rPr>
                    <w:t>防范措施</w:t>
                  </w:r>
                </w:p>
              </w:tc>
              <w:tc>
                <w:tcPr>
                  <w:tcW w:w="1468" w:type="pct"/>
                  <w:tcBorders>
                    <w:tl2br w:val="nil"/>
                    <w:tr2bl w:val="nil"/>
                  </w:tcBorders>
                  <w:shd w:val="clear" w:color="auto" w:fill="auto"/>
                  <w:noWrap w:val="0"/>
                  <w:vAlign w:val="center"/>
                </w:tcPr>
                <w:p w14:paraId="20F37A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2147483648" w:afterAutospacing="0"/>
                    <w:ind w:left="0" w:right="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eastAsia="zh-CN"/>
                    </w:rPr>
                    <w:t>井场的</w:t>
                  </w:r>
                  <w:r>
                    <w:rPr>
                      <w:rFonts w:hint="default"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、井口集油槽、危废暂存间、柴油罐采用重点防渗，等效黏土防渗层Mb≥6.0m，K≤1.0×10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default"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cm/s，执行《石油化工工程防渗技术规范》（GB/T50934-2013）；防渗布接口处应予以粘结；防渗布出现破损，应及时更换或补漏；防渗布四周设置20cm高的围堰，</w:t>
                  </w:r>
                  <w:r>
                    <w:rPr>
                      <w:rFonts w:hint="default" w:ascii="Times New Roman" w:hAnsi="Times New Roman" w:eastAsia="宋体" w:cs="Times New Roman"/>
                      <w:color w:val="auto"/>
                      <w:kern w:val="2"/>
                      <w:sz w:val="21"/>
                      <w:szCs w:val="22"/>
                      <w:lang w:val="en-US" w:eastAsia="zh-CN"/>
                    </w:rPr>
                    <w:t>井场四周设置80cm高的砖混围墙。纳入作业区应急预案并定期组织预案演练。</w:t>
                  </w:r>
                </w:p>
              </w:tc>
              <w:tc>
                <w:tcPr>
                  <w:tcW w:w="1472"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kern w:val="2"/>
                      <w:sz w:val="21"/>
                      <w:szCs w:val="22"/>
                      <w:lang w:eastAsia="zh-CN"/>
                    </w:rPr>
                    <w:t>井场的</w:t>
                  </w:r>
                  <w:r>
                    <w:rPr>
                      <w:rFonts w:hint="default"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w:t>
                  </w:r>
                  <w:r>
                    <w:rPr>
                      <w:rFonts w:hint="default"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kern w:val="2"/>
                      <w:sz w:val="21"/>
                      <w:szCs w:val="22"/>
                      <w:lang w:eastAsia="zh-CN"/>
                    </w:rPr>
                    <w:t>、柴油罐采用重点防渗，等效黏土防渗层Mb≥6.0m，K≤1.0×10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default"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eastAsia="宋体" w:cs="Times New Roman"/>
                      <w:color w:val="auto"/>
                      <w:kern w:val="2"/>
                      <w:sz w:val="21"/>
                      <w:szCs w:val="22"/>
                      <w:lang w:val="en-US" w:eastAsia="zh-CN"/>
                    </w:rPr>
                    <w:t>；已制定了突发环境事件应急预案，并于2023年1月11日取得了庆阳市生态环境局宁县分局预案备案文件，并按照预案中相关应急措施进行定期演练。该应急预案修编日期为2026年1月11日，在本项目验收时间范围内</w:t>
                  </w:r>
                </w:p>
              </w:tc>
              <w:tc>
                <w:tcPr>
                  <w:tcW w:w="454"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64"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2504F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837" w:type="pct"/>
                  <w:gridSpan w:val="3"/>
                  <w:vMerge w:val="continue"/>
                  <w:tcBorders>
                    <w:tl2br w:val="nil"/>
                    <w:tr2bl w:val="nil"/>
                  </w:tcBorders>
                  <w:noWrap w:val="0"/>
                  <w:vAlign w:val="center"/>
                </w:tcPr>
                <w:p w14:paraId="0F790395">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1468" w:type="pct"/>
                  <w:tcBorders>
                    <w:tl2br w:val="nil"/>
                    <w:tr2bl w:val="nil"/>
                  </w:tcBorders>
                  <w:shd w:val="clear" w:color="auto" w:fill="auto"/>
                  <w:noWrap w:val="0"/>
                  <w:vAlign w:val="center"/>
                </w:tcPr>
                <w:p w14:paraId="7783A2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设30m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应急事故池1座。设置1座5m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的临时危废暂存间</w:t>
                  </w:r>
                </w:p>
              </w:tc>
              <w:tc>
                <w:tcPr>
                  <w:tcW w:w="1472" w:type="pct"/>
                  <w:tcBorders>
                    <w:tl2br w:val="nil"/>
                    <w:tr2bl w:val="nil"/>
                  </w:tcBorders>
                  <w:noWrap w:val="0"/>
                  <w:vAlign w:val="center"/>
                </w:tcPr>
                <w:p w14:paraId="53D9D4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设30m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应急事故池1座。设置1座5m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的</w:t>
                  </w:r>
                  <w:r>
                    <w:rPr>
                      <w:rFonts w:hint="default" w:ascii="Times New Roman" w:hAnsi="Times New Roman" w:eastAsia="宋体" w:cs="Times New Roman"/>
                      <w:color w:val="auto"/>
                      <w:spacing w:val="0"/>
                      <w:sz w:val="21"/>
                      <w:szCs w:val="21"/>
                      <w:highlight w:val="none"/>
                      <w:lang w:val="en-US" w:eastAsia="zh-CN"/>
                    </w:rPr>
                    <w:t>临时危废贮存库</w:t>
                  </w:r>
                </w:p>
              </w:tc>
              <w:tc>
                <w:tcPr>
                  <w:tcW w:w="454" w:type="pct"/>
                  <w:tcBorders>
                    <w:tl2br w:val="nil"/>
                    <w:tr2bl w:val="nil"/>
                  </w:tcBorders>
                  <w:shd w:val="clear" w:color="auto" w:fill="auto"/>
                  <w:noWrap w:val="0"/>
                  <w:vAlign w:val="center"/>
                </w:tcPr>
                <w:p w14:paraId="20E982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64" w:type="pct"/>
                  <w:tcBorders>
                    <w:tl2br w:val="nil"/>
                    <w:tr2bl w:val="nil"/>
                  </w:tcBorders>
                  <w:shd w:val="clear" w:color="auto" w:fill="auto"/>
                  <w:noWrap w:val="0"/>
                  <w:vAlign w:val="center"/>
                </w:tcPr>
                <w:p w14:paraId="08199C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837" w:type="pct"/>
                  <w:gridSpan w:val="3"/>
                  <w:tcBorders>
                    <w:tl2br w:val="nil"/>
                    <w:tr2bl w:val="nil"/>
                  </w:tcBorders>
                  <w:noWrap w:val="0"/>
                  <w:vAlign w:val="center"/>
                </w:tcPr>
                <w:p w14:paraId="669446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生态恢复</w:t>
                  </w:r>
                </w:p>
              </w:tc>
              <w:tc>
                <w:tcPr>
                  <w:tcW w:w="1468" w:type="pct"/>
                  <w:tcBorders>
                    <w:tl2br w:val="nil"/>
                    <w:tr2bl w:val="nil"/>
                  </w:tcBorders>
                  <w:noWrap w:val="0"/>
                  <w:vAlign w:val="center"/>
                </w:tcPr>
                <w:p w14:paraId="57ED79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对临时占用土地进行表土留存，分层回填，整平翻松，对临时占地进行生态恢复，本项目需生态恢复的面积为无开发利用价值的勘探井的临时占地面积，具体恢复面积由勘探结果确定。对井场进行标准化井场建设，对井场可绿化区域实施绿化。</w:t>
                  </w:r>
                </w:p>
              </w:tc>
              <w:tc>
                <w:tcPr>
                  <w:tcW w:w="1472"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kern w:val="2"/>
                      <w:sz w:val="21"/>
                      <w:szCs w:val="22"/>
                      <w:lang w:val="en-US" w:eastAsia="zh-CN" w:bidi="ar-SA"/>
                    </w:rPr>
                    <w:t>根据现场踏勘，</w:t>
                  </w:r>
                  <w:r>
                    <w:rPr>
                      <w:rFonts w:hint="default" w:ascii="Times New Roman" w:hAnsi="Times New Roman" w:eastAsia="宋体" w:cs="Times New Roman"/>
                      <w:color w:val="auto"/>
                      <w:spacing w:val="0"/>
                      <w:kern w:val="21"/>
                      <w:sz w:val="21"/>
                      <w:szCs w:val="21"/>
                      <w:highlight w:val="none"/>
                      <w:lang w:val="en-US" w:eastAsia="zh-CN"/>
                    </w:rPr>
                    <w:t>场地已恢复平整，井口进行临时关井，待转产，除预留转为生产开发所需的面积外，对其余临时占地进行了恢复，</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对进场道路及井场周边等及时进行了绿化</w:t>
                  </w:r>
                </w:p>
              </w:tc>
              <w:tc>
                <w:tcPr>
                  <w:tcW w:w="454" w:type="pct"/>
                  <w:tcBorders>
                    <w:tl2br w:val="nil"/>
                    <w:tr2bl w:val="nil"/>
                  </w:tcBorders>
                  <w:shd w:val="clear" w:color="auto" w:fill="auto"/>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64" w:type="pct"/>
                  <w:tcBorders>
                    <w:tl2br w:val="nil"/>
                    <w:tr2bl w:val="nil"/>
                  </w:tcBorders>
                  <w:shd w:val="clear" w:color="auto" w:fill="auto"/>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bl>
          <w:p w14:paraId="7DD560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56B5A16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tc>
      </w:tr>
    </w:tbl>
    <w:p w14:paraId="60DE9D74">
      <w:pPr>
        <w:numPr>
          <w:ilvl w:val="0"/>
          <w:numId w:val="0"/>
        </w:numPr>
        <w:rPr>
          <w:rFonts w:hint="default" w:ascii="Times New Roman" w:hAnsi="Times New Roman" w:cs="Times New Roman"/>
          <w:color w:val="auto"/>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表4-3    本项目重大变动判定表</w:t>
      </w:r>
    </w:p>
    <w:tbl>
      <w:tblPr>
        <w:tblStyle w:val="26"/>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933"/>
        <w:gridCol w:w="2600"/>
        <w:gridCol w:w="2577"/>
        <w:gridCol w:w="3501"/>
        <w:gridCol w:w="2351"/>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88"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893"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审查意见中的要求</w:t>
            </w:r>
          </w:p>
        </w:tc>
        <w:tc>
          <w:tcPr>
            <w:tcW w:w="885"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1202"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807"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变化情况/履行情况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是否重大变动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井场工程</w:t>
            </w:r>
          </w:p>
        </w:tc>
        <w:tc>
          <w:tcPr>
            <w:tcW w:w="591"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893"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885"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202"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807"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lang w:val="en-US" w:eastAsia="zh-CN"/>
              </w:rPr>
            </w:pPr>
          </w:p>
        </w:tc>
        <w:tc>
          <w:tcPr>
            <w:tcW w:w="591"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893"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直井</w:t>
            </w:r>
          </w:p>
        </w:tc>
        <w:tc>
          <w:tcPr>
            <w:tcW w:w="885"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直井</w:t>
            </w:r>
          </w:p>
        </w:tc>
        <w:tc>
          <w:tcPr>
            <w:tcW w:w="1202"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直井</w:t>
            </w:r>
          </w:p>
        </w:tc>
        <w:tc>
          <w:tcPr>
            <w:tcW w:w="807"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lang w:val="en-US" w:eastAsia="zh-CN"/>
              </w:rPr>
            </w:pPr>
          </w:p>
        </w:tc>
        <w:tc>
          <w:tcPr>
            <w:tcW w:w="591"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投资</w:t>
            </w:r>
          </w:p>
        </w:tc>
        <w:tc>
          <w:tcPr>
            <w:tcW w:w="893" w:type="pct"/>
            <w:tcBorders>
              <w:tl2br w:val="nil"/>
              <w:tr2bl w:val="nil"/>
            </w:tcBorders>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bookmarkStart w:id="5" w:name="OLE_LINK1"/>
            <w:r>
              <w:rPr>
                <w:rFonts w:hint="default" w:ascii="Times New Roman" w:hAnsi="Times New Roman" w:eastAsia="宋体" w:cs="Times New Roman"/>
                <w:color w:val="auto"/>
                <w:sz w:val="21"/>
                <w:szCs w:val="21"/>
                <w:highlight w:val="none"/>
                <w:lang w:val="en-US" w:eastAsia="zh-CN"/>
              </w:rPr>
              <w:t>项目总投资1000万元，其中环保投资约41.16万元，约占总投资的4.116%</w:t>
            </w:r>
            <w:bookmarkEnd w:id="5"/>
          </w:p>
        </w:tc>
        <w:tc>
          <w:tcPr>
            <w:tcW w:w="885" w:type="pct"/>
            <w:tcBorders>
              <w:tl2br w:val="nil"/>
              <w:tr2bl w:val="nil"/>
            </w:tcBorders>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项目总投资1000万元，其中环保投资约41.16万元，约占总投资的4.116%</w:t>
            </w:r>
          </w:p>
        </w:tc>
        <w:tc>
          <w:tcPr>
            <w:tcW w:w="1202"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项目总投资1000万元，其中环保投资约80.01万元，约占总投资的8.001%</w:t>
            </w:r>
          </w:p>
        </w:tc>
        <w:tc>
          <w:tcPr>
            <w:tcW w:w="807"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因工期较短，未产生废机油、废润滑油；未产生建筑垃圾，费用降低。</w:t>
            </w:r>
            <w:r>
              <w:rPr>
                <w:rFonts w:hint="default" w:ascii="Times New Roman" w:hAnsi="Times New Roman" w:eastAsia="宋体" w:cs="Times New Roman"/>
                <w:color w:val="auto"/>
                <w:sz w:val="21"/>
                <w:szCs w:val="21"/>
                <w:highlight w:val="none"/>
                <w:lang w:val="en-US" w:eastAsia="zh-CN"/>
              </w:rPr>
              <w:t>本项目井深变浅，</w:t>
            </w:r>
            <w:r>
              <w:rPr>
                <w:rFonts w:hint="default" w:ascii="Times New Roman" w:hAnsi="Times New Roman" w:eastAsia="宋体" w:cs="Times New Roman"/>
                <w:b w:val="0"/>
                <w:bCs w:val="0"/>
                <w:color w:val="auto"/>
                <w:sz w:val="21"/>
                <w:szCs w:val="21"/>
                <w:lang w:val="en-US" w:eastAsia="zh-CN"/>
              </w:rPr>
              <w:t>环评预估值较小，</w:t>
            </w:r>
            <w:r>
              <w:rPr>
                <w:rFonts w:hint="default" w:ascii="Times New Roman" w:hAnsi="Times New Roman" w:eastAsia="宋体" w:cs="Times New Roman"/>
                <w:color w:val="auto"/>
                <w:sz w:val="21"/>
                <w:szCs w:val="21"/>
                <w:highlight w:val="none"/>
                <w:lang w:val="en-US" w:eastAsia="zh-CN"/>
              </w:rPr>
              <w:t>施工废水、钻井泥浆、岩屑等污染物</w:t>
            </w:r>
            <w:r>
              <w:rPr>
                <w:rFonts w:hint="default" w:ascii="Times New Roman" w:hAnsi="Times New Roman" w:eastAsia="宋体" w:cs="Times New Roman"/>
                <w:b w:val="0"/>
                <w:bCs w:val="0"/>
                <w:color w:val="auto"/>
                <w:sz w:val="21"/>
                <w:szCs w:val="21"/>
                <w:lang w:val="en-US" w:eastAsia="zh-CN"/>
              </w:rPr>
              <w:t>实际产生量</w:t>
            </w:r>
            <w:r>
              <w:rPr>
                <w:rFonts w:hint="default"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highlight w:val="none"/>
                <w:lang w:val="en-US" w:eastAsia="zh-CN"/>
              </w:rPr>
              <w:t>，均得到了有效处置。导致处置费用增加，其他费用因实际情况不同均有不同程度的变化</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sz w:val="21"/>
                <w:szCs w:val="21"/>
                <w:highlight w:val="none"/>
                <w:lang w:val="en-US" w:eastAsia="zh-CN"/>
              </w:rPr>
              <w:t>综上，总投资未变化，实际环保投资增加。</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产能总规模、新钻井总数量增加30%及以上</w:t>
            </w:r>
          </w:p>
        </w:tc>
        <w:tc>
          <w:tcPr>
            <w:tcW w:w="591"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建设规模</w:t>
            </w:r>
          </w:p>
        </w:tc>
        <w:tc>
          <w:tcPr>
            <w:tcW w:w="893"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井深：2900m</w:t>
            </w:r>
          </w:p>
        </w:tc>
        <w:tc>
          <w:tcPr>
            <w:tcW w:w="885" w:type="pct"/>
            <w:tcBorders>
              <w:tl2br w:val="nil"/>
              <w:tr2bl w:val="nil"/>
            </w:tcBorders>
            <w:noWrap w:val="0"/>
            <w:vAlign w:val="center"/>
          </w:tcPr>
          <w:p w14:paraId="5BB44C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井深：2900m</w:t>
            </w:r>
          </w:p>
        </w:tc>
        <w:tc>
          <w:tcPr>
            <w:tcW w:w="1202" w:type="pct"/>
            <w:tcBorders>
              <w:tl2br w:val="nil"/>
              <w:tr2bl w:val="nil"/>
            </w:tcBorders>
            <w:noWrap w:val="0"/>
            <w:vAlign w:val="center"/>
          </w:tcPr>
          <w:p w14:paraId="0EBA01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井深：2311m</w:t>
            </w:r>
          </w:p>
        </w:tc>
        <w:tc>
          <w:tcPr>
            <w:tcW w:w="807" w:type="pct"/>
            <w:tcBorders>
              <w:tl2br w:val="nil"/>
              <w:tr2bl w:val="nil"/>
            </w:tcBorders>
            <w:noWrap w:val="0"/>
            <w:vAlign w:val="center"/>
          </w:tcPr>
          <w:p w14:paraId="59F17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变浅589m，变化率为20.3%，未超过30%</w:t>
            </w: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412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shd w:val="clear" w:color="auto" w:fill="auto"/>
            <w:noWrap w:val="0"/>
            <w:vAlign w:val="center"/>
          </w:tcPr>
          <w:p w14:paraId="3B374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893" w:type="pct"/>
            <w:tcBorders>
              <w:tl2br w:val="nil"/>
              <w:tr2bl w:val="nil"/>
            </w:tcBorders>
            <w:shd w:val="clear" w:color="auto" w:fill="auto"/>
            <w:noWrap w:val="0"/>
            <w:vAlign w:val="center"/>
          </w:tcPr>
          <w:p w14:paraId="5506C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井深：2900m</w:t>
            </w:r>
          </w:p>
        </w:tc>
        <w:tc>
          <w:tcPr>
            <w:tcW w:w="885" w:type="pct"/>
            <w:tcBorders>
              <w:tl2br w:val="nil"/>
              <w:tr2bl w:val="nil"/>
            </w:tcBorders>
            <w:shd w:val="clear" w:color="auto" w:fill="auto"/>
            <w:noWrap w:val="0"/>
            <w:vAlign w:val="center"/>
          </w:tcPr>
          <w:p w14:paraId="2AC326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井深：2900m</w:t>
            </w:r>
          </w:p>
        </w:tc>
        <w:tc>
          <w:tcPr>
            <w:tcW w:w="1202" w:type="pct"/>
            <w:tcBorders>
              <w:tl2br w:val="nil"/>
              <w:tr2bl w:val="nil"/>
            </w:tcBorders>
            <w:shd w:val="clear" w:color="auto" w:fill="auto"/>
            <w:noWrap w:val="0"/>
            <w:vAlign w:val="center"/>
          </w:tcPr>
          <w:p w14:paraId="5147F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未新增生产装置外的其他装置，井深：2311m</w:t>
            </w:r>
          </w:p>
        </w:tc>
        <w:tc>
          <w:tcPr>
            <w:tcW w:w="807" w:type="pct"/>
            <w:tcBorders>
              <w:tl2br w:val="nil"/>
              <w:tr2bl w:val="nil"/>
            </w:tcBorders>
            <w:shd w:val="clear" w:color="auto" w:fill="auto"/>
            <w:noWrap w:val="0"/>
            <w:vAlign w:val="center"/>
          </w:tcPr>
          <w:p w14:paraId="5BAE8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未新增生产装置外的其他装置，井深</w:t>
            </w:r>
            <w:r>
              <w:rPr>
                <w:rFonts w:hint="default" w:ascii="Times New Roman" w:hAnsi="Times New Roman" w:eastAsia="宋体" w:cs="Times New Roman"/>
                <w:color w:val="auto"/>
                <w:spacing w:val="0"/>
                <w:w w:val="100"/>
                <w:sz w:val="21"/>
                <w:szCs w:val="21"/>
                <w:highlight w:val="none"/>
                <w:lang w:val="en-US" w:eastAsia="zh-CN"/>
              </w:rPr>
              <w:t>变浅20.3%，导致相关污染物增加，但是均得到有效处置</w:t>
            </w:r>
          </w:p>
        </w:tc>
        <w:tc>
          <w:tcPr>
            <w:tcW w:w="223" w:type="pct"/>
            <w:tcBorders>
              <w:tl2br w:val="nil"/>
              <w:tr2bl w:val="nil"/>
            </w:tcBorders>
            <w:shd w:val="clear" w:color="auto" w:fill="auto"/>
            <w:noWrap w:val="0"/>
            <w:vAlign w:val="center"/>
          </w:tcPr>
          <w:p w14:paraId="0947E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893" w:type="pct"/>
            <w:tcBorders>
              <w:tl2br w:val="nil"/>
              <w:tr2bl w:val="nil"/>
            </w:tcBorders>
            <w:noWrap w:val="0"/>
            <w:vAlign w:val="center"/>
          </w:tcPr>
          <w:p w14:paraId="6DF2A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不涉及</w:t>
            </w:r>
          </w:p>
        </w:tc>
        <w:tc>
          <w:tcPr>
            <w:tcW w:w="885"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不涉及</w:t>
            </w:r>
          </w:p>
        </w:tc>
        <w:tc>
          <w:tcPr>
            <w:tcW w:w="1202"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不涉及</w:t>
            </w:r>
          </w:p>
        </w:tc>
        <w:tc>
          <w:tcPr>
            <w:tcW w:w="807"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91"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893"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位于宁县早胜镇南庄村二组，拟钻预探井1口，井号为泾河3402H，井场坐标为X:3920735，Y:36494019</w:t>
            </w:r>
          </w:p>
        </w:tc>
        <w:tc>
          <w:tcPr>
            <w:tcW w:w="885" w:type="pct"/>
            <w:tcBorders>
              <w:tl2br w:val="nil"/>
              <w:tr2bl w:val="nil"/>
            </w:tcBorders>
            <w:shd w:val="clear" w:color="auto" w:fill="auto"/>
            <w:noWrap w:val="0"/>
            <w:vAlign w:val="center"/>
          </w:tcPr>
          <w:p w14:paraId="3F777A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庆阳市宁县早胜镇南庄村二组；中心点坐标：E107°47′38.782″，N35°22′38.788″″</w:t>
            </w:r>
          </w:p>
        </w:tc>
        <w:tc>
          <w:tcPr>
            <w:tcW w:w="1202" w:type="pct"/>
            <w:tcBorders>
              <w:tl2br w:val="nil"/>
              <w:tr2bl w:val="nil"/>
            </w:tcBorders>
            <w:shd w:val="clear" w:color="auto" w:fill="auto"/>
            <w:noWrap w:val="0"/>
            <w:vAlign w:val="center"/>
          </w:tcPr>
          <w:p w14:paraId="144D9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宁县早胜镇南庄村二组</w:t>
            </w:r>
          </w:p>
          <w:p w14:paraId="718EB0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中心点坐标：E107°47′38.782″，N35°22′38.788″</w:t>
            </w:r>
          </w:p>
        </w:tc>
        <w:tc>
          <w:tcPr>
            <w:tcW w:w="807"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88"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893"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w:t>
            </w:r>
          </w:p>
        </w:tc>
        <w:tc>
          <w:tcPr>
            <w:tcW w:w="885"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w:t>
            </w:r>
          </w:p>
        </w:tc>
        <w:tc>
          <w:tcPr>
            <w:tcW w:w="1202"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w:t>
            </w:r>
          </w:p>
        </w:tc>
        <w:tc>
          <w:tcPr>
            <w:tcW w:w="807"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生产工艺</w:t>
            </w:r>
          </w:p>
        </w:tc>
        <w:tc>
          <w:tcPr>
            <w:tcW w:w="893"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w:t>
            </w:r>
          </w:p>
        </w:tc>
        <w:tc>
          <w:tcPr>
            <w:tcW w:w="885"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钻前工程(建设内容主要为井场的平整、修建设备基础、降排水(污)措施、泥浆罐等)、钻井工程(建设内容主要为钻井、测井、录井、固井等)及完井测试(主要包括完井作业、洗井、射孔、压裂、试油等)</w:t>
            </w:r>
          </w:p>
        </w:tc>
        <w:tc>
          <w:tcPr>
            <w:tcW w:w="1202"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钻前工程(建设内容主要为井场的平整、修建设备基础、降排水(污)措施、泥浆罐等)、钻井工程(建设内容主要为钻井、测井、录井、固井等)及完井测试(主要包括完井作业、洗井、射孔、压裂、试油等)</w:t>
            </w:r>
          </w:p>
        </w:tc>
        <w:tc>
          <w:tcPr>
            <w:tcW w:w="807"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未变：完井后经试油，井场具有开采价值，已采取临时关井措施</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废气</w:t>
            </w:r>
          </w:p>
        </w:tc>
        <w:tc>
          <w:tcPr>
            <w:tcW w:w="320" w:type="pct"/>
            <w:tcBorders>
              <w:tl2br w:val="nil"/>
              <w:tr2bl w:val="nil"/>
            </w:tcBorders>
            <w:shd w:val="clear" w:color="auto" w:fill="auto"/>
            <w:noWrap w:val="0"/>
            <w:vAlign w:val="center"/>
          </w:tcPr>
          <w:p w14:paraId="75ABC3BD">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施工扬尘</w:t>
            </w:r>
          </w:p>
        </w:tc>
        <w:tc>
          <w:tcPr>
            <w:tcW w:w="893" w:type="pct"/>
            <w:vMerge w:val="restart"/>
            <w:tcBorders>
              <w:tl2br w:val="nil"/>
              <w:tr2bl w:val="nil"/>
            </w:tcBorders>
            <w:noWrap w:val="0"/>
            <w:vAlign w:val="center"/>
          </w:tcPr>
          <w:p w14:paraId="55A643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w:t>
            </w:r>
          </w:p>
        </w:tc>
        <w:tc>
          <w:tcPr>
            <w:tcW w:w="885"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auto"/>
                <w:sz w:val="21"/>
                <w:szCs w:val="21"/>
                <w:highlight w:val="none"/>
                <w:lang w:val="en-US" w:eastAsia="zh-CN"/>
              </w:rPr>
              <w:t>井场洒水抑尘，表土及建材堆放设置挡板、上覆遮盖材料，施工运输车辆采取密闭措施或加盖防尘布，临时道路配备洒水车定期洒水抑尘；</w:t>
            </w:r>
          </w:p>
        </w:tc>
        <w:tc>
          <w:tcPr>
            <w:tcW w:w="1202" w:type="pct"/>
            <w:tcBorders>
              <w:tl2br w:val="nil"/>
              <w:tr2bl w:val="nil"/>
            </w:tcBorders>
            <w:noWrap w:val="0"/>
            <w:vAlign w:val="center"/>
          </w:tcPr>
          <w:p w14:paraId="34F93F8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（1）开挖土方过程避开了大风天气，井场洒水抑尘，表土及建材堆放设置挡板、上覆遮盖材料，施工运输车辆采取密闭措施或加盖防尘布，临时道路配备洒水车定期洒水抑尘；</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弃土、弃渣及</w:t>
            </w:r>
            <w:r>
              <w:rPr>
                <w:rFonts w:hint="default" w:ascii="Times New Roman" w:hAnsi="Times New Roman" w:eastAsia="宋体" w:cs="Times New Roman"/>
                <w:color w:val="auto"/>
                <w:spacing w:val="0"/>
                <w:sz w:val="21"/>
                <w:szCs w:val="21"/>
                <w:highlight w:val="none"/>
              </w:rPr>
              <w:t>抛撒料、渣</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挖方用篷布遮盖，减少扬尘产生量。</w:t>
            </w:r>
          </w:p>
          <w:p w14:paraId="738AAF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运输车辆加盖篷布，对施工道路、井场进行适量洒水，以降低扬尘。 </w:t>
            </w:r>
          </w:p>
          <w:p w14:paraId="09772D4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采用了燃烧效率高的柴油机以及含硫量低的柴油，减少了污染物排放； </w:t>
            </w:r>
          </w:p>
          <w:p w14:paraId="7D26065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少量试油伴生气逸散；本项目试油过程中无井喷事故发生。</w:t>
            </w:r>
          </w:p>
          <w:p w14:paraId="0E217C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钻前阶段制定了合理的施工方案和进出场路线，严格控制作业范围，尽量减少工程占地和对地表扰动，在敏感目标一侧建设减震沟。施工过程中未对居民造成影响，无补偿等工作。</w:t>
            </w:r>
          </w:p>
        </w:tc>
        <w:tc>
          <w:tcPr>
            <w:tcW w:w="807"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587EFF27">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柴油发电机燃烧烟气</w:t>
            </w:r>
          </w:p>
        </w:tc>
        <w:tc>
          <w:tcPr>
            <w:tcW w:w="893"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选用环保型柴油发电机</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使用优质轻柴油</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简易排气筒排放</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排气管朝向避开农户分布及项目区工作人员办公生活的方位</w:t>
            </w:r>
          </w:p>
        </w:tc>
        <w:tc>
          <w:tcPr>
            <w:tcW w:w="1202"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柴油发电机选用符合国家质量标准的柴油，</w:t>
            </w:r>
            <w:r>
              <w:rPr>
                <w:rFonts w:hint="default" w:ascii="Times New Roman" w:hAnsi="Times New Roman" w:eastAsia="宋体" w:cs="Times New Roman"/>
                <w:color w:val="auto"/>
                <w:sz w:val="21"/>
                <w:szCs w:val="21"/>
              </w:rPr>
              <w:t>通过简易排气筒排放</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highlight w:val="none"/>
                <w:lang w:eastAsia="zh-CN"/>
              </w:rPr>
              <w:t>排气管朝向避开项目区工作人员办公生活的方位。</w:t>
            </w:r>
          </w:p>
        </w:tc>
        <w:tc>
          <w:tcPr>
            <w:tcW w:w="807"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6A06C257">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汽车尾气</w:t>
            </w:r>
          </w:p>
        </w:tc>
        <w:tc>
          <w:tcPr>
            <w:tcW w:w="893"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车辆排放的尾气为流动的线源，影响范围较大，但其污染不集中且扩散能力相对较快，</w:t>
            </w:r>
            <w:r>
              <w:rPr>
                <w:rFonts w:hint="default" w:ascii="Times New Roman" w:hAnsi="Times New Roman" w:eastAsia="宋体" w:cs="Times New Roman"/>
                <w:color w:val="auto"/>
                <w:sz w:val="21"/>
                <w:szCs w:val="21"/>
                <w:lang w:val="en-US" w:eastAsia="zh-CN"/>
              </w:rPr>
              <w:t>影响较小</w:t>
            </w:r>
          </w:p>
        </w:tc>
        <w:tc>
          <w:tcPr>
            <w:tcW w:w="1202"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w:t>
            </w:r>
          </w:p>
        </w:tc>
        <w:tc>
          <w:tcPr>
            <w:tcW w:w="807"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6585EB38">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伴生气</w:t>
            </w:r>
          </w:p>
        </w:tc>
        <w:tc>
          <w:tcPr>
            <w:tcW w:w="893"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伴生气产生量很小，无法量化，无组织排放</w:t>
            </w:r>
          </w:p>
        </w:tc>
        <w:tc>
          <w:tcPr>
            <w:tcW w:w="1202"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w:t>
            </w:r>
          </w:p>
        </w:tc>
        <w:tc>
          <w:tcPr>
            <w:tcW w:w="807"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320"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生产废水</w:t>
            </w:r>
          </w:p>
        </w:tc>
        <w:tc>
          <w:tcPr>
            <w:tcW w:w="893" w:type="pct"/>
            <w:vMerge w:val="restart"/>
            <w:tcBorders>
              <w:tl2br w:val="nil"/>
              <w:tr2bl w:val="nil"/>
            </w:tcBorders>
            <w:noWrap w:val="0"/>
            <w:vAlign w:val="center"/>
          </w:tcPr>
          <w:p w14:paraId="2DEF7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落实废水收集池的雨污分流和防渗漏等措施，防止废水外溢、渗漏；加强各类废水收集、暂存及运输过程中的环境管理，实施全过程监控，避免违规排放，并采取有效措施，防止产生二次污染。钻井前应当在防渗布周围设置不低于80cm的砖混围墙。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885"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等井下作业废水收集至地上废水罐（位于泥浆循环罐区）临时贮存，由罐车拉运至泾河8撬装式水净化站处理达标后回注，不外排。</w:t>
            </w:r>
          </w:p>
        </w:tc>
        <w:tc>
          <w:tcPr>
            <w:tcW w:w="1202" w:type="pct"/>
            <w:tcBorders>
              <w:tl2br w:val="nil"/>
              <w:tr2bl w:val="nil"/>
            </w:tcBorders>
            <w:noWrap w:val="0"/>
            <w:vAlign w:val="center"/>
          </w:tcPr>
          <w:p w14:paraId="08A4D5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val="en-US" w:eastAsia="zh-CN"/>
              </w:rPr>
              <w:t>（1）本项目</w:t>
            </w:r>
            <w:r>
              <w:rPr>
                <w:rFonts w:hint="default" w:ascii="Times New Roman" w:hAnsi="Times New Roman" w:eastAsia="宋体" w:cs="Times New Roman"/>
                <w:color w:val="auto"/>
                <w:sz w:val="21"/>
                <w:szCs w:val="21"/>
                <w:lang w:val="en-US" w:eastAsia="zh-CN"/>
              </w:rPr>
              <w:t>试油废水、井下作业废水循环利用，选用无毒无害压裂液；</w:t>
            </w:r>
            <w:r>
              <w:rPr>
                <w:rFonts w:hint="default" w:ascii="Times New Roman" w:hAnsi="Times New Roman" w:eastAsia="宋体" w:cs="Times New Roman"/>
                <w:bCs/>
                <w:color w:val="auto"/>
                <w:spacing w:val="0"/>
                <w:sz w:val="21"/>
                <w:szCs w:val="21"/>
                <w:highlight w:val="none"/>
                <w:lang w:val="en-US" w:eastAsia="zh-CN"/>
              </w:rPr>
              <w:t>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default" w:ascii="Times New Roman" w:hAnsi="Times New Roman" w:eastAsia="宋体" w:cs="Times New Roman"/>
                <w:color w:val="auto"/>
                <w:sz w:val="21"/>
                <w:szCs w:val="21"/>
                <w:highlight w:val="none"/>
                <w:lang w:val="en-US" w:eastAsia="zh-CN" w:bidi="ar-SA"/>
              </w:rPr>
              <w:t>，废水不外排；生活污水收集沉淀后用于站场浇洒。井场营地内设置的移动式环保厕所，定期清掏用作农肥。</w:t>
            </w:r>
            <w:r>
              <w:rPr>
                <w:rFonts w:hint="default" w:ascii="Times New Roman" w:hAnsi="Times New Roman" w:eastAsia="宋体" w:cs="Times New Roman"/>
                <w:color w:val="auto"/>
                <w:spacing w:val="0"/>
                <w:sz w:val="21"/>
                <w:szCs w:val="21"/>
                <w:highlight w:val="none"/>
              </w:rPr>
              <w:t>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z w:val="21"/>
                <w:szCs w:val="21"/>
                <w:highlight w:val="none"/>
                <w:lang w:val="en-US" w:eastAsia="zh-CN" w:bidi="ar-SA"/>
              </w:rPr>
              <w:t>厂区内雨水有效收集，未外排；</w:t>
            </w:r>
            <w:r>
              <w:rPr>
                <w:rFonts w:hint="default" w:ascii="Times New Roman" w:hAnsi="Times New Roman" w:eastAsia="宋体" w:cs="Times New Roman"/>
                <w:color w:val="auto"/>
                <w:spacing w:val="0"/>
                <w:sz w:val="21"/>
                <w:szCs w:val="21"/>
                <w:highlight w:val="none"/>
              </w:rPr>
              <w:t>防渗布接口处予以粘结；防渗布出现破损，及时更换或补漏</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SA"/>
              </w:rPr>
              <w:t>施工过程无事故废水产生。井场周围设置80cm砖混围墙，现已拆除。</w:t>
            </w:r>
          </w:p>
          <w:p w14:paraId="6BAEB5F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2）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auto"/>
                <w:sz w:val="21"/>
                <w:szCs w:val="21"/>
                <w:lang w:val="en-US" w:eastAsia="zh-CN"/>
              </w:rPr>
              <w:t>，防止含油污水渗漏；设置收集贮存设施及时回收落地原油；未掩埋试油作业中散落的原油和油水混合物。</w:t>
            </w:r>
          </w:p>
        </w:tc>
        <w:tc>
          <w:tcPr>
            <w:tcW w:w="807"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生活污水</w:t>
            </w:r>
          </w:p>
        </w:tc>
        <w:tc>
          <w:tcPr>
            <w:tcW w:w="893" w:type="pct"/>
            <w:vMerge w:val="continue"/>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1202" w:type="pct"/>
            <w:tcBorders>
              <w:tl2br w:val="nil"/>
              <w:tr2bl w:val="nil"/>
            </w:tcBorders>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施工期生活污水均排入移动式环保厕所，粪便定期清运，盥洗废水就地泼洒用于施工场地抑尘。</w:t>
            </w:r>
          </w:p>
        </w:tc>
        <w:tc>
          <w:tcPr>
            <w:tcW w:w="807" w:type="pct"/>
            <w:tcBorders>
              <w:tl2br w:val="nil"/>
              <w:tr2bl w:val="nil"/>
            </w:tcBorders>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320"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设备噪声</w:t>
            </w:r>
          </w:p>
        </w:tc>
        <w:tc>
          <w:tcPr>
            <w:tcW w:w="893" w:type="pct"/>
            <w:tcBorders>
              <w:tl2br w:val="nil"/>
              <w:tr2bl w:val="nil"/>
            </w:tcBorders>
            <w:shd w:val="clear" w:color="auto" w:fill="auto"/>
            <w:noWrap w:val="0"/>
            <w:vAlign w:val="center"/>
          </w:tcPr>
          <w:p w14:paraId="6DE93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885" w:type="pct"/>
            <w:tcBorders>
              <w:tl2br w:val="nil"/>
              <w:tr2bl w:val="nil"/>
            </w:tcBorders>
            <w:noWrap w:val="0"/>
            <w:vAlign w:val="center"/>
          </w:tcPr>
          <w:p w14:paraId="7D82E4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选用低噪设备，采取隔声、降噪措施；合理安排施工作业时间；墙体阻隔</w:t>
            </w:r>
          </w:p>
        </w:tc>
        <w:tc>
          <w:tcPr>
            <w:tcW w:w="1202" w:type="pct"/>
            <w:tcBorders>
              <w:tl2br w:val="nil"/>
              <w:tr2bl w:val="nil"/>
            </w:tcBorders>
            <w:noWrap w:val="0"/>
            <w:vAlign w:val="center"/>
          </w:tcPr>
          <w:p w14:paraId="2549D5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rPr>
              <w:t>用</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rPr>
              <w:t>低噪设备</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采取隔声、降噪</w:t>
            </w:r>
            <w:r>
              <w:rPr>
                <w:rFonts w:hint="default"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rPr>
              <w:t>合理安排施工作业时间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未出现投诉现象，</w:t>
            </w:r>
            <w:r>
              <w:rPr>
                <w:rFonts w:hint="default" w:ascii="Times New Roman" w:hAnsi="Times New Roman" w:eastAsia="宋体" w:cs="Times New Roman"/>
                <w:color w:val="auto"/>
                <w:sz w:val="21"/>
                <w:szCs w:val="21"/>
                <w:lang w:val="en-US" w:eastAsia="zh-CN" w:bidi="ar-SA"/>
              </w:rPr>
              <w:t>确保施工场界噪声排放满足《建筑施工场界噪声限值》(GB12523-2011)标准的要求。</w:t>
            </w:r>
          </w:p>
        </w:tc>
        <w:tc>
          <w:tcPr>
            <w:tcW w:w="807"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固体废物</w:t>
            </w:r>
          </w:p>
        </w:tc>
        <w:tc>
          <w:tcPr>
            <w:tcW w:w="320"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893" w:type="pct"/>
            <w:tcBorders>
              <w:tl2br w:val="nil"/>
              <w:tr2bl w:val="nil"/>
            </w:tcBorders>
            <w:shd w:val="clear" w:color="auto" w:fill="auto"/>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加强实施周期内固废等污染防治</w:t>
            </w:r>
          </w:p>
        </w:tc>
        <w:tc>
          <w:tcPr>
            <w:tcW w:w="885"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经收集后由当地环卫部门处理。</w:t>
            </w:r>
          </w:p>
        </w:tc>
        <w:tc>
          <w:tcPr>
            <w:tcW w:w="1202"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井场设置垃圾收集箱，经收集后运至就近的垃圾中转站处理，未产生二次污染</w:t>
            </w:r>
          </w:p>
        </w:tc>
        <w:tc>
          <w:tcPr>
            <w:tcW w:w="807"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893" w:type="pct"/>
            <w:vMerge w:val="restart"/>
            <w:tcBorders>
              <w:tl2br w:val="nil"/>
              <w:tr2bl w:val="nil"/>
            </w:tcBorders>
            <w:noWrap w:val="0"/>
            <w:vAlign w:val="center"/>
          </w:tcPr>
          <w:p w14:paraId="63D0ED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固废污染防治工作。钻井废弃泥浆、一般岩屑全部进入泥浆罐采用不落地收集+板框压滤工艺处理后产生的固相(含水率不得大于60%，pH为6~9)集中填埋或制作烧结砖资源化综合利用：生活垃圾统一收集运输至环卫部门指定地点处置，含油压裂砂、含油岩屑、废防渗布、落地油、废机油等危险废物分类暂存在场地，并建立管理台账及转移联单，定期委托有资质的单位进行安全处置。</w:t>
            </w:r>
          </w:p>
          <w:p w14:paraId="3BCF5C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18"/>
                <w:szCs w:val="18"/>
                <w:highlight w:val="none"/>
                <w:lang w:val="en-US" w:eastAsia="zh-CN"/>
              </w:rPr>
            </w:pPr>
          </w:p>
        </w:tc>
        <w:tc>
          <w:tcPr>
            <w:tcW w:w="885"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6个月，采用“下铺上盖”方式，四周设置0.2m高围堰。板框压滤产生的泥饼（固相），清运至一般工业固废集中填埋场安全填埋处置或制作烧结砖资源化综合利用</w:t>
            </w:r>
          </w:p>
        </w:tc>
        <w:tc>
          <w:tcPr>
            <w:tcW w:w="1202"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eastAsia="宋体" w:cs="Times New Roman"/>
                <w:color w:val="auto"/>
                <w:spacing w:val="0"/>
                <w:sz w:val="21"/>
                <w:szCs w:val="21"/>
                <w:highlight w:val="none"/>
                <w:lang w:val="en-US" w:eastAsia="zh-CN"/>
              </w:rPr>
              <w:t>，钻井、固井辅料、添加剂等应当集中堆放，并做好防雨淋、防渗漏、防泄漏等措施，泥浆、岩屑收集处置措施等布设远离沟坎边。</w:t>
            </w: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default" w:ascii="Times New Roman" w:hAnsi="Times New Roman" w:eastAsia="宋体" w:cs="Times New Roman"/>
                <w:bCs/>
                <w:color w:val="auto"/>
                <w:sz w:val="21"/>
                <w:szCs w:val="21"/>
                <w:highlight w:val="none"/>
                <w:lang w:val="en-US" w:eastAsia="zh-CN"/>
              </w:rPr>
              <w:t>钻井泥浆、钻井岩屑进入地上移动式泥浆罐，经泥浆不落地工艺固液分离后，固相（</w:t>
            </w:r>
            <w:r>
              <w:rPr>
                <w:rFonts w:hint="default" w:ascii="Times New Roman" w:hAnsi="Times New Roman" w:eastAsia="宋体" w:cs="Times New Roman"/>
                <w:color w:val="auto"/>
                <w:sz w:val="21"/>
                <w:szCs w:val="21"/>
                <w:highlight w:val="none"/>
                <w:lang w:val="en-US" w:eastAsia="zh-CN"/>
              </w:rPr>
              <w:t>固相含水率不大于60%</w:t>
            </w:r>
            <w:r>
              <w:rPr>
                <w:rFonts w:hint="default" w:ascii="Times New Roman" w:hAnsi="Times New Roman" w:eastAsia="宋体" w:cs="Times New Roman"/>
                <w:bCs/>
                <w:color w:val="auto"/>
                <w:sz w:val="21"/>
                <w:szCs w:val="21"/>
                <w:highlight w:val="none"/>
                <w:lang w:val="en-US" w:eastAsia="zh-CN"/>
              </w:rPr>
              <w:t>）暂存于固渣暂存处</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val="en-US" w:eastAsia="zh-CN"/>
              </w:rPr>
              <w:t>暂存未超过</w:t>
            </w:r>
            <w:r>
              <w:rPr>
                <w:rFonts w:hint="eastAsia" w:ascii="Times New Roman" w:hAnsi="Times New Roman" w:eastAsia="宋体" w:cs="Times New Roman"/>
                <w:bCs/>
                <w:color w:val="0000FF"/>
                <w:sz w:val="21"/>
                <w:szCs w:val="21"/>
                <w:highlight w:val="none"/>
                <w:lang w:val="en-US" w:eastAsia="zh-CN"/>
              </w:rPr>
              <w:t>6</w:t>
            </w:r>
            <w:r>
              <w:rPr>
                <w:rFonts w:hint="default" w:ascii="Times New Roman" w:hAnsi="Times New Roman" w:eastAsia="宋体" w:cs="Times New Roman"/>
                <w:bCs/>
                <w:color w:val="0000FF"/>
                <w:sz w:val="21"/>
                <w:szCs w:val="21"/>
                <w:highlight w:val="none"/>
                <w:lang w:val="en-US" w:eastAsia="zh-CN"/>
              </w:rPr>
              <w:t>个月</w:t>
            </w:r>
            <w:r>
              <w:rPr>
                <w:rFonts w:hint="default"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eastAsia="zh-CN"/>
              </w:rPr>
              <w:t>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 w:val="21"/>
                <w:szCs w:val="21"/>
                <w:lang w:val="en-US" w:eastAsia="zh-CN"/>
              </w:rPr>
              <w:t>建立了管理台账及转移联单，未产生二次污染</w:t>
            </w:r>
          </w:p>
        </w:tc>
        <w:tc>
          <w:tcPr>
            <w:tcW w:w="807" w:type="pct"/>
            <w:tcBorders>
              <w:tl2br w:val="nil"/>
              <w:tr2bl w:val="nil"/>
            </w:tcBorders>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893"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vMerge w:val="restart"/>
            <w:tcBorders>
              <w:tl2br w:val="nil"/>
              <w:tr2bl w:val="nil"/>
            </w:tcBorders>
            <w:shd w:val="clear" w:color="auto" w:fill="auto"/>
            <w:noWrap w:val="0"/>
            <w:vAlign w:val="center"/>
          </w:tcPr>
          <w:p w14:paraId="5C744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废弃原材料、包装材料安全合理处置</w:t>
            </w:r>
          </w:p>
        </w:tc>
        <w:tc>
          <w:tcPr>
            <w:tcW w:w="1202"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分类收集后</w:t>
            </w:r>
            <w:r>
              <w:rPr>
                <w:rFonts w:hint="default" w:ascii="Times New Roman" w:hAnsi="Times New Roman" w:eastAsia="宋体" w:cs="Times New Roman"/>
                <w:color w:val="auto"/>
                <w:sz w:val="21"/>
                <w:szCs w:val="21"/>
                <w:lang w:val="en-US" w:eastAsia="zh-CN"/>
              </w:rPr>
              <w:t>由</w:t>
            </w:r>
            <w:r>
              <w:rPr>
                <w:rFonts w:hint="default" w:ascii="Times New Roman" w:hAnsi="Times New Roman" w:eastAsia="宋体" w:cs="Times New Roman"/>
                <w:color w:val="auto"/>
                <w:kern w:val="0"/>
                <w:sz w:val="21"/>
                <w:szCs w:val="21"/>
                <w:lang w:val="en-US" w:eastAsia="zh-CN" w:bidi="ar"/>
              </w:rPr>
              <w:t>五普40837HB</w:t>
            </w:r>
            <w:r>
              <w:rPr>
                <w:rFonts w:hint="default" w:ascii="Times New Roman" w:hAnsi="Times New Roman" w:eastAsia="宋体" w:cs="Times New Roman"/>
                <w:color w:val="auto"/>
                <w:sz w:val="21"/>
                <w:szCs w:val="21"/>
                <w:lang w:val="en-US" w:eastAsia="zh-CN"/>
              </w:rPr>
              <w:t>回收利用</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现场无堆存</w:t>
            </w: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auto"/>
                <w:sz w:val="21"/>
                <w:szCs w:val="21"/>
                <w:lang w:val="en-US" w:eastAsia="zh-CN"/>
              </w:rPr>
              <w:t>未产生二次污染</w:t>
            </w:r>
          </w:p>
        </w:tc>
        <w:tc>
          <w:tcPr>
            <w:tcW w:w="807"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893"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vMerge w:val="continue"/>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202"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分类收集后</w:t>
            </w:r>
            <w:r>
              <w:rPr>
                <w:rFonts w:hint="default" w:ascii="Times New Roman" w:hAnsi="Times New Roman" w:eastAsia="宋体" w:cs="Times New Roman"/>
                <w:color w:val="auto"/>
                <w:sz w:val="21"/>
                <w:szCs w:val="21"/>
                <w:lang w:val="en-US" w:eastAsia="zh-CN"/>
              </w:rPr>
              <w:t>由</w:t>
            </w:r>
            <w:r>
              <w:rPr>
                <w:rFonts w:hint="default" w:ascii="Times New Roman" w:hAnsi="Times New Roman" w:eastAsia="宋体" w:cs="Times New Roman"/>
                <w:color w:val="auto"/>
                <w:kern w:val="0"/>
                <w:sz w:val="21"/>
                <w:szCs w:val="21"/>
                <w:lang w:val="en-US" w:eastAsia="zh-CN" w:bidi="ar"/>
              </w:rPr>
              <w:t>五普40837HB</w:t>
            </w:r>
            <w:r>
              <w:rPr>
                <w:rFonts w:hint="default" w:ascii="Times New Roman" w:hAnsi="Times New Roman" w:eastAsia="宋体" w:cs="Times New Roman"/>
                <w:color w:val="auto"/>
                <w:sz w:val="21"/>
                <w:szCs w:val="21"/>
                <w:lang w:val="en-US" w:eastAsia="zh-CN"/>
              </w:rPr>
              <w:t>回收利用</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现场无堆存</w:t>
            </w: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auto"/>
                <w:sz w:val="21"/>
                <w:szCs w:val="21"/>
                <w:lang w:val="en-US" w:eastAsia="zh-CN"/>
              </w:rPr>
              <w:t>未产生二次污染</w:t>
            </w:r>
          </w:p>
        </w:tc>
        <w:tc>
          <w:tcPr>
            <w:tcW w:w="807"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732F29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893"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vMerge w:val="continue"/>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202"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废过硫酸钾包装袋经专用桶收集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z w:val="21"/>
                <w:szCs w:val="21"/>
                <w:lang w:val="en-US" w:eastAsia="zh-CN"/>
              </w:rPr>
              <w:t>，委托庆阳丰泰环保有限责任公司处置，未产生二次污染</w:t>
            </w:r>
          </w:p>
        </w:tc>
        <w:tc>
          <w:tcPr>
            <w:tcW w:w="807"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893"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vMerge w:val="continue"/>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202"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default" w:ascii="Times New Roman" w:hAnsi="Times New Roman" w:eastAsia="宋体" w:cs="Times New Roman"/>
                <w:color w:val="auto"/>
                <w:sz w:val="21"/>
                <w:szCs w:val="21"/>
                <w:lang w:val="en-US" w:eastAsia="zh-CN"/>
              </w:rPr>
              <w:t>经袋装后收集至临时危废贮存库暂存后，委托庆阳丰泰环保有限责任公司处置，未产生二次污染</w:t>
            </w:r>
          </w:p>
        </w:tc>
        <w:tc>
          <w:tcPr>
            <w:tcW w:w="807"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893"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落地油及时回收，委托有资质单位进行处置</w:t>
            </w:r>
          </w:p>
        </w:tc>
        <w:tc>
          <w:tcPr>
            <w:tcW w:w="1202"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rPr>
              <w:t>落地油经专用桶收集，</w:t>
            </w:r>
            <w:r>
              <w:rPr>
                <w:rFonts w:hint="default" w:ascii="Times New Roman" w:hAnsi="Times New Roman" w:eastAsia="宋体" w:cs="Times New Roman"/>
                <w:bCs/>
                <w:color w:val="auto"/>
                <w:sz w:val="21"/>
                <w:szCs w:val="21"/>
                <w:highlight w:val="none"/>
                <w:lang w:eastAsia="zh-CN"/>
              </w:rPr>
              <w:t>暂存于</w:t>
            </w:r>
            <w:r>
              <w:rPr>
                <w:rFonts w:hint="default" w:ascii="Times New Roman" w:hAnsi="Times New Roman" w:eastAsia="宋体" w:cs="Times New Roman"/>
                <w:bCs/>
                <w:color w:val="auto"/>
                <w:sz w:val="21"/>
                <w:szCs w:val="21"/>
                <w:highlight w:val="none"/>
                <w:lang w:val="en-US" w:eastAsia="zh-CN"/>
              </w:rPr>
              <w:t>临时</w:t>
            </w:r>
            <w:r>
              <w:rPr>
                <w:rFonts w:hint="default"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A8B3976">
            <w:pPr>
              <w:pStyle w:val="81"/>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rPr>
              <w:t>废机油</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废润滑油</w:t>
            </w:r>
          </w:p>
        </w:tc>
        <w:tc>
          <w:tcPr>
            <w:tcW w:w="893"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及时回收，委托有资质单位进行处置</w:t>
            </w:r>
          </w:p>
        </w:tc>
        <w:tc>
          <w:tcPr>
            <w:tcW w:w="1202"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未产生</w:t>
            </w:r>
          </w:p>
        </w:tc>
        <w:tc>
          <w:tcPr>
            <w:tcW w:w="807"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129DD2CF">
            <w:pPr>
              <w:pStyle w:val="81"/>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lang w:val="en-US" w:eastAsia="zh-CN"/>
              </w:rPr>
              <w:t>废含油抹布</w:t>
            </w:r>
          </w:p>
        </w:tc>
        <w:tc>
          <w:tcPr>
            <w:tcW w:w="893"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及时回收，委托有资质单位进行处置</w:t>
            </w:r>
          </w:p>
        </w:tc>
        <w:tc>
          <w:tcPr>
            <w:tcW w:w="1202"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废含油抹布</w:t>
            </w:r>
            <w:r>
              <w:rPr>
                <w:rFonts w:hint="default" w:ascii="Times New Roman" w:hAnsi="Times New Roman" w:eastAsia="宋体" w:cs="Times New Roman"/>
                <w:bCs/>
                <w:color w:val="auto"/>
                <w:sz w:val="21"/>
                <w:szCs w:val="21"/>
                <w:highlight w:val="none"/>
                <w:lang w:val="en-US" w:eastAsia="zh-CN"/>
              </w:rPr>
              <w:t>经专用桶收集，</w:t>
            </w:r>
            <w:r>
              <w:rPr>
                <w:rFonts w:hint="default" w:ascii="Times New Roman" w:hAnsi="Times New Roman" w:eastAsia="宋体" w:cs="Times New Roman"/>
                <w:bCs/>
                <w:color w:val="auto"/>
                <w:sz w:val="21"/>
                <w:szCs w:val="21"/>
                <w:highlight w:val="none"/>
                <w:lang w:eastAsia="zh-CN"/>
              </w:rPr>
              <w:t>暂存于</w:t>
            </w:r>
            <w:r>
              <w:rPr>
                <w:rFonts w:hint="default" w:ascii="Times New Roman" w:hAnsi="Times New Roman" w:eastAsia="宋体" w:cs="Times New Roman"/>
                <w:bCs/>
                <w:color w:val="auto"/>
                <w:sz w:val="21"/>
                <w:szCs w:val="21"/>
                <w:highlight w:val="none"/>
                <w:lang w:val="en-US" w:eastAsia="zh-CN"/>
              </w:rPr>
              <w:t>临时</w:t>
            </w:r>
            <w:r>
              <w:rPr>
                <w:rFonts w:hint="default"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0B8444D9">
            <w:pPr>
              <w:pStyle w:val="81"/>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lang w:val="en-US" w:eastAsia="zh-CN"/>
              </w:rPr>
              <w:t>含油岩屑</w:t>
            </w:r>
          </w:p>
        </w:tc>
        <w:tc>
          <w:tcPr>
            <w:tcW w:w="893"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含油岩屑统一收集后，交由有资质单位安全处置</w:t>
            </w:r>
          </w:p>
        </w:tc>
        <w:tc>
          <w:tcPr>
            <w:tcW w:w="1202"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含油岩屑产生后立即装袋、密封，</w:t>
            </w:r>
            <w:r>
              <w:rPr>
                <w:rFonts w:hint="default" w:ascii="Times New Roman" w:hAnsi="Times New Roman" w:eastAsia="宋体" w:cs="Times New Roman"/>
                <w:bCs/>
                <w:color w:val="auto"/>
                <w:sz w:val="21"/>
                <w:szCs w:val="21"/>
                <w:highlight w:val="none"/>
                <w:lang w:eastAsia="zh-CN"/>
              </w:rPr>
              <w:t>暂存于</w:t>
            </w:r>
            <w:r>
              <w:rPr>
                <w:rFonts w:hint="default" w:ascii="Times New Roman" w:hAnsi="Times New Roman" w:eastAsia="宋体" w:cs="Times New Roman"/>
                <w:bCs/>
                <w:color w:val="auto"/>
                <w:sz w:val="21"/>
                <w:szCs w:val="21"/>
                <w:highlight w:val="none"/>
                <w:lang w:val="en-US" w:eastAsia="zh-CN"/>
              </w:rPr>
              <w:t>临时</w:t>
            </w:r>
            <w:r>
              <w:rPr>
                <w:rFonts w:hint="default"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454"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生态环境保护措施</w:t>
            </w:r>
          </w:p>
        </w:tc>
        <w:tc>
          <w:tcPr>
            <w:tcW w:w="893"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885" w:type="pct"/>
            <w:tcBorders>
              <w:tl2br w:val="nil"/>
              <w:tr2bl w:val="nil"/>
            </w:tcBorders>
            <w:noWrap w:val="0"/>
            <w:vAlign w:val="center"/>
          </w:tcPr>
          <w:p w14:paraId="58668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
                <w:sz w:val="21"/>
                <w:szCs w:val="22"/>
                <w:lang w:val="en-US" w:eastAsia="zh-CN"/>
              </w:rPr>
              <w:t>对临时占用土地进行表土留存，分层回填，整平翻松，对临时占地进行生态恢复，本项目需生态恢复的面积为无开发利用价值的勘探井的临时占地面积，具体恢复面积由勘探结果确定。对井场进行标准化井场建设，对井场可绿化区域实施绿化。</w:t>
            </w:r>
          </w:p>
        </w:tc>
        <w:tc>
          <w:tcPr>
            <w:tcW w:w="1202" w:type="pct"/>
            <w:tcBorders>
              <w:tl2br w:val="nil"/>
              <w:tr2bl w:val="nil"/>
            </w:tcBorders>
            <w:shd w:val="clear" w:color="auto" w:fill="auto"/>
            <w:noWrap w:val="0"/>
            <w:vAlign w:val="center"/>
          </w:tcPr>
          <w:p w14:paraId="027149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3A9C8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w:t>
            </w:r>
          </w:p>
          <w:p w14:paraId="546226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根据现场踏勘，</w:t>
            </w:r>
            <w:r>
              <w:rPr>
                <w:rFonts w:hint="default" w:ascii="Times New Roman" w:hAnsi="Times New Roman" w:eastAsia="宋体" w:cs="Times New Roman"/>
                <w:color w:val="auto"/>
                <w:spacing w:val="0"/>
                <w:kern w:val="21"/>
                <w:sz w:val="21"/>
                <w:szCs w:val="21"/>
                <w:highlight w:val="none"/>
                <w:lang w:val="en-US" w:eastAsia="zh-CN"/>
              </w:rPr>
              <w:t>场地已恢复平整，井口进行临时关井，待转产，除预留转为生产开发所需的面积外，对其余临时占地进行了恢复，</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对进场道路及井场周边等及时进行了绿化</w:t>
            </w:r>
          </w:p>
        </w:tc>
        <w:tc>
          <w:tcPr>
            <w:tcW w:w="807"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其他</w:t>
            </w:r>
          </w:p>
        </w:tc>
        <w:tc>
          <w:tcPr>
            <w:tcW w:w="454" w:type="pct"/>
            <w:gridSpan w:val="2"/>
            <w:tcBorders>
              <w:tl2br w:val="nil"/>
              <w:tr2bl w:val="nil"/>
            </w:tcBorders>
            <w:noWrap w:val="0"/>
            <w:vAlign w:val="center"/>
          </w:tcPr>
          <w:p w14:paraId="2FA47F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风险防范措施：土壤、地下水防范措施</w:t>
            </w:r>
          </w:p>
        </w:tc>
        <w:tc>
          <w:tcPr>
            <w:tcW w:w="893" w:type="pct"/>
            <w:tcBorders>
              <w:tl2br w:val="nil"/>
              <w:tr2bl w:val="nil"/>
            </w:tcBorders>
            <w:shd w:val="clear" w:color="auto" w:fill="auto"/>
            <w:noWrap w:val="0"/>
            <w:vAlign w:val="center"/>
          </w:tcPr>
          <w:p w14:paraId="535449C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tc>
        <w:tc>
          <w:tcPr>
            <w:tcW w:w="885" w:type="pct"/>
            <w:tcBorders>
              <w:tl2br w:val="nil"/>
              <w:tr2bl w:val="nil"/>
            </w:tcBorders>
            <w:shd w:val="clear" w:color="auto" w:fill="auto"/>
            <w:noWrap w:val="0"/>
            <w:vAlign w:val="center"/>
          </w:tcPr>
          <w:p w14:paraId="3A3ABF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2147483648" w:afterAutospacing="0"/>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eastAsia="zh-CN"/>
              </w:rPr>
              <w:t>井场的</w:t>
            </w:r>
            <w:r>
              <w:rPr>
                <w:rFonts w:hint="default"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、井口集油槽、危废暂存间、柴油罐采用重点防渗，等效黏土防渗层Mb≥6.0m，K≤1.0×10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default"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cm/s，执行《石油化工工程防渗技术规范》（GB/T50934-2013）；防渗布接口处应予以粘结；防渗布出现破损，应及时更换或补漏；防渗布四周设置20cm高的围堰，</w:t>
            </w:r>
            <w:r>
              <w:rPr>
                <w:rFonts w:hint="default" w:ascii="Times New Roman" w:hAnsi="Times New Roman" w:eastAsia="宋体" w:cs="Times New Roman"/>
                <w:color w:val="auto"/>
                <w:kern w:val="2"/>
                <w:sz w:val="21"/>
                <w:szCs w:val="22"/>
                <w:lang w:val="en-US" w:eastAsia="zh-CN"/>
              </w:rPr>
              <w:t>井场四周设置80cm高的砖混围墙。纳入作业区应急预案并定期组织预案演练。</w:t>
            </w:r>
          </w:p>
        </w:tc>
        <w:tc>
          <w:tcPr>
            <w:tcW w:w="1202" w:type="pct"/>
            <w:tcBorders>
              <w:tl2br w:val="nil"/>
              <w:tr2bl w:val="nil"/>
            </w:tcBorders>
            <w:shd w:val="clear" w:color="auto" w:fill="auto"/>
            <w:noWrap w:val="0"/>
            <w:vAlign w:val="center"/>
          </w:tcPr>
          <w:p w14:paraId="2BFC01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kern w:val="2"/>
                <w:sz w:val="21"/>
                <w:szCs w:val="22"/>
                <w:lang w:eastAsia="zh-CN"/>
              </w:rPr>
              <w:t>井场的</w:t>
            </w:r>
            <w:r>
              <w:rPr>
                <w:rFonts w:hint="default"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w:t>
            </w:r>
            <w:r>
              <w:rPr>
                <w:rFonts w:hint="default"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kern w:val="2"/>
                <w:sz w:val="21"/>
                <w:szCs w:val="22"/>
                <w:lang w:eastAsia="zh-CN"/>
              </w:rPr>
              <w:t>、柴油罐采用重点防渗，等效黏土防渗层Mb≥6.0m，K≤1.0×10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default"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w:t>
            </w:r>
            <w:r>
              <w:rPr>
                <w:rFonts w:hint="default" w:ascii="Times New Roman" w:hAnsi="Times New Roman" w:eastAsia="宋体" w:cs="Times New Roman"/>
                <w:color w:val="auto"/>
                <w:sz w:val="21"/>
                <w:szCs w:val="21"/>
                <w:lang w:val="en-US" w:eastAsia="zh-CN"/>
              </w:rPr>
              <w:t>满足防渗要求</w:t>
            </w:r>
            <w:r>
              <w:rPr>
                <w:rFonts w:hint="default" w:ascii="Times New Roman" w:hAnsi="Times New Roman" w:eastAsia="宋体" w:cs="Times New Roman"/>
                <w:color w:val="auto"/>
                <w:sz w:val="21"/>
                <w:szCs w:val="21"/>
                <w:lang w:eastAsia="zh-CN"/>
              </w:rPr>
              <w:t>，制定各类固废的管理制度进行严格管理，建立</w:t>
            </w:r>
            <w:r>
              <w:rPr>
                <w:rFonts w:hint="default"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eastAsia="zh-CN"/>
              </w:rPr>
              <w:t>各类台账及转移联单。</w:t>
            </w:r>
          </w:p>
          <w:p w14:paraId="18B615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eastAsia="宋体" w:cs="Times New Roman"/>
                <w:color w:val="auto"/>
                <w:kern w:val="2"/>
                <w:sz w:val="21"/>
                <w:szCs w:val="22"/>
                <w:lang w:val="en-US" w:eastAsia="zh-CN"/>
              </w:rPr>
              <w:t>；已制定了突发环境事件应急预案，并于2023年1月11日取得了庆阳市生态环境局宁县分局预案备案文件，并按照预案中相关应急措施进行定期演练。该应急预案修编日期为2026年1月11日，在本项目验收时间范围内</w:t>
            </w:r>
          </w:p>
        </w:tc>
        <w:tc>
          <w:tcPr>
            <w:tcW w:w="807" w:type="pct"/>
            <w:tcBorders>
              <w:tl2br w:val="nil"/>
              <w:tr2bl w:val="nil"/>
            </w:tcBorders>
            <w:noWrap w:val="0"/>
            <w:vAlign w:val="center"/>
          </w:tcPr>
          <w:p w14:paraId="01B004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01A0B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bl>
    <w:p w14:paraId="5FE0603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18986DB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2EE7573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default"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default" w:ascii="Times New Roman" w:hAnsi="Times New Roman" w:eastAsia="宋体" w:cs="Times New Roman"/>
                <w:color w:val="auto"/>
                <w:sz w:val="24"/>
                <w:szCs w:val="24"/>
                <w:highlight w:val="none"/>
                <w:lang w:eastAsia="zh-CN"/>
              </w:rPr>
              <w:t>，井场</w:t>
            </w:r>
            <w:r>
              <w:rPr>
                <w:rFonts w:hint="default"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default" w:ascii="Times New Roman" w:hAnsi="Times New Roman" w:eastAsia="宋体" w:cs="Times New Roman"/>
                <w:color w:val="auto"/>
                <w:sz w:val="24"/>
                <w:szCs w:val="24"/>
                <w:highlight w:val="none"/>
                <w:lang w:val="en-US" w:eastAsia="zh-CN"/>
              </w:rPr>
              <w:t>待转产</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default" w:ascii="Times New Roman" w:hAnsi="Times New Roman" w:eastAsia="宋体" w:cs="Times New Roman"/>
                <w:b/>
                <w:bCs/>
                <w:color w:val="auto"/>
                <w:sz w:val="24"/>
                <w:lang w:val="en-US" w:eastAsia="zh-CN"/>
              </w:rPr>
              <w:t>4.3.1钻井工程</w:t>
            </w:r>
          </w:p>
          <w:p w14:paraId="236FF2D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本项目生产工艺包括：钻前工程、钻井工程、完井测试、完井搬迁。具体生产工艺流程见图4-1。</w:t>
            </w:r>
          </w:p>
          <w:p w14:paraId="55FA54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 xml:space="preserve">1、钻前工程 </w:t>
            </w:r>
          </w:p>
          <w:p w14:paraId="0424478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164CDFC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 xml:space="preserve">2、钻井工程 </w:t>
            </w:r>
          </w:p>
          <w:p w14:paraId="1BBAEB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⑴钻井与固井 </w:t>
            </w:r>
          </w:p>
          <w:p w14:paraId="2A33E4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血液”起到冷却钻头、喷射破坏岩石和携带地层岩屑返回地面的作用。 </w:t>
            </w:r>
          </w:p>
          <w:p w14:paraId="6C16095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487DD7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2311m）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油不至于井喷，同时也便于采集。</w:t>
            </w:r>
          </w:p>
          <w:p w14:paraId="0E898D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2C97C71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石油资源。主要采用电测井方法，测井仪器主要由下井仪器、绞车、电缆及井口装置、地面测量、记录和控制系统组成。 </w:t>
            </w:r>
          </w:p>
          <w:p w14:paraId="0213EA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79A28A9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井眼钻至2311m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7ABB66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2DF201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采用高压水枪射孔，在井底煤层、岩层中制造孔洞、空腔，然后由压裂液（成分为水凝胶）携带支撑剂（石英砂或陶粒），通过高压泵车注入目的层，在目的层中铺置形成一条疏松的石油高渗透带，加快地层流体流向井筒的速率。 </w:t>
            </w:r>
          </w:p>
          <w:p w14:paraId="53BE003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7C5D24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采用电缆射孔和油管输送射孔两种方式，能够满足直井、大斜度井、水平井等各种井况下的射孔作业。</w:t>
            </w:r>
          </w:p>
          <w:p w14:paraId="10BAB7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3、完井试油</w:t>
            </w:r>
          </w:p>
          <w:p w14:paraId="45E91F2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⑴试油 </w:t>
            </w:r>
          </w:p>
          <w:p w14:paraId="700EFE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default" w:ascii="Times New Roman" w:hAnsi="Times New Roman" w:eastAsia="宋体" w:cs="Times New Roman"/>
                <w:color w:val="auto"/>
                <w:kern w:val="0"/>
                <w:sz w:val="24"/>
                <w:szCs w:val="24"/>
                <w:lang w:val="en-US" w:eastAsia="zh-CN" w:bidi="ar"/>
              </w:rPr>
              <w:t>。它主要包括对目的层进行射孔、洗井、</w:t>
            </w:r>
            <w:r>
              <w:rPr>
                <w:rFonts w:hint="default" w:ascii="Times New Roman" w:hAnsi="Times New Roman" w:eastAsia="宋体" w:cs="Times New Roman"/>
                <w:color w:val="auto"/>
                <w:sz w:val="24"/>
                <w:szCs w:val="24"/>
                <w:highlight w:val="none"/>
                <w:lang w:val="en-US" w:eastAsia="zh-CN"/>
              </w:rPr>
              <w:t xml:space="preserve">诱流和测试等。 </w:t>
            </w:r>
          </w:p>
          <w:p w14:paraId="09185B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⑵封井</w:t>
            </w:r>
          </w:p>
          <w:p w14:paraId="283E486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试油完成后，确定泾河3402H（良平2H）井场具备工业开采的价值，进行临时关井。根据开发区域油藏地质特点，完井方式选择套管射孔完井，套管头采用卡瓦简易套管头。 </w:t>
            </w:r>
          </w:p>
          <w:p w14:paraId="25F0F32F">
            <w:pPr>
              <w:keepNext w:val="0"/>
              <w:keepLines w:val="0"/>
              <w:widowControl/>
              <w:suppressLineNumbers w:val="0"/>
              <w:spacing w:before="0" w:beforeAutospacing="0" w:afterAutospacing="0"/>
              <w:ind w:left="0" w:right="0" w:firstLine="482" w:firstLineChars="200"/>
              <w:jc w:val="left"/>
              <w:rPr>
                <w:rFonts w:hint="default" w:ascii="Times New Roman" w:hAnsi="Times New Roman" w:cs="Times New Roman"/>
                <w:color w:val="auto"/>
              </w:rPr>
            </w:pPr>
            <w:r>
              <w:rPr>
                <w:rFonts w:hint="default" w:ascii="Times New Roman" w:hAnsi="Times New Roman" w:eastAsia="宋体" w:cs="Times New Roman"/>
                <w:b/>
                <w:bCs/>
                <w:color w:val="auto"/>
                <w:kern w:val="0"/>
                <w:sz w:val="24"/>
                <w:szCs w:val="24"/>
                <w:lang w:val="en-US" w:eastAsia="zh-CN" w:bidi="ar"/>
              </w:rPr>
              <w:t xml:space="preserve">4、完井搬迁 </w:t>
            </w:r>
          </w:p>
          <w:p w14:paraId="359B731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45C475A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07AC6C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240" w:lineRule="auto"/>
              <w:ind w:left="0" w:right="0" w:firstLine="0" w:firstLineChars="0"/>
              <w:jc w:val="center"/>
              <w:textAlignment w:val="auto"/>
              <w:rPr>
                <w:rFonts w:hint="default" w:ascii="Times New Roman" w:hAnsi="Times New Roman" w:eastAsia="宋体" w:cs="Times New Roman"/>
                <w:color w:val="auto"/>
                <w:spacing w:val="0"/>
                <w:sz w:val="24"/>
                <w:highlight w:val="none"/>
              </w:rPr>
            </w:pPr>
            <w:r>
              <w:rPr>
                <w:rFonts w:hint="default" w:ascii="Times New Roman" w:hAnsi="Times New Roman" w:eastAsia="宋体" w:cs="Times New Roman"/>
                <w:color w:val="auto"/>
                <w:sz w:val="21"/>
                <w:szCs w:val="21"/>
                <w:highlight w:val="none"/>
              </w:rPr>
              <w:object>
                <v:shape id="_x0000_i1025" o:spt="75" type="#_x0000_t75" style="height:309.65pt;width:359.1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14:paraId="54D4649B">
            <w:pPr>
              <w:keepNext w:val="0"/>
              <w:keepLines w:val="0"/>
              <w:widowControl w:val="0"/>
              <w:suppressLineNumbers w:val="0"/>
              <w:adjustRightInd w:val="0"/>
              <w:snapToGrid w:val="0"/>
              <w:spacing w:before="0" w:beforeAutospacing="0" w:afterAutospacing="0" w:line="360" w:lineRule="auto"/>
              <w:ind w:left="0" w:right="0"/>
              <w:jc w:val="center"/>
              <w:rPr>
                <w:rFonts w:hint="default" w:ascii="Times New Roman" w:hAnsi="Times New Roman" w:eastAsia="宋体" w:cs="Times New Roman"/>
                <w:b/>
                <w:bCs/>
                <w:color w:val="auto"/>
                <w:spacing w:val="0"/>
                <w:sz w:val="24"/>
                <w:szCs w:val="24"/>
                <w:highlight w:val="none"/>
              </w:rPr>
            </w:pPr>
            <w:r>
              <w:rPr>
                <w:rFonts w:hint="default" w:ascii="Times New Roman" w:hAnsi="Times New Roman" w:eastAsia="宋体" w:cs="Times New Roman"/>
                <w:b/>
                <w:bCs/>
                <w:color w:val="auto"/>
                <w:spacing w:val="0"/>
                <w:sz w:val="24"/>
                <w:szCs w:val="24"/>
                <w:highlight w:val="none"/>
                <w:lang w:val="en-US" w:eastAsia="zh-CN"/>
              </w:rPr>
              <w:t>图4-1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ascii="Times New Roman" w:hAnsi="Times New Roman" w:cs="Times New Roman"/>
                <w:color w:val="auto"/>
              </w:rPr>
            </w:pPr>
            <w:r>
              <w:rPr>
                <w:rFonts w:hint="default" w:ascii="Times New Roman" w:hAnsi="Times New Roman" w:eastAsia="宋体" w:cs="Times New Roman"/>
                <w:b/>
                <w:bCs/>
                <w:color w:val="auto"/>
                <w:kern w:val="0"/>
                <w:sz w:val="24"/>
                <w:szCs w:val="24"/>
                <w:lang w:val="en-US" w:eastAsia="zh-CN" w:bidi="ar"/>
              </w:rPr>
              <w:t xml:space="preserve">二、运营期 </w:t>
            </w:r>
          </w:p>
          <w:p w14:paraId="14CC8294">
            <w:pPr>
              <w:keepNext w:val="0"/>
              <w:keepLines w:val="0"/>
              <w:widowControl/>
              <w:suppressLineNumbers w:val="0"/>
              <w:spacing w:before="0" w:beforeAutospacing="0" w:afterAutospacing="0"/>
              <w:ind w:left="0" w:right="0" w:firstLine="480" w:firstLineChars="200"/>
              <w:jc w:val="left"/>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试油结果表明该井具有工业开采价值。现阶段已拆除与采油无关的设备，保 </w:t>
            </w:r>
          </w:p>
          <w:p w14:paraId="091DAE67">
            <w:pPr>
              <w:keepNext w:val="0"/>
              <w:keepLines w:val="0"/>
              <w:widowControl/>
              <w:suppressLineNumbers w:val="0"/>
              <w:spacing w:before="0" w:beforeAutospacing="0" w:afterAutospacing="0"/>
              <w:ind w:left="0" w:right="0"/>
              <w:jc w:val="left"/>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留临时关井设施，待转产，后续进行环境影响评价等工作。 </w:t>
            </w:r>
          </w:p>
          <w:p w14:paraId="4AAD7BD9">
            <w:pPr>
              <w:keepNext w:val="0"/>
              <w:keepLines w:val="0"/>
              <w:widowControl/>
              <w:suppressLineNumbers w:val="0"/>
              <w:spacing w:before="0" w:beforeAutospacing="0" w:afterAutospacing="0"/>
              <w:ind w:left="0" w:right="0" w:firstLine="482" w:firstLineChars="200"/>
              <w:jc w:val="left"/>
              <w:rPr>
                <w:rFonts w:hint="default" w:ascii="Times New Roman" w:hAnsi="Times New Roman" w:cs="Times New Roman"/>
                <w:color w:val="auto"/>
              </w:rPr>
            </w:pPr>
            <w:r>
              <w:rPr>
                <w:rFonts w:hint="default" w:ascii="Times New Roman" w:hAnsi="Times New Roman" w:eastAsia="宋体" w:cs="Times New Roman"/>
                <w:b/>
                <w:bCs/>
                <w:color w:val="auto"/>
                <w:kern w:val="0"/>
                <w:sz w:val="24"/>
                <w:szCs w:val="24"/>
                <w:lang w:val="en-US" w:eastAsia="zh-CN" w:bidi="ar"/>
              </w:rPr>
              <w:t xml:space="preserve">三、封井期主要工艺过程 </w:t>
            </w:r>
          </w:p>
          <w:p w14:paraId="48F2CEB0">
            <w:pPr>
              <w:keepNext w:val="0"/>
              <w:keepLines w:val="0"/>
              <w:widowControl/>
              <w:suppressLineNumbers w:val="0"/>
              <w:spacing w:before="0" w:beforeAutospacing="0" w:afterAutospacing="0"/>
              <w:ind w:left="0" w:right="0" w:firstLine="480" w:firstLineChars="200"/>
              <w:jc w:val="left"/>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本项目经勘探具有开采价值，但暂不规模开采，进行完测井分析后随即临时 </w:t>
            </w:r>
          </w:p>
          <w:p w14:paraId="309D7D89">
            <w:pPr>
              <w:keepNext w:val="0"/>
              <w:keepLines w:val="0"/>
              <w:widowControl/>
              <w:suppressLineNumbers w:val="0"/>
              <w:spacing w:before="0" w:beforeAutospacing="0" w:afterAutospacing="0"/>
              <w:ind w:left="0" w:right="0"/>
              <w:jc w:val="left"/>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kern w:val="0"/>
                <w:sz w:val="24"/>
                <w:szCs w:val="24"/>
                <w:lang w:val="en-US" w:eastAsia="zh-CN" w:bidi="ar"/>
              </w:rPr>
              <w:t>关井，因此不涉及闭井期。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5"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46E35B2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w:t>
            </w:r>
            <w:r>
              <w:rPr>
                <w:rFonts w:hint="default" w:ascii="Times New Roman" w:hAnsi="Times New Roman" w:cs="Times New Roman"/>
                <w:b w:val="0"/>
                <w:color w:val="auto"/>
                <w:spacing w:val="0"/>
                <w:w w:val="100"/>
                <w:sz w:val="24"/>
                <w:szCs w:val="24"/>
                <w:highlight w:val="none"/>
                <w:lang w:val="en-US" w:eastAsia="zh-CN" w:bidi="ar-SA"/>
              </w:rPr>
              <w:t>关井</w:t>
            </w:r>
            <w:r>
              <w:rPr>
                <w:rFonts w:hint="default" w:ascii="Times New Roman" w:hAnsi="Times New Roman" w:eastAsia="宋体" w:cs="Times New Roman"/>
                <w:b w:val="0"/>
                <w:color w:val="auto"/>
                <w:spacing w:val="0"/>
                <w:w w:val="100"/>
                <w:sz w:val="24"/>
                <w:szCs w:val="24"/>
                <w:highlight w:val="none"/>
                <w:lang w:val="en-US" w:eastAsia="zh-CN" w:bidi="ar-SA"/>
              </w:rPr>
              <w:t>。场址临时占地主要包括井场</w:t>
            </w:r>
            <w:r>
              <w:rPr>
                <w:rFonts w:hint="default" w:ascii="Times New Roman" w:hAnsi="Times New Roman"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及附属设施占地、生活区占地及表土堆放区；本项目占地均为临时占地</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default" w:ascii="Times New Roman" w:hAnsi="Times New Roman" w:cs="Times New Roman"/>
                <w:b w:val="0"/>
                <w:bCs w:val="0"/>
                <w:color w:val="auto"/>
                <w:sz w:val="24"/>
                <w:highlight w:val="none"/>
              </w:rPr>
              <w:t>项目占地面积约</w:t>
            </w:r>
            <w:r>
              <w:rPr>
                <w:rFonts w:hint="default" w:ascii="Times New Roman" w:hAnsi="Times New Roman" w:cs="Times New Roman"/>
                <w:b w:val="0"/>
                <w:bCs w:val="0"/>
                <w:color w:val="auto"/>
                <w:sz w:val="24"/>
                <w:highlight w:val="none"/>
                <w:lang w:val="en-US" w:eastAsia="zh-CN"/>
              </w:rPr>
              <w:t>7670m</w:t>
            </w:r>
            <w:r>
              <w:rPr>
                <w:rFonts w:hint="default" w:ascii="Times New Roman" w:hAnsi="Times New Roman" w:cs="Times New Roman"/>
                <w:b w:val="0"/>
                <w:bCs w:val="0"/>
                <w:color w:val="auto"/>
                <w:sz w:val="24"/>
                <w:highlight w:val="none"/>
                <w:vertAlign w:val="superscript"/>
                <w:lang w:val="en-US" w:eastAsia="zh-CN"/>
              </w:rPr>
              <w:t>2</w:t>
            </w:r>
            <w:r>
              <w:rPr>
                <w:rFonts w:hint="default" w:ascii="Times New Roman" w:hAnsi="Times New Roman" w:cs="Times New Roman"/>
                <w:b w:val="0"/>
                <w:bCs w:val="0"/>
                <w:color w:val="auto"/>
                <w:sz w:val="24"/>
                <w:highlight w:val="none"/>
                <w:lang w:eastAsia="zh-CN"/>
              </w:rPr>
              <w:t>，</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default" w:ascii="Times New Roman" w:hAnsi="Times New Roman" w:cs="Times New Roman"/>
                <w:b w:val="0"/>
                <w:color w:val="auto"/>
                <w:spacing w:val="0"/>
                <w:w w:val="100"/>
                <w:sz w:val="24"/>
                <w:szCs w:val="24"/>
                <w:highlight w:val="none"/>
                <w:lang w:val="en-US" w:eastAsia="zh-CN" w:bidi="ar-SA"/>
              </w:rPr>
              <w:t>耕地。</w:t>
            </w:r>
            <w:r>
              <w:rPr>
                <w:rFonts w:hint="default" w:ascii="Times New Roman" w:hAnsi="Times New Roman" w:eastAsia="宋体" w:cs="Times New Roman"/>
                <w:b w:val="0"/>
                <w:color w:val="auto"/>
                <w:spacing w:val="0"/>
                <w:w w:val="100"/>
                <w:sz w:val="24"/>
                <w:szCs w:val="24"/>
                <w:highlight w:val="none"/>
                <w:lang w:val="en-US" w:eastAsia="zh-CN" w:bidi="ar-SA"/>
              </w:rPr>
              <w:t>目前</w:t>
            </w:r>
            <w:r>
              <w:rPr>
                <w:rFonts w:hint="default" w:ascii="Times New Roman" w:hAnsi="Times New Roman" w:cs="Times New Roman"/>
                <w:b w:val="0"/>
                <w:color w:val="auto"/>
                <w:spacing w:val="0"/>
                <w:w w:val="100"/>
                <w:sz w:val="24"/>
                <w:szCs w:val="24"/>
                <w:highlight w:val="none"/>
                <w:lang w:val="en-US" w:eastAsia="zh-CN" w:bidi="ar-SA"/>
              </w:rPr>
              <w:t>，勘探</w:t>
            </w:r>
            <w:r>
              <w:rPr>
                <w:rFonts w:hint="default" w:ascii="Times New Roman" w:hAnsi="Times New Roman" w:eastAsia="宋体" w:cs="Times New Roman"/>
                <w:b w:val="0"/>
                <w:color w:val="auto"/>
                <w:spacing w:val="0"/>
                <w:w w:val="100"/>
                <w:sz w:val="24"/>
                <w:szCs w:val="24"/>
                <w:highlight w:val="none"/>
                <w:lang w:val="en-US" w:eastAsia="zh-CN" w:bidi="ar-SA"/>
              </w:rPr>
              <w:t>井除转生产所需占地以外的临时占地</w:t>
            </w:r>
            <w:r>
              <w:rPr>
                <w:rFonts w:hint="default" w:ascii="Times New Roman" w:hAnsi="Times New Roman" w:cs="Times New Roman"/>
                <w:b w:val="0"/>
                <w:color w:val="auto"/>
                <w:spacing w:val="0"/>
                <w:w w:val="100"/>
                <w:sz w:val="24"/>
                <w:szCs w:val="24"/>
                <w:highlight w:val="none"/>
                <w:lang w:val="en-US" w:eastAsia="zh-CN" w:bidi="ar-SA"/>
              </w:rPr>
              <w:t>均</w:t>
            </w:r>
            <w:r>
              <w:rPr>
                <w:rFonts w:hint="default" w:ascii="Times New Roman" w:hAnsi="Times New Roman" w:eastAsia="宋体" w:cs="Times New Roman"/>
                <w:b w:val="0"/>
                <w:color w:val="auto"/>
                <w:spacing w:val="0"/>
                <w:w w:val="100"/>
                <w:sz w:val="24"/>
                <w:szCs w:val="24"/>
                <w:highlight w:val="none"/>
                <w:lang w:val="en-US" w:eastAsia="zh-CN" w:bidi="ar-SA"/>
              </w:rPr>
              <w:t xml:space="preserve">进行了平整及植被恢复；同时施工阶段有效控制了作业范围，未新增占地面积。 </w:t>
            </w:r>
          </w:p>
          <w:p w14:paraId="6EE2FBBB">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根据环评文本，本项目总投资</w:t>
            </w:r>
            <w:r>
              <w:rPr>
                <w:rFonts w:hint="default" w:ascii="Times New Roman" w:hAnsi="Times New Roman" w:eastAsia="宋体" w:cs="Times New Roman"/>
                <w:color w:val="auto"/>
                <w:spacing w:val="0"/>
                <w:sz w:val="24"/>
                <w:highlight w:val="none"/>
                <w:lang w:val="en-US" w:eastAsia="zh-CN"/>
              </w:rPr>
              <w:t>1000</w:t>
            </w:r>
            <w:r>
              <w:rPr>
                <w:rFonts w:hint="default" w:ascii="Times New Roman" w:hAnsi="Times New Roman" w:eastAsia="宋体" w:cs="Times New Roman"/>
                <w:color w:val="auto"/>
                <w:spacing w:val="0"/>
                <w:sz w:val="24"/>
                <w:highlight w:val="none"/>
              </w:rPr>
              <w:t>万元，</w:t>
            </w:r>
            <w:r>
              <w:rPr>
                <w:rFonts w:hint="default" w:ascii="Times New Roman" w:hAnsi="Times New Roman" w:eastAsia="宋体" w:cs="Times New Roman"/>
                <w:color w:val="auto"/>
                <w:spacing w:val="0"/>
                <w:sz w:val="24"/>
                <w:highlight w:val="none"/>
                <w:lang w:val="en-US" w:eastAsia="zh-CN"/>
              </w:rPr>
              <w:t>其中</w:t>
            </w:r>
            <w:r>
              <w:rPr>
                <w:rFonts w:hint="default" w:ascii="Times New Roman" w:hAnsi="Times New Roman" w:eastAsia="宋体" w:cs="Times New Roman"/>
                <w:color w:val="auto"/>
                <w:spacing w:val="0"/>
                <w:sz w:val="24"/>
                <w:highlight w:val="none"/>
              </w:rPr>
              <w:t>环保投资</w:t>
            </w:r>
            <w:r>
              <w:rPr>
                <w:rFonts w:hint="default" w:ascii="Times New Roman" w:hAnsi="Times New Roman" w:eastAsia="宋体" w:cs="Times New Roman"/>
                <w:color w:val="auto"/>
                <w:spacing w:val="0"/>
                <w:sz w:val="24"/>
                <w:highlight w:val="none"/>
                <w:lang w:val="en-US" w:eastAsia="zh-CN"/>
              </w:rPr>
              <w:t>41.16</w:t>
            </w:r>
            <w:r>
              <w:rPr>
                <w:rFonts w:hint="default" w:ascii="Times New Roman" w:hAnsi="Times New Roman" w:eastAsia="宋体" w:cs="Times New Roman"/>
                <w:color w:val="auto"/>
                <w:spacing w:val="0"/>
                <w:sz w:val="24"/>
                <w:highlight w:val="none"/>
              </w:rPr>
              <w:t>万元，占总投资的</w:t>
            </w:r>
            <w:r>
              <w:rPr>
                <w:rFonts w:hint="default" w:ascii="Times New Roman" w:hAnsi="Times New Roman" w:eastAsia="宋体" w:cs="Times New Roman"/>
                <w:color w:val="auto"/>
                <w:spacing w:val="0"/>
                <w:sz w:val="24"/>
                <w:highlight w:val="none"/>
                <w:lang w:val="en-US" w:eastAsia="zh-CN"/>
              </w:rPr>
              <w:t>4.116</w:t>
            </w:r>
            <w:r>
              <w:rPr>
                <w:rFonts w:hint="default" w:ascii="Times New Roman" w:hAnsi="Times New Roman" w:eastAsia="宋体" w:cs="Times New Roman"/>
                <w:color w:val="auto"/>
                <w:spacing w:val="0"/>
                <w:sz w:val="24"/>
                <w:highlight w:val="none"/>
              </w:rPr>
              <w:t>%</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实际总投资1000万元，实际环保投资80.01万元，占实际总投资的8.001%。（见表4-4）。</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表4-4项目实际环保投资和环评阶段变化情况对比一览表   单位：（万元）</w:t>
            </w:r>
          </w:p>
          <w:tbl>
            <w:tblPr>
              <w:tblStyle w:val="26"/>
              <w:tblW w:w="4998"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1"/>
              <w:gridCol w:w="453"/>
              <w:gridCol w:w="946"/>
              <w:gridCol w:w="2118"/>
              <w:gridCol w:w="639"/>
              <w:gridCol w:w="2813"/>
              <w:gridCol w:w="841"/>
              <w:gridCol w:w="12"/>
            </w:tblGrid>
            <w:tr w14:paraId="42AB88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tcBorders>
                    <w:tl2br w:val="nil"/>
                    <w:tr2bl w:val="nil"/>
                  </w:tcBorders>
                  <w:noWrap w:val="0"/>
                  <w:vAlign w:val="center"/>
                </w:tcPr>
                <w:p w14:paraId="73B6274D">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序号</w:t>
                  </w:r>
                </w:p>
              </w:tc>
              <w:tc>
                <w:tcPr>
                  <w:tcW w:w="846" w:type="pct"/>
                  <w:gridSpan w:val="2"/>
                  <w:tcBorders>
                    <w:tl2br w:val="nil"/>
                    <w:tr2bl w:val="nil"/>
                  </w:tcBorders>
                  <w:noWrap w:val="0"/>
                  <w:vAlign w:val="center"/>
                </w:tcPr>
                <w:p w14:paraId="419690C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项目</w:t>
                  </w:r>
                </w:p>
              </w:tc>
              <w:tc>
                <w:tcPr>
                  <w:tcW w:w="1280" w:type="pct"/>
                  <w:tcBorders>
                    <w:tl2br w:val="nil"/>
                    <w:tr2bl w:val="nil"/>
                  </w:tcBorders>
                  <w:noWrap w:val="0"/>
                  <w:vAlign w:val="center"/>
                </w:tcPr>
                <w:p w14:paraId="6FBD4294">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设施</w:t>
                  </w:r>
                </w:p>
              </w:tc>
              <w:tc>
                <w:tcPr>
                  <w:tcW w:w="386" w:type="pct"/>
                  <w:tcBorders>
                    <w:tl2br w:val="nil"/>
                    <w:tr2bl w:val="nil"/>
                  </w:tcBorders>
                  <w:noWrap w:val="0"/>
                  <w:vAlign w:val="center"/>
                </w:tcPr>
                <w:p w14:paraId="2244B0C0">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金额</w:t>
                  </w:r>
                </w:p>
              </w:tc>
              <w:tc>
                <w:tcPr>
                  <w:tcW w:w="1700" w:type="pct"/>
                  <w:tcBorders>
                    <w:tl2br w:val="nil"/>
                    <w:tr2bl w:val="nil"/>
                  </w:tcBorders>
                  <w:noWrap w:val="0"/>
                  <w:vAlign w:val="center"/>
                </w:tcPr>
                <w:p w14:paraId="4F910BF8">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实际环保设施</w:t>
                  </w:r>
                </w:p>
              </w:tc>
              <w:tc>
                <w:tcPr>
                  <w:tcW w:w="513" w:type="pct"/>
                  <w:gridSpan w:val="2"/>
                  <w:tcBorders>
                    <w:tl2br w:val="nil"/>
                    <w:tr2bl w:val="nil"/>
                  </w:tcBorders>
                  <w:noWrap w:val="0"/>
                  <w:vAlign w:val="center"/>
                </w:tcPr>
                <w:p w14:paraId="14D75C24">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实际环保投资</w:t>
                  </w:r>
                </w:p>
              </w:tc>
            </w:tr>
            <w:tr w14:paraId="2CA7EA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73" w:type="pct"/>
                  <w:vMerge w:val="restart"/>
                  <w:tcBorders>
                    <w:tl2br w:val="nil"/>
                    <w:tr2bl w:val="nil"/>
                  </w:tcBorders>
                  <w:noWrap w:val="0"/>
                  <w:vAlign w:val="center"/>
                </w:tcPr>
                <w:p w14:paraId="7D3FE723">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1</w:t>
                  </w:r>
                </w:p>
              </w:tc>
              <w:tc>
                <w:tcPr>
                  <w:tcW w:w="274" w:type="pct"/>
                  <w:vMerge w:val="restart"/>
                  <w:tcBorders>
                    <w:tl2br w:val="nil"/>
                    <w:tr2bl w:val="nil"/>
                  </w:tcBorders>
                  <w:noWrap w:val="0"/>
                  <w:vAlign w:val="center"/>
                </w:tcPr>
                <w:p w14:paraId="3A3BE6C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
                      <w:sz w:val="21"/>
                      <w:szCs w:val="21"/>
                    </w:rPr>
                  </w:pPr>
                  <w:r>
                    <w:rPr>
                      <w:rFonts w:hint="default" w:ascii="Times New Roman" w:hAnsi="Times New Roman" w:cs="Times New Roman" w:eastAsiaTheme="minorEastAsia"/>
                      <w:b w:val="0"/>
                      <w:bCs/>
                      <w:color w:val="auto"/>
                      <w:spacing w:val="1"/>
                      <w:sz w:val="21"/>
                      <w:szCs w:val="21"/>
                    </w:rPr>
                    <w:t>废气</w:t>
                  </w:r>
                </w:p>
                <w:p w14:paraId="1B3C327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治理</w:t>
                  </w:r>
                </w:p>
              </w:tc>
              <w:tc>
                <w:tcPr>
                  <w:tcW w:w="571" w:type="pct"/>
                  <w:tcBorders>
                    <w:tl2br w:val="nil"/>
                    <w:tr2bl w:val="nil"/>
                  </w:tcBorders>
                  <w:noWrap w:val="0"/>
                  <w:vAlign w:val="center"/>
                </w:tcPr>
                <w:p w14:paraId="58748BA0">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施工扬尘</w:t>
                  </w:r>
                </w:p>
              </w:tc>
              <w:tc>
                <w:tcPr>
                  <w:tcW w:w="1280" w:type="pct"/>
                  <w:tcBorders>
                    <w:tl2br w:val="nil"/>
                    <w:tr2bl w:val="nil"/>
                  </w:tcBorders>
                  <w:noWrap w:val="0"/>
                  <w:vAlign w:val="center"/>
                </w:tcPr>
                <w:p w14:paraId="5AE3C63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洒水设备、设置挡板、车辆运输遮盖苫布</w:t>
                  </w:r>
                </w:p>
              </w:tc>
              <w:tc>
                <w:tcPr>
                  <w:tcW w:w="386" w:type="pct"/>
                  <w:tcBorders>
                    <w:tl2br w:val="nil"/>
                    <w:tr2bl w:val="nil"/>
                  </w:tcBorders>
                  <w:noWrap w:val="0"/>
                  <w:vAlign w:val="center"/>
                </w:tcPr>
                <w:p w14:paraId="50D2A8A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1</w:t>
                  </w:r>
                  <w:r>
                    <w:rPr>
                      <w:rFonts w:hint="default" w:ascii="Times New Roman" w:hAnsi="Times New Roman" w:cs="Times New Roman" w:eastAsiaTheme="minorEastAsia"/>
                      <w:b w:val="0"/>
                      <w:bCs/>
                      <w:color w:val="auto"/>
                      <w:spacing w:val="10"/>
                      <w:sz w:val="21"/>
                      <w:szCs w:val="21"/>
                    </w:rPr>
                    <w:t>.0</w:t>
                  </w:r>
                </w:p>
              </w:tc>
              <w:tc>
                <w:tcPr>
                  <w:tcW w:w="1700" w:type="pct"/>
                  <w:tcBorders>
                    <w:tl2br w:val="nil"/>
                    <w:tr2bl w:val="nil"/>
                  </w:tcBorders>
                  <w:shd w:val="clear" w:color="auto" w:fill="auto"/>
                  <w:noWrap w:val="0"/>
                  <w:vAlign w:val="center"/>
                </w:tcPr>
                <w:p w14:paraId="504FAB3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洒水设备、设置挡板、车辆运输遮盖苫布</w:t>
                  </w:r>
                </w:p>
              </w:tc>
              <w:tc>
                <w:tcPr>
                  <w:tcW w:w="513" w:type="pct"/>
                  <w:gridSpan w:val="2"/>
                  <w:tcBorders>
                    <w:tl2br w:val="nil"/>
                    <w:tr2bl w:val="nil"/>
                  </w:tcBorders>
                  <w:shd w:val="clear" w:color="auto" w:fill="auto"/>
                  <w:noWrap w:val="0"/>
                  <w:vAlign w:val="center"/>
                </w:tcPr>
                <w:p w14:paraId="095D1B7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0.8</w:t>
                  </w:r>
                </w:p>
              </w:tc>
            </w:tr>
            <w:tr w14:paraId="665A8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73" w:type="pct"/>
                  <w:vMerge w:val="continue"/>
                  <w:tcBorders>
                    <w:tl2br w:val="nil"/>
                    <w:tr2bl w:val="nil"/>
                  </w:tcBorders>
                  <w:noWrap w:val="0"/>
                  <w:vAlign w:val="center"/>
                </w:tcPr>
                <w:p w14:paraId="4E30D39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446CE488">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25C0430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柴油燃烧烟气</w:t>
                  </w:r>
                </w:p>
              </w:tc>
              <w:tc>
                <w:tcPr>
                  <w:tcW w:w="1280" w:type="pct"/>
                  <w:tcBorders>
                    <w:tl2br w:val="nil"/>
                    <w:tr2bl w:val="nil"/>
                  </w:tcBorders>
                  <w:noWrap w:val="0"/>
                  <w:vAlign w:val="center"/>
                </w:tcPr>
                <w:p w14:paraId="40B3775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柴油发电机简易排气筒</w:t>
                  </w:r>
                </w:p>
              </w:tc>
              <w:tc>
                <w:tcPr>
                  <w:tcW w:w="386" w:type="pct"/>
                  <w:tcBorders>
                    <w:tl2br w:val="nil"/>
                    <w:tr2bl w:val="nil"/>
                  </w:tcBorders>
                  <w:noWrap w:val="0"/>
                  <w:vAlign w:val="center"/>
                </w:tcPr>
                <w:p w14:paraId="2B0195A3">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5DCF678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柴油发电机简易排气筒</w:t>
                  </w:r>
                </w:p>
              </w:tc>
              <w:tc>
                <w:tcPr>
                  <w:tcW w:w="513" w:type="pct"/>
                  <w:gridSpan w:val="2"/>
                  <w:tcBorders>
                    <w:tl2br w:val="nil"/>
                    <w:tr2bl w:val="nil"/>
                  </w:tcBorders>
                  <w:shd w:val="clear" w:color="auto" w:fill="auto"/>
                  <w:noWrap w:val="0"/>
                  <w:vAlign w:val="center"/>
                </w:tcPr>
                <w:p w14:paraId="4627D97F">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04</w:t>
                  </w:r>
                </w:p>
              </w:tc>
            </w:tr>
            <w:tr w14:paraId="699E1C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3" w:type="pct"/>
                  <w:vMerge w:val="continue"/>
                  <w:tcBorders>
                    <w:tl2br w:val="nil"/>
                    <w:tr2bl w:val="nil"/>
                  </w:tcBorders>
                  <w:noWrap w:val="0"/>
                  <w:vAlign w:val="center"/>
                </w:tcPr>
                <w:p w14:paraId="24E1032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032039F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65C3718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伴生气</w:t>
                  </w:r>
                </w:p>
              </w:tc>
              <w:tc>
                <w:tcPr>
                  <w:tcW w:w="1280" w:type="pct"/>
                  <w:tcBorders>
                    <w:tl2br w:val="nil"/>
                    <w:tr2bl w:val="nil"/>
                  </w:tcBorders>
                  <w:noWrap w:val="0"/>
                  <w:vAlign w:val="center"/>
                </w:tcPr>
                <w:p w14:paraId="0AE57A9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无组织排放</w:t>
                  </w:r>
                </w:p>
              </w:tc>
              <w:tc>
                <w:tcPr>
                  <w:tcW w:w="386" w:type="pct"/>
                  <w:tcBorders>
                    <w:tl2br w:val="nil"/>
                    <w:tr2bl w:val="nil"/>
                  </w:tcBorders>
                  <w:noWrap w:val="0"/>
                  <w:vAlign w:val="center"/>
                </w:tcPr>
                <w:p w14:paraId="34B3965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09F50C8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lang w:val="en-US" w:eastAsia="zh-CN"/>
                    </w:rPr>
                    <w:t>无组织排放</w:t>
                  </w:r>
                </w:p>
              </w:tc>
              <w:tc>
                <w:tcPr>
                  <w:tcW w:w="513" w:type="pct"/>
                  <w:gridSpan w:val="2"/>
                  <w:tcBorders>
                    <w:tl2br w:val="nil"/>
                    <w:tr2bl w:val="nil"/>
                  </w:tcBorders>
                  <w:shd w:val="clear" w:color="auto" w:fill="auto"/>
                  <w:noWrap w:val="0"/>
                  <w:vAlign w:val="center"/>
                </w:tcPr>
                <w:p w14:paraId="366E10B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w:t>
                  </w:r>
                </w:p>
              </w:tc>
            </w:tr>
            <w:tr w14:paraId="0A2E39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73" w:type="pct"/>
                  <w:vMerge w:val="restart"/>
                  <w:tcBorders>
                    <w:tl2br w:val="nil"/>
                    <w:tr2bl w:val="nil"/>
                  </w:tcBorders>
                  <w:noWrap w:val="0"/>
                  <w:vAlign w:val="center"/>
                </w:tcPr>
                <w:p w14:paraId="0C8D6196">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2</w:t>
                  </w:r>
                </w:p>
              </w:tc>
              <w:tc>
                <w:tcPr>
                  <w:tcW w:w="274" w:type="pct"/>
                  <w:vMerge w:val="restart"/>
                  <w:tcBorders>
                    <w:tl2br w:val="nil"/>
                    <w:tr2bl w:val="nil"/>
                  </w:tcBorders>
                  <w:noWrap w:val="0"/>
                  <w:vAlign w:val="center"/>
                </w:tcPr>
                <w:p w14:paraId="7F4AF26F">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废水</w:t>
                  </w:r>
                </w:p>
                <w:p w14:paraId="61FEC10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治理</w:t>
                  </w:r>
                </w:p>
              </w:tc>
              <w:tc>
                <w:tcPr>
                  <w:tcW w:w="571" w:type="pct"/>
                  <w:tcBorders>
                    <w:tl2br w:val="nil"/>
                    <w:tr2bl w:val="nil"/>
                  </w:tcBorders>
                  <w:noWrap w:val="0"/>
                  <w:vAlign w:val="center"/>
                </w:tcPr>
                <w:p w14:paraId="70892B1B">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5"/>
                      <w:sz w:val="21"/>
                      <w:szCs w:val="21"/>
                    </w:rPr>
                    <w:t>钻井、洗井、井</w:t>
                  </w:r>
                  <w:r>
                    <w:rPr>
                      <w:rFonts w:hint="default" w:ascii="Times New Roman" w:hAnsi="Times New Roman" w:cs="Times New Roman" w:eastAsiaTheme="minorEastAsia"/>
                      <w:b w:val="0"/>
                      <w:bCs/>
                      <w:color w:val="auto"/>
                      <w:spacing w:val="1"/>
                      <w:sz w:val="21"/>
                      <w:szCs w:val="21"/>
                    </w:rPr>
                    <w:t>下作业废水</w:t>
                  </w:r>
                </w:p>
              </w:tc>
              <w:tc>
                <w:tcPr>
                  <w:tcW w:w="1280" w:type="pct"/>
                  <w:tcBorders>
                    <w:tl2br w:val="nil"/>
                    <w:tr2bl w:val="nil"/>
                  </w:tcBorders>
                  <w:noWrap w:val="0"/>
                  <w:vAlign w:val="center"/>
                </w:tcPr>
                <w:p w14:paraId="763022A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rPr>
                    <w:t>地上废水收集罐</w:t>
                  </w:r>
                  <w:r>
                    <w:rPr>
                      <w:rFonts w:hint="default" w:ascii="Times New Roman" w:hAnsi="Times New Roman" w:cs="Times New Roman" w:eastAsiaTheme="minorEastAsia"/>
                      <w:b w:val="0"/>
                      <w:bCs/>
                      <w:color w:val="auto"/>
                      <w:sz w:val="21"/>
                      <w:szCs w:val="21"/>
                      <w:lang w:val="en-US" w:eastAsia="zh-CN"/>
                    </w:rPr>
                    <w:t>及拉运费用</w:t>
                  </w:r>
                </w:p>
              </w:tc>
              <w:tc>
                <w:tcPr>
                  <w:tcW w:w="386" w:type="pct"/>
                  <w:tcBorders>
                    <w:tl2br w:val="nil"/>
                    <w:tr2bl w:val="nil"/>
                  </w:tcBorders>
                  <w:noWrap w:val="0"/>
                  <w:vAlign w:val="center"/>
                </w:tcPr>
                <w:p w14:paraId="31DC8D11">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1.2</w:t>
                  </w:r>
                </w:p>
              </w:tc>
              <w:tc>
                <w:tcPr>
                  <w:tcW w:w="1700" w:type="pct"/>
                  <w:tcBorders>
                    <w:tl2br w:val="nil"/>
                    <w:tr2bl w:val="nil"/>
                  </w:tcBorders>
                  <w:shd w:val="clear" w:color="auto" w:fill="auto"/>
                  <w:noWrap w:val="0"/>
                  <w:vAlign w:val="center"/>
                </w:tcPr>
                <w:p w14:paraId="1450BCCB">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地上废水收集罐</w:t>
                  </w:r>
                  <w:r>
                    <w:rPr>
                      <w:rFonts w:hint="default" w:ascii="Times New Roman" w:hAnsi="Times New Roman" w:cs="Times New Roman" w:eastAsiaTheme="minorEastAsia"/>
                      <w:b w:val="0"/>
                      <w:bCs/>
                      <w:color w:val="auto"/>
                      <w:sz w:val="21"/>
                      <w:szCs w:val="21"/>
                      <w:lang w:val="en-US" w:eastAsia="zh-CN"/>
                    </w:rPr>
                    <w:t>及拉运费用</w:t>
                  </w:r>
                </w:p>
              </w:tc>
              <w:tc>
                <w:tcPr>
                  <w:tcW w:w="513" w:type="pct"/>
                  <w:gridSpan w:val="2"/>
                  <w:tcBorders>
                    <w:tl2br w:val="nil"/>
                    <w:tr2bl w:val="nil"/>
                  </w:tcBorders>
                  <w:shd w:val="clear" w:color="auto" w:fill="auto"/>
                  <w:noWrap w:val="0"/>
                  <w:vAlign w:val="center"/>
                </w:tcPr>
                <w:p w14:paraId="1B6D497B">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1.5</w:t>
                  </w:r>
                </w:p>
              </w:tc>
            </w:tr>
            <w:tr w14:paraId="5DF5D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73" w:type="pct"/>
                  <w:vMerge w:val="continue"/>
                  <w:tcBorders>
                    <w:tl2br w:val="nil"/>
                    <w:tr2bl w:val="nil"/>
                  </w:tcBorders>
                  <w:noWrap w:val="0"/>
                  <w:vAlign w:val="center"/>
                </w:tcPr>
                <w:p w14:paraId="7BF1FB2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535007E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7EB7A87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生活污水</w:t>
                  </w:r>
                </w:p>
              </w:tc>
              <w:tc>
                <w:tcPr>
                  <w:tcW w:w="1280" w:type="pct"/>
                  <w:tcBorders>
                    <w:tl2br w:val="nil"/>
                    <w:tr2bl w:val="nil"/>
                  </w:tcBorders>
                  <w:noWrap w:val="0"/>
                  <w:vAlign w:val="center"/>
                </w:tcPr>
                <w:p w14:paraId="0E4C188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施工现场设置移动式环保厕所</w:t>
                  </w:r>
                </w:p>
              </w:tc>
              <w:tc>
                <w:tcPr>
                  <w:tcW w:w="386" w:type="pct"/>
                  <w:tcBorders>
                    <w:tl2br w:val="nil"/>
                    <w:tr2bl w:val="nil"/>
                  </w:tcBorders>
                  <w:noWrap w:val="0"/>
                  <w:vAlign w:val="center"/>
                </w:tcPr>
                <w:p w14:paraId="211621E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3DBB7B4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施工现场设置移动式环保厕所</w:t>
                  </w:r>
                </w:p>
              </w:tc>
              <w:tc>
                <w:tcPr>
                  <w:tcW w:w="513" w:type="pct"/>
                  <w:gridSpan w:val="2"/>
                  <w:tcBorders>
                    <w:tl2br w:val="nil"/>
                    <w:tr2bl w:val="nil"/>
                  </w:tcBorders>
                  <w:shd w:val="clear" w:color="auto" w:fill="auto"/>
                  <w:noWrap w:val="0"/>
                  <w:vAlign w:val="center"/>
                </w:tcPr>
                <w:p w14:paraId="48A5736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0.1</w:t>
                  </w:r>
                </w:p>
              </w:tc>
            </w:tr>
            <w:tr w14:paraId="511739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restart"/>
                  <w:tcBorders>
                    <w:tl2br w:val="nil"/>
                    <w:tr2bl w:val="nil"/>
                  </w:tcBorders>
                  <w:noWrap w:val="0"/>
                  <w:vAlign w:val="center"/>
                </w:tcPr>
                <w:p w14:paraId="3AFD5D2F">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3</w:t>
                  </w:r>
                </w:p>
              </w:tc>
              <w:tc>
                <w:tcPr>
                  <w:tcW w:w="274" w:type="pct"/>
                  <w:vMerge w:val="restart"/>
                  <w:tcBorders>
                    <w:tl2br w:val="nil"/>
                    <w:tr2bl w:val="nil"/>
                  </w:tcBorders>
                  <w:noWrap w:val="0"/>
                  <w:vAlign w:val="center"/>
                </w:tcPr>
                <w:p w14:paraId="082AED8B">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噪声</w:t>
                  </w:r>
                </w:p>
                <w:p w14:paraId="766EEDF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治理</w:t>
                  </w:r>
                </w:p>
              </w:tc>
              <w:tc>
                <w:tcPr>
                  <w:tcW w:w="571" w:type="pct"/>
                  <w:tcBorders>
                    <w:tl2br w:val="nil"/>
                    <w:tr2bl w:val="nil"/>
                  </w:tcBorders>
                  <w:noWrap w:val="0"/>
                  <w:vAlign w:val="center"/>
                </w:tcPr>
                <w:p w14:paraId="776445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柴油发电机</w:t>
                  </w:r>
                </w:p>
              </w:tc>
              <w:tc>
                <w:tcPr>
                  <w:tcW w:w="1280" w:type="pct"/>
                  <w:tcBorders>
                    <w:tl2br w:val="nil"/>
                    <w:tr2bl w:val="nil"/>
                  </w:tcBorders>
                  <w:noWrap w:val="0"/>
                  <w:vAlign w:val="center"/>
                </w:tcPr>
                <w:p w14:paraId="5DEBF94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减震，安装活动板房隔声</w:t>
                  </w:r>
                </w:p>
              </w:tc>
              <w:tc>
                <w:tcPr>
                  <w:tcW w:w="386" w:type="pct"/>
                  <w:tcBorders>
                    <w:tl2br w:val="nil"/>
                    <w:tr2bl w:val="nil"/>
                  </w:tcBorders>
                  <w:noWrap w:val="0"/>
                  <w:vAlign w:val="center"/>
                </w:tcPr>
                <w:p w14:paraId="13B8221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2.0</w:t>
                  </w:r>
                </w:p>
              </w:tc>
              <w:tc>
                <w:tcPr>
                  <w:tcW w:w="1700" w:type="pct"/>
                  <w:tcBorders>
                    <w:tl2br w:val="nil"/>
                    <w:tr2bl w:val="nil"/>
                  </w:tcBorders>
                  <w:shd w:val="clear" w:color="auto" w:fill="auto"/>
                  <w:noWrap w:val="0"/>
                  <w:vAlign w:val="center"/>
                </w:tcPr>
                <w:p w14:paraId="3E89CF1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减震，安装活动板房隔声</w:t>
                  </w:r>
                </w:p>
              </w:tc>
              <w:tc>
                <w:tcPr>
                  <w:tcW w:w="513" w:type="pct"/>
                  <w:gridSpan w:val="2"/>
                  <w:tcBorders>
                    <w:tl2br w:val="nil"/>
                    <w:tr2bl w:val="nil"/>
                  </w:tcBorders>
                  <w:shd w:val="clear" w:color="auto" w:fill="auto"/>
                  <w:noWrap w:val="0"/>
                  <w:vAlign w:val="center"/>
                </w:tcPr>
                <w:p w14:paraId="1C6D86DB">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1.5</w:t>
                  </w:r>
                </w:p>
              </w:tc>
            </w:tr>
            <w:tr w14:paraId="10E6B9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273" w:type="pct"/>
                  <w:vMerge w:val="continue"/>
                  <w:tcBorders>
                    <w:tl2br w:val="nil"/>
                    <w:tr2bl w:val="nil"/>
                  </w:tcBorders>
                  <w:noWrap w:val="0"/>
                  <w:vAlign w:val="center"/>
                </w:tcPr>
                <w:p w14:paraId="1C756EFB">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69749F1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64E8B19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泥浆泵</w:t>
                  </w:r>
                </w:p>
              </w:tc>
              <w:tc>
                <w:tcPr>
                  <w:tcW w:w="1280" w:type="pct"/>
                  <w:tcBorders>
                    <w:tl2br w:val="nil"/>
                    <w:tr2bl w:val="nil"/>
                  </w:tcBorders>
                  <w:noWrap w:val="0"/>
                  <w:vAlign w:val="center"/>
                </w:tcPr>
                <w:p w14:paraId="7AC505C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z w:val="21"/>
                      <w:szCs w:val="21"/>
                    </w:rPr>
                    <w:t>加衬弹性垫料</w:t>
                  </w:r>
                </w:p>
              </w:tc>
              <w:tc>
                <w:tcPr>
                  <w:tcW w:w="386" w:type="pct"/>
                  <w:tcBorders>
                    <w:tl2br w:val="nil"/>
                    <w:tr2bl w:val="nil"/>
                  </w:tcBorders>
                  <w:noWrap w:val="0"/>
                  <w:vAlign w:val="center"/>
                </w:tcPr>
                <w:p w14:paraId="1E8AA0A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0.15</w:t>
                  </w:r>
                </w:p>
              </w:tc>
              <w:tc>
                <w:tcPr>
                  <w:tcW w:w="1700" w:type="pct"/>
                  <w:tcBorders>
                    <w:tl2br w:val="nil"/>
                    <w:tr2bl w:val="nil"/>
                  </w:tcBorders>
                  <w:shd w:val="clear" w:color="auto" w:fill="auto"/>
                  <w:noWrap w:val="0"/>
                  <w:vAlign w:val="center"/>
                </w:tcPr>
                <w:p w14:paraId="16FC065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z w:val="21"/>
                      <w:szCs w:val="21"/>
                    </w:rPr>
                    <w:t>加衬弹性垫料</w:t>
                  </w:r>
                </w:p>
              </w:tc>
              <w:tc>
                <w:tcPr>
                  <w:tcW w:w="513" w:type="pct"/>
                  <w:gridSpan w:val="2"/>
                  <w:tcBorders>
                    <w:tl2br w:val="nil"/>
                    <w:tr2bl w:val="nil"/>
                  </w:tcBorders>
                  <w:shd w:val="clear" w:color="auto" w:fill="auto"/>
                  <w:noWrap w:val="0"/>
                  <w:vAlign w:val="center"/>
                </w:tcPr>
                <w:p w14:paraId="55ED18AF">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0.3</w:t>
                  </w:r>
                </w:p>
              </w:tc>
            </w:tr>
            <w:tr w14:paraId="1A68C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73" w:type="pct"/>
                  <w:vMerge w:val="restart"/>
                  <w:tcBorders>
                    <w:tl2br w:val="nil"/>
                    <w:tr2bl w:val="nil"/>
                  </w:tcBorders>
                  <w:noWrap w:val="0"/>
                  <w:vAlign w:val="center"/>
                </w:tcPr>
                <w:p w14:paraId="7B86353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4</w:t>
                  </w:r>
                </w:p>
              </w:tc>
              <w:tc>
                <w:tcPr>
                  <w:tcW w:w="274" w:type="pct"/>
                  <w:vMerge w:val="restart"/>
                  <w:tcBorders>
                    <w:tl2br w:val="nil"/>
                    <w:tr2bl w:val="nil"/>
                  </w:tcBorders>
                  <w:noWrap w:val="0"/>
                  <w:vAlign w:val="center"/>
                </w:tcPr>
                <w:p w14:paraId="468DBD8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固废</w:t>
                  </w:r>
                </w:p>
                <w:p w14:paraId="487E4336">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治理</w:t>
                  </w:r>
                </w:p>
              </w:tc>
              <w:tc>
                <w:tcPr>
                  <w:tcW w:w="571" w:type="pct"/>
                  <w:tcBorders>
                    <w:tl2br w:val="nil"/>
                    <w:tr2bl w:val="nil"/>
                  </w:tcBorders>
                  <w:noWrap w:val="0"/>
                  <w:vAlign w:val="center"/>
                </w:tcPr>
                <w:p w14:paraId="5684316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废弃泥浆、钻井岩屑</w:t>
                  </w:r>
                </w:p>
              </w:tc>
              <w:tc>
                <w:tcPr>
                  <w:tcW w:w="1280" w:type="pct"/>
                  <w:tcBorders>
                    <w:tl2br w:val="nil"/>
                    <w:tr2bl w:val="nil"/>
                  </w:tcBorders>
                  <w:noWrap w:val="0"/>
                  <w:vAlign w:val="center"/>
                </w:tcPr>
                <w:p w14:paraId="0676E31E">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3"/>
                      <w:sz w:val="21"/>
                      <w:szCs w:val="21"/>
                    </w:rPr>
                    <w:t>钻井井场设置移动式泥浆不落地设施，配套</w:t>
                  </w:r>
                  <w:r>
                    <w:rPr>
                      <w:rFonts w:hint="default" w:ascii="Times New Roman" w:hAnsi="Times New Roman" w:cs="Times New Roman" w:eastAsiaTheme="minorEastAsia"/>
                      <w:b w:val="0"/>
                      <w:bCs/>
                      <w:color w:val="auto"/>
                      <w:spacing w:val="-4"/>
                      <w:sz w:val="21"/>
                      <w:szCs w:val="21"/>
                    </w:rPr>
                    <w:t>有污水罐、泥浆罐、压滤设施等，并在下方</w:t>
                  </w:r>
                  <w:r>
                    <w:rPr>
                      <w:rFonts w:hint="default" w:ascii="Times New Roman" w:hAnsi="Times New Roman" w:cs="Times New Roman" w:eastAsiaTheme="minorEastAsia"/>
                      <w:b w:val="0"/>
                      <w:bCs/>
                      <w:color w:val="auto"/>
                      <w:spacing w:val="-3"/>
                      <w:sz w:val="21"/>
                      <w:szCs w:val="21"/>
                    </w:rPr>
                    <w:t>铺设防渗布等防渗措施；施工期结束后对废</w:t>
                  </w:r>
                  <w:r>
                    <w:rPr>
                      <w:rFonts w:hint="default" w:ascii="Times New Roman" w:hAnsi="Times New Roman" w:cs="Times New Roman" w:eastAsiaTheme="minorEastAsia"/>
                      <w:b w:val="0"/>
                      <w:bCs/>
                      <w:color w:val="auto"/>
                      <w:sz w:val="21"/>
                      <w:szCs w:val="21"/>
                    </w:rPr>
                    <w:t>弃泥浆及岩屑进行固化后填或拉运制砖埋</w:t>
                  </w:r>
                </w:p>
              </w:tc>
              <w:tc>
                <w:tcPr>
                  <w:tcW w:w="386" w:type="pct"/>
                  <w:tcBorders>
                    <w:tl2br w:val="nil"/>
                    <w:tr2bl w:val="nil"/>
                  </w:tcBorders>
                  <w:noWrap w:val="0"/>
                  <w:vAlign w:val="center"/>
                </w:tcPr>
                <w:p w14:paraId="1EF9441E">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12.0</w:t>
                  </w:r>
                </w:p>
              </w:tc>
              <w:tc>
                <w:tcPr>
                  <w:tcW w:w="1700" w:type="pct"/>
                  <w:tcBorders>
                    <w:tl2br w:val="nil"/>
                    <w:tr2bl w:val="nil"/>
                  </w:tcBorders>
                  <w:shd w:val="clear" w:color="auto" w:fill="auto"/>
                  <w:noWrap w:val="0"/>
                  <w:vAlign w:val="center"/>
                </w:tcPr>
                <w:p w14:paraId="52A0134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钻井废弃泥浆、岩屑采取不落地收集+板框压滤装置处置，产生的泥饼（固相含水率不大于60%）暂存井场，泥饼临时暂存要落实“三防”措施并加强管理，井场内暂存时间</w:t>
                  </w:r>
                  <w:r>
                    <w:rPr>
                      <w:rFonts w:hint="default" w:ascii="Times New Roman" w:hAnsi="Times New Roman" w:eastAsia="宋体" w:cs="Times New Roman"/>
                      <w:bCs/>
                      <w:color w:val="auto"/>
                      <w:sz w:val="21"/>
                      <w:szCs w:val="21"/>
                      <w:highlight w:val="none"/>
                      <w:lang w:val="en-US" w:eastAsia="zh-CN"/>
                    </w:rPr>
                    <w:t>未</w:t>
                  </w:r>
                  <w:r>
                    <w:rPr>
                      <w:rFonts w:hint="default" w:ascii="Times New Roman" w:hAnsi="Times New Roman" w:eastAsia="宋体" w:cs="Times New Roman"/>
                      <w:bCs/>
                      <w:color w:val="auto"/>
                      <w:sz w:val="21"/>
                      <w:szCs w:val="21"/>
                      <w:highlight w:val="none"/>
                      <w:lang w:eastAsia="zh-CN"/>
                    </w:rPr>
                    <w:t>超过6个月。采用“下铺上盖”方式，四周设置0.2m高围堰，</w:t>
                  </w:r>
                  <w:r>
                    <w:rPr>
                      <w:rFonts w:hint="default" w:ascii="Times New Roman" w:hAnsi="Times New Roman" w:eastAsia="宋体" w:cs="Times New Roman"/>
                      <w:color w:val="auto"/>
                      <w:spacing w:val="0"/>
                      <w:kern w:val="21"/>
                      <w:sz w:val="21"/>
                      <w:szCs w:val="21"/>
                      <w:highlight w:val="none"/>
                      <w:lang w:val="en-US" w:eastAsia="zh-CN" w:bidi="ar-SA"/>
                    </w:rPr>
                    <w:t>采用“下铺上盖”方式，四周设置0.2m高围堰。下铺防渗要求：等效黏土防渗层Mb≥6.0m，K≤1x10</w:t>
                  </w:r>
                  <w:r>
                    <w:rPr>
                      <w:rFonts w:hint="default" w:ascii="Times New Roman" w:hAnsi="Times New Roman" w:eastAsia="宋体" w:cs="Times New Roman"/>
                      <w:color w:val="auto"/>
                      <w:spacing w:val="0"/>
                      <w:kern w:val="21"/>
                      <w:sz w:val="21"/>
                      <w:szCs w:val="21"/>
                      <w:highlight w:val="none"/>
                      <w:vertAlign w:val="superscript"/>
                      <w:lang w:val="en-US" w:eastAsia="zh-CN" w:bidi="ar-SA"/>
                    </w:rPr>
                    <w:t>-10</w:t>
                  </w:r>
                  <w:r>
                    <w:rPr>
                      <w:rFonts w:hint="default" w:ascii="Times New Roman" w:hAnsi="Times New Roman" w:eastAsia="宋体" w:cs="Times New Roman"/>
                      <w:color w:val="auto"/>
                      <w:spacing w:val="0"/>
                      <w:kern w:val="21"/>
                      <w:sz w:val="21"/>
                      <w:szCs w:val="21"/>
                      <w:highlight w:val="none"/>
                      <w:lang w:val="en-US" w:eastAsia="zh-CN" w:bidi="ar-SA"/>
                    </w:rPr>
                    <w:t>cm/s</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val="en-US" w:eastAsia="zh-CN" w:bidi="ar-SA"/>
                    </w:rPr>
                    <w:t>产生的钻井废弃泥浆、一般岩屑全部采用“不落地收集+板框压滤”处理工艺，经处理后的</w:t>
                  </w:r>
                  <w:r>
                    <w:rPr>
                      <w:rFonts w:hint="default" w:ascii="Times New Roman" w:hAnsi="Times New Roman" w:eastAsia="宋体" w:cs="Times New Roman"/>
                      <w:bCs/>
                      <w:color w:val="auto"/>
                      <w:sz w:val="21"/>
                      <w:szCs w:val="21"/>
                      <w:highlight w:val="none"/>
                      <w:lang w:eastAsia="zh-CN"/>
                    </w:rPr>
                    <w:t>岩屑暂存于固渣暂存处，由防渗漏、防溢流的运输车辆</w:t>
                  </w:r>
                  <w:r>
                    <w:rPr>
                      <w:rFonts w:hint="default"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default" w:ascii="Times New Roman" w:hAnsi="Times New Roman" w:eastAsia="宋体" w:cs="Times New Roman"/>
                      <w:color w:val="000000" w:themeColor="text1"/>
                      <w:sz w:val="21"/>
                      <w:szCs w:val="21"/>
                      <w:lang w:eastAsia="zh-CN"/>
                      <w14:textFill>
                        <w14:solidFill>
                          <w14:schemeClr w14:val="tx1"/>
                        </w14:solidFill>
                      </w14:textFill>
                    </w:rPr>
                    <w:t>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未产生二次污染</w:t>
                  </w:r>
                </w:p>
              </w:tc>
              <w:tc>
                <w:tcPr>
                  <w:tcW w:w="513" w:type="pct"/>
                  <w:gridSpan w:val="2"/>
                  <w:tcBorders>
                    <w:tl2br w:val="nil"/>
                    <w:tr2bl w:val="nil"/>
                  </w:tcBorders>
                  <w:shd w:val="clear" w:color="auto" w:fill="auto"/>
                  <w:noWrap w:val="0"/>
                  <w:vAlign w:val="center"/>
                </w:tcPr>
                <w:p w14:paraId="468F344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50</w:t>
                  </w:r>
                </w:p>
              </w:tc>
            </w:tr>
            <w:tr w14:paraId="5CB9A1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73" w:type="pct"/>
                  <w:vMerge w:val="continue"/>
                  <w:tcBorders>
                    <w:tl2br w:val="nil"/>
                    <w:tr2bl w:val="nil"/>
                  </w:tcBorders>
                  <w:noWrap w:val="0"/>
                  <w:vAlign w:val="center"/>
                </w:tcPr>
                <w:p w14:paraId="22FA373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3AEA666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63AFD72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废过硫酸钾包</w:t>
                  </w:r>
                </w:p>
                <w:p w14:paraId="529751B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装袋、废机油、</w:t>
                  </w:r>
                  <w:r>
                    <w:rPr>
                      <w:rFonts w:hint="default" w:ascii="Times New Roman" w:hAnsi="Times New Roman" w:cs="Times New Roman" w:eastAsiaTheme="minorEastAsia"/>
                      <w:b w:val="0"/>
                      <w:bCs/>
                      <w:color w:val="auto"/>
                      <w:spacing w:val="1"/>
                      <w:sz w:val="21"/>
                      <w:szCs w:val="21"/>
                    </w:rPr>
                    <w:t>落地油、含油岩屑</w:t>
                  </w:r>
                </w:p>
              </w:tc>
              <w:tc>
                <w:tcPr>
                  <w:tcW w:w="1280" w:type="pct"/>
                  <w:tcBorders>
                    <w:tl2br w:val="nil"/>
                    <w:tr2bl w:val="nil"/>
                  </w:tcBorders>
                  <w:noWrap w:val="0"/>
                  <w:vAlign w:val="center"/>
                </w:tcPr>
                <w:p w14:paraId="4C20E353">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3"/>
                      <w:sz w:val="21"/>
                      <w:szCs w:val="21"/>
                    </w:rPr>
                    <w:t>油泥收集桶、废机油</w:t>
                  </w:r>
                  <w:r>
                    <w:rPr>
                      <w:rFonts w:hint="default" w:ascii="Times New Roman" w:hAnsi="Times New Roman" w:cs="Times New Roman" w:eastAsiaTheme="minorEastAsia"/>
                      <w:b w:val="0"/>
                      <w:bCs/>
                      <w:color w:val="auto"/>
                      <w:spacing w:val="-3"/>
                      <w:sz w:val="21"/>
                      <w:szCs w:val="21"/>
                      <w:lang w:val="en-US" w:eastAsia="zh-CN"/>
                    </w:rPr>
                    <w:t>(1m</w:t>
                  </w:r>
                  <w:r>
                    <w:rPr>
                      <w:rFonts w:hint="default" w:ascii="Times New Roman" w:hAnsi="Times New Roman" w:cs="Times New Roman" w:eastAsiaTheme="minorEastAsia"/>
                      <w:b w:val="0"/>
                      <w:bCs/>
                      <w:color w:val="auto"/>
                      <w:spacing w:val="-3"/>
                      <w:sz w:val="21"/>
                      <w:szCs w:val="21"/>
                      <w:vertAlign w:val="superscript"/>
                      <w:lang w:val="en-US" w:eastAsia="zh-CN"/>
                    </w:rPr>
                    <w:t>3</w:t>
                  </w:r>
                  <w:r>
                    <w:rPr>
                      <w:rFonts w:hint="default" w:ascii="Times New Roman" w:hAnsi="Times New Roman" w:cs="Times New Roman" w:eastAsiaTheme="minorEastAsia"/>
                      <w:b w:val="0"/>
                      <w:bCs/>
                      <w:color w:val="auto"/>
                      <w:spacing w:val="-3"/>
                      <w:sz w:val="21"/>
                      <w:szCs w:val="21"/>
                      <w:lang w:val="en-US" w:eastAsia="zh-CN"/>
                    </w:rPr>
                    <w:t>)</w:t>
                  </w:r>
                  <w:r>
                    <w:rPr>
                      <w:rFonts w:hint="default" w:ascii="Times New Roman" w:hAnsi="Times New Roman" w:cs="Times New Roman" w:eastAsiaTheme="minorEastAsia"/>
                      <w:b w:val="0"/>
                      <w:bCs/>
                      <w:color w:val="auto"/>
                      <w:spacing w:val="-3"/>
                      <w:sz w:val="21"/>
                      <w:szCs w:val="21"/>
                      <w:lang w:eastAsia="zh-CN"/>
                    </w:rPr>
                    <w:t>设置</w:t>
                  </w:r>
                  <w:r>
                    <w:rPr>
                      <w:rFonts w:hint="default" w:ascii="Times New Roman" w:hAnsi="Times New Roman" w:cs="Times New Roman" w:eastAsiaTheme="minorEastAsia"/>
                      <w:b w:val="0"/>
                      <w:bCs/>
                      <w:color w:val="auto"/>
                      <w:spacing w:val="-3"/>
                      <w:sz w:val="21"/>
                      <w:szCs w:val="21"/>
                    </w:rPr>
                    <w:t>专用回收桶</w:t>
                  </w:r>
                  <w:r>
                    <w:rPr>
                      <w:rFonts w:hint="default" w:ascii="Times New Roman" w:hAnsi="Times New Roman" w:cs="Times New Roman" w:eastAsiaTheme="minorEastAsia"/>
                      <w:b w:val="0"/>
                      <w:bCs/>
                      <w:color w:val="auto"/>
                      <w:sz w:val="21"/>
                      <w:szCs w:val="21"/>
                      <w:lang w:val="en-US" w:eastAsia="zh-CN"/>
                    </w:rPr>
                    <w:t>，临时危险废物暂存间（5m</w:t>
                  </w:r>
                  <w:r>
                    <w:rPr>
                      <w:rFonts w:hint="default" w:ascii="Times New Roman" w:hAnsi="Times New Roman" w:cs="Times New Roman" w:eastAsiaTheme="minorEastAsia"/>
                      <w:b w:val="0"/>
                      <w:bCs/>
                      <w:color w:val="auto"/>
                      <w:sz w:val="21"/>
                      <w:szCs w:val="21"/>
                      <w:vertAlign w:val="superscript"/>
                      <w:lang w:val="en-US" w:eastAsia="zh-CN"/>
                    </w:rPr>
                    <w:t>3</w:t>
                  </w:r>
                  <w:r>
                    <w:rPr>
                      <w:rFonts w:hint="default" w:ascii="Times New Roman" w:hAnsi="Times New Roman" w:cs="Times New Roman" w:eastAsiaTheme="minorEastAsia"/>
                      <w:b w:val="0"/>
                      <w:bCs/>
                      <w:color w:val="auto"/>
                      <w:sz w:val="21"/>
                      <w:szCs w:val="21"/>
                      <w:lang w:val="en-US" w:eastAsia="zh-CN"/>
                    </w:rPr>
                    <w:t>）暂存，送有资质单位处置</w:t>
                  </w:r>
                </w:p>
              </w:tc>
              <w:tc>
                <w:tcPr>
                  <w:tcW w:w="386" w:type="pct"/>
                  <w:tcBorders>
                    <w:tl2br w:val="nil"/>
                    <w:tr2bl w:val="nil"/>
                  </w:tcBorders>
                  <w:noWrap w:val="0"/>
                  <w:vAlign w:val="center"/>
                </w:tcPr>
                <w:p w14:paraId="5EAF2C7A">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2CF6176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eastAsia="宋体" w:cs="Times New Roman"/>
                      <w:color w:val="FF0000"/>
                      <w:spacing w:val="0"/>
                      <w:sz w:val="21"/>
                      <w:szCs w:val="21"/>
                      <w:highlight w:val="none"/>
                      <w:lang w:val="en-US" w:eastAsia="zh-CN"/>
                    </w:rPr>
                    <w:t>未产生废机油</w:t>
                  </w:r>
                  <w:r>
                    <w:rPr>
                      <w:rFonts w:hint="default" w:ascii="Times New Roman" w:hAnsi="Times New Roman" w:eastAsia="宋体" w:cs="Times New Roman"/>
                      <w:color w:val="auto"/>
                      <w:spacing w:val="0"/>
                      <w:sz w:val="21"/>
                      <w:szCs w:val="21"/>
                      <w:highlight w:val="none"/>
                      <w:lang w:val="en-US" w:eastAsia="zh-CN" w:bidi="ar-SA"/>
                    </w:rPr>
                    <w:t>，其余危险废物</w:t>
                  </w:r>
                  <w:r>
                    <w:rPr>
                      <w:rFonts w:hint="default" w:ascii="Times New Roman" w:hAnsi="Times New Roman" w:cs="Times New Roman" w:eastAsiaTheme="minorEastAsia"/>
                      <w:b w:val="0"/>
                      <w:bCs/>
                      <w:color w:val="auto"/>
                      <w:spacing w:val="-3"/>
                      <w:sz w:val="21"/>
                      <w:szCs w:val="21"/>
                      <w:lang w:val="en-US" w:eastAsia="zh-CN"/>
                    </w:rPr>
                    <w:t>经</w:t>
                  </w:r>
                  <w:r>
                    <w:rPr>
                      <w:rFonts w:hint="default" w:ascii="Times New Roman" w:hAnsi="Times New Roman" w:cs="Times New Roman" w:eastAsiaTheme="minorEastAsia"/>
                      <w:b w:val="0"/>
                      <w:bCs/>
                      <w:color w:val="auto"/>
                      <w:spacing w:val="-3"/>
                      <w:sz w:val="21"/>
                      <w:szCs w:val="21"/>
                    </w:rPr>
                    <w:t>油泥收集桶、废机油</w:t>
                  </w:r>
                  <w:r>
                    <w:rPr>
                      <w:rFonts w:hint="default" w:ascii="Times New Roman" w:hAnsi="Times New Roman" w:cs="Times New Roman" w:eastAsiaTheme="minorEastAsia"/>
                      <w:b w:val="0"/>
                      <w:bCs/>
                      <w:color w:val="auto"/>
                      <w:spacing w:val="-3"/>
                      <w:sz w:val="21"/>
                      <w:szCs w:val="21"/>
                      <w:lang w:val="en-US" w:eastAsia="zh-CN"/>
                    </w:rPr>
                    <w:t>(1m</w:t>
                  </w:r>
                  <w:r>
                    <w:rPr>
                      <w:rFonts w:hint="default" w:ascii="Times New Roman" w:hAnsi="Times New Roman" w:cs="Times New Roman" w:eastAsiaTheme="minorEastAsia"/>
                      <w:b w:val="0"/>
                      <w:bCs/>
                      <w:color w:val="auto"/>
                      <w:spacing w:val="-3"/>
                      <w:sz w:val="21"/>
                      <w:szCs w:val="21"/>
                      <w:vertAlign w:val="superscript"/>
                      <w:lang w:val="en-US" w:eastAsia="zh-CN"/>
                    </w:rPr>
                    <w:t>3</w:t>
                  </w:r>
                  <w:r>
                    <w:rPr>
                      <w:rFonts w:hint="default" w:ascii="Times New Roman" w:hAnsi="Times New Roman" w:cs="Times New Roman" w:eastAsiaTheme="minorEastAsia"/>
                      <w:b w:val="0"/>
                      <w:bCs/>
                      <w:color w:val="auto"/>
                      <w:spacing w:val="-3"/>
                      <w:sz w:val="21"/>
                      <w:szCs w:val="21"/>
                      <w:lang w:val="en-US" w:eastAsia="zh-CN"/>
                    </w:rPr>
                    <w:t>)</w:t>
                  </w:r>
                  <w:r>
                    <w:rPr>
                      <w:rFonts w:hint="default" w:ascii="Times New Roman" w:hAnsi="Times New Roman" w:cs="Times New Roman" w:eastAsiaTheme="minorEastAsia"/>
                      <w:b w:val="0"/>
                      <w:bCs/>
                      <w:color w:val="auto"/>
                      <w:spacing w:val="-3"/>
                      <w:sz w:val="21"/>
                      <w:szCs w:val="21"/>
                      <w:lang w:eastAsia="zh-CN"/>
                    </w:rPr>
                    <w:t>设置</w:t>
                  </w:r>
                  <w:r>
                    <w:rPr>
                      <w:rFonts w:hint="default" w:ascii="Times New Roman" w:hAnsi="Times New Roman" w:cs="Times New Roman" w:eastAsiaTheme="minorEastAsia"/>
                      <w:b w:val="0"/>
                      <w:bCs/>
                      <w:color w:val="auto"/>
                      <w:spacing w:val="-3"/>
                      <w:sz w:val="21"/>
                      <w:szCs w:val="21"/>
                    </w:rPr>
                    <w:t>专用回收桶</w:t>
                  </w:r>
                  <w:r>
                    <w:rPr>
                      <w:rFonts w:hint="default" w:ascii="Times New Roman" w:hAnsi="Times New Roman" w:cs="Times New Roman" w:eastAsiaTheme="minorEastAsia"/>
                      <w:b w:val="0"/>
                      <w:bCs/>
                      <w:color w:val="auto"/>
                      <w:sz w:val="21"/>
                      <w:szCs w:val="21"/>
                      <w:lang w:val="en-US" w:eastAsia="zh-CN"/>
                    </w:rPr>
                    <w:t>，临时危险废物暂存间（5m</w:t>
                  </w:r>
                  <w:r>
                    <w:rPr>
                      <w:rFonts w:hint="default" w:ascii="Times New Roman" w:hAnsi="Times New Roman" w:cs="Times New Roman" w:eastAsiaTheme="minorEastAsia"/>
                      <w:b w:val="0"/>
                      <w:bCs/>
                      <w:color w:val="auto"/>
                      <w:sz w:val="21"/>
                      <w:szCs w:val="21"/>
                      <w:vertAlign w:val="superscript"/>
                      <w:lang w:val="en-US" w:eastAsia="zh-CN"/>
                    </w:rPr>
                    <w:t>3</w:t>
                  </w:r>
                  <w:r>
                    <w:rPr>
                      <w:rFonts w:hint="default" w:ascii="Times New Roman" w:hAnsi="Times New Roman" w:cs="Times New Roman" w:eastAsiaTheme="minorEastAsia"/>
                      <w:b w:val="0"/>
                      <w:bCs/>
                      <w:color w:val="auto"/>
                      <w:sz w:val="21"/>
                      <w:szCs w:val="21"/>
                      <w:lang w:val="en-US" w:eastAsia="zh-CN"/>
                    </w:rPr>
                    <w:t>）暂存，</w:t>
                  </w:r>
                  <w:r>
                    <w:rPr>
                      <w:rFonts w:hint="default" w:ascii="Times New Roman" w:hAnsi="Times New Roman" w:eastAsia="宋体" w:cs="Times New Roman"/>
                      <w:color w:val="FF0000"/>
                      <w:spacing w:val="0"/>
                      <w:sz w:val="21"/>
                      <w:szCs w:val="21"/>
                      <w:highlight w:val="none"/>
                      <w:lang w:val="en-US" w:eastAsia="zh-CN"/>
                    </w:rPr>
                    <w:t>委托庆阳丰泰环保有限责任公司处置</w:t>
                  </w:r>
                </w:p>
              </w:tc>
              <w:tc>
                <w:tcPr>
                  <w:tcW w:w="513" w:type="pct"/>
                  <w:gridSpan w:val="2"/>
                  <w:tcBorders>
                    <w:tl2br w:val="nil"/>
                    <w:tr2bl w:val="nil"/>
                  </w:tcBorders>
                  <w:shd w:val="clear" w:color="auto" w:fill="auto"/>
                  <w:noWrap w:val="0"/>
                  <w:vAlign w:val="center"/>
                </w:tcPr>
                <w:p w14:paraId="28FC3CC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0.3</w:t>
                  </w:r>
                </w:p>
              </w:tc>
            </w:tr>
            <w:tr w14:paraId="61ED48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continue"/>
                  <w:tcBorders>
                    <w:tl2br w:val="nil"/>
                    <w:tr2bl w:val="nil"/>
                  </w:tcBorders>
                  <w:noWrap w:val="0"/>
                  <w:vAlign w:val="center"/>
                </w:tcPr>
                <w:p w14:paraId="169FFFEA">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4830001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238A6D3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生活垃圾</w:t>
                  </w:r>
                </w:p>
              </w:tc>
              <w:tc>
                <w:tcPr>
                  <w:tcW w:w="1280" w:type="pct"/>
                  <w:tcBorders>
                    <w:tl2br w:val="nil"/>
                    <w:tr2bl w:val="nil"/>
                  </w:tcBorders>
                  <w:noWrap w:val="0"/>
                  <w:vAlign w:val="center"/>
                </w:tcPr>
                <w:p w14:paraId="7F0FCF35">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生活垃圾桶</w:t>
                  </w:r>
                  <w:r>
                    <w:rPr>
                      <w:rFonts w:hint="default" w:ascii="Times New Roman" w:hAnsi="Times New Roman" w:cs="Times New Roman" w:eastAsiaTheme="minorEastAsia"/>
                      <w:b w:val="0"/>
                      <w:bCs/>
                      <w:color w:val="auto"/>
                      <w:spacing w:val="10"/>
                      <w:sz w:val="21"/>
                      <w:szCs w:val="21"/>
                      <w:lang w:val="en-US" w:eastAsia="zh-CN"/>
                    </w:rPr>
                    <w:t>2</w:t>
                  </w:r>
                  <w:r>
                    <w:rPr>
                      <w:rFonts w:hint="default" w:ascii="Times New Roman" w:hAnsi="Times New Roman" w:cs="Times New Roman" w:eastAsiaTheme="minorEastAsia"/>
                      <w:b w:val="0"/>
                      <w:bCs/>
                      <w:color w:val="auto"/>
                      <w:spacing w:val="10"/>
                      <w:sz w:val="21"/>
                      <w:szCs w:val="21"/>
                    </w:rPr>
                    <w:t>个</w:t>
                  </w:r>
                </w:p>
              </w:tc>
              <w:tc>
                <w:tcPr>
                  <w:tcW w:w="386" w:type="pct"/>
                  <w:tcBorders>
                    <w:tl2br w:val="nil"/>
                    <w:tr2bl w:val="nil"/>
                  </w:tcBorders>
                  <w:noWrap w:val="0"/>
                  <w:vAlign w:val="center"/>
                </w:tcPr>
                <w:p w14:paraId="4FCD283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0.01</w:t>
                  </w:r>
                </w:p>
              </w:tc>
              <w:tc>
                <w:tcPr>
                  <w:tcW w:w="1700" w:type="pct"/>
                  <w:tcBorders>
                    <w:tl2br w:val="nil"/>
                    <w:tr2bl w:val="nil"/>
                  </w:tcBorders>
                  <w:shd w:val="clear" w:color="auto" w:fill="auto"/>
                  <w:noWrap w:val="0"/>
                  <w:vAlign w:val="center"/>
                </w:tcPr>
                <w:p w14:paraId="1173B315">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pacing w:val="1"/>
                      <w:sz w:val="21"/>
                      <w:szCs w:val="21"/>
                    </w:rPr>
                    <w:t>生活垃圾桶</w:t>
                  </w:r>
                  <w:r>
                    <w:rPr>
                      <w:rFonts w:hint="default" w:ascii="Times New Roman" w:hAnsi="Times New Roman" w:cs="Times New Roman" w:eastAsiaTheme="minorEastAsia"/>
                      <w:b w:val="0"/>
                      <w:bCs/>
                      <w:color w:val="auto"/>
                      <w:spacing w:val="10"/>
                      <w:sz w:val="21"/>
                      <w:szCs w:val="21"/>
                      <w:lang w:val="en-US" w:eastAsia="zh-CN"/>
                    </w:rPr>
                    <w:t>2</w:t>
                  </w:r>
                  <w:r>
                    <w:rPr>
                      <w:rFonts w:hint="default" w:ascii="Times New Roman" w:hAnsi="Times New Roman" w:cs="Times New Roman" w:eastAsiaTheme="minorEastAsia"/>
                      <w:b w:val="0"/>
                      <w:bCs/>
                      <w:color w:val="auto"/>
                      <w:spacing w:val="10"/>
                      <w:sz w:val="21"/>
                      <w:szCs w:val="21"/>
                    </w:rPr>
                    <w:t>个</w:t>
                  </w:r>
                </w:p>
              </w:tc>
              <w:tc>
                <w:tcPr>
                  <w:tcW w:w="513" w:type="pct"/>
                  <w:gridSpan w:val="2"/>
                  <w:tcBorders>
                    <w:tl2br w:val="nil"/>
                    <w:tr2bl w:val="nil"/>
                  </w:tcBorders>
                  <w:shd w:val="clear" w:color="auto" w:fill="auto"/>
                  <w:noWrap w:val="0"/>
                  <w:vAlign w:val="center"/>
                </w:tcPr>
                <w:p w14:paraId="128AEF67">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0.01</w:t>
                  </w:r>
                </w:p>
              </w:tc>
            </w:tr>
            <w:tr w14:paraId="35B65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73" w:type="pct"/>
                  <w:tcBorders>
                    <w:tl2br w:val="nil"/>
                    <w:tr2bl w:val="nil"/>
                  </w:tcBorders>
                  <w:noWrap w:val="0"/>
                  <w:vAlign w:val="center"/>
                </w:tcPr>
                <w:p w14:paraId="29820F4B">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5</w:t>
                  </w:r>
                </w:p>
              </w:tc>
              <w:tc>
                <w:tcPr>
                  <w:tcW w:w="846" w:type="pct"/>
                  <w:gridSpan w:val="2"/>
                  <w:tcBorders>
                    <w:tl2br w:val="nil"/>
                    <w:tr2bl w:val="nil"/>
                  </w:tcBorders>
                  <w:noWrap w:val="0"/>
                  <w:vAlign w:val="center"/>
                </w:tcPr>
                <w:p w14:paraId="5C79463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地下水防渗</w:t>
                  </w:r>
                </w:p>
              </w:tc>
              <w:tc>
                <w:tcPr>
                  <w:tcW w:w="1280" w:type="pct"/>
                  <w:tcBorders>
                    <w:tl2br w:val="nil"/>
                    <w:tr2bl w:val="nil"/>
                  </w:tcBorders>
                  <w:noWrap w:val="0"/>
                  <w:vAlign w:val="center"/>
                </w:tcPr>
                <w:p w14:paraId="69BB463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3"/>
                      <w:sz w:val="21"/>
                      <w:szCs w:val="21"/>
                    </w:rPr>
                    <w:t>柴油罐下方设有稳定平台、防渗槽，药剂存放区进行地面硬化，并在防渗槽、泥浆罐等</w:t>
                  </w:r>
                  <w:r>
                    <w:rPr>
                      <w:rFonts w:hint="default" w:ascii="Times New Roman" w:hAnsi="Times New Roman" w:cs="Times New Roman" w:eastAsiaTheme="minorEastAsia"/>
                      <w:b w:val="0"/>
                      <w:bCs/>
                      <w:color w:val="auto"/>
                      <w:sz w:val="21"/>
                      <w:szCs w:val="21"/>
                    </w:rPr>
                    <w:t>下方铺设防渗布</w:t>
                  </w:r>
                </w:p>
              </w:tc>
              <w:tc>
                <w:tcPr>
                  <w:tcW w:w="386" w:type="pct"/>
                  <w:tcBorders>
                    <w:tl2br w:val="nil"/>
                    <w:tr2bl w:val="nil"/>
                  </w:tcBorders>
                  <w:noWrap w:val="0"/>
                  <w:vAlign w:val="center"/>
                </w:tcPr>
                <w:p w14:paraId="4322815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10.2</w:t>
                  </w:r>
                </w:p>
              </w:tc>
              <w:tc>
                <w:tcPr>
                  <w:tcW w:w="1700" w:type="pct"/>
                  <w:tcBorders>
                    <w:tl2br w:val="nil"/>
                    <w:tr2bl w:val="nil"/>
                  </w:tcBorders>
                  <w:noWrap w:val="0"/>
                  <w:vAlign w:val="center"/>
                </w:tcPr>
                <w:p w14:paraId="4DE2308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3"/>
                      <w:sz w:val="21"/>
                      <w:szCs w:val="21"/>
                    </w:rPr>
                    <w:t>柴油罐下方设有稳定平台、防渗槽，药剂存放区进行地面硬化，并在防渗槽、泥浆罐等</w:t>
                  </w:r>
                  <w:r>
                    <w:rPr>
                      <w:rFonts w:hint="default" w:ascii="Times New Roman" w:hAnsi="Times New Roman" w:cs="Times New Roman" w:eastAsiaTheme="minorEastAsia"/>
                      <w:b w:val="0"/>
                      <w:bCs/>
                      <w:color w:val="auto"/>
                      <w:sz w:val="21"/>
                      <w:szCs w:val="21"/>
                    </w:rPr>
                    <w:t>下方铺设防渗布</w:t>
                  </w:r>
                </w:p>
              </w:tc>
              <w:tc>
                <w:tcPr>
                  <w:tcW w:w="513" w:type="pct"/>
                  <w:gridSpan w:val="2"/>
                  <w:tcBorders>
                    <w:tl2br w:val="nil"/>
                    <w:tr2bl w:val="nil"/>
                  </w:tcBorders>
                  <w:shd w:val="clear" w:color="auto" w:fill="auto"/>
                  <w:noWrap w:val="0"/>
                  <w:vAlign w:val="center"/>
                </w:tcPr>
                <w:p w14:paraId="74BC4B23">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z w:val="21"/>
                      <w:szCs w:val="21"/>
                      <w:lang w:val="en-US" w:eastAsia="zh-CN" w:bidi="ar-SA"/>
                    </w:rPr>
                    <w:t>10</w:t>
                  </w:r>
                </w:p>
              </w:tc>
            </w:tr>
            <w:tr w14:paraId="3842D8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restart"/>
                  <w:tcBorders>
                    <w:tl2br w:val="nil"/>
                    <w:tr2bl w:val="nil"/>
                  </w:tcBorders>
                  <w:noWrap w:val="0"/>
                  <w:vAlign w:val="center"/>
                </w:tcPr>
                <w:p w14:paraId="7FDFC263">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6</w:t>
                  </w:r>
                </w:p>
              </w:tc>
              <w:tc>
                <w:tcPr>
                  <w:tcW w:w="846" w:type="pct"/>
                  <w:gridSpan w:val="2"/>
                  <w:vMerge w:val="restart"/>
                  <w:tcBorders>
                    <w:tl2br w:val="nil"/>
                    <w:tr2bl w:val="nil"/>
                  </w:tcBorders>
                  <w:noWrap w:val="0"/>
                  <w:vAlign w:val="center"/>
                </w:tcPr>
                <w:p w14:paraId="526F385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环境风险</w:t>
                  </w:r>
                </w:p>
              </w:tc>
              <w:tc>
                <w:tcPr>
                  <w:tcW w:w="1280" w:type="pct"/>
                  <w:tcBorders>
                    <w:tl2br w:val="nil"/>
                    <w:tr2bl w:val="nil"/>
                  </w:tcBorders>
                  <w:noWrap w:val="0"/>
                  <w:vAlign w:val="center"/>
                </w:tcPr>
                <w:p w14:paraId="2A4E7AF8">
                  <w:pPr>
                    <w:pStyle w:val="2"/>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按照《环境影响评价技术导则地下水环境》（HJ610-2016）及《石油化工工程防渗技术规范》（GB/T50934-2013）的要求分区防渗</w:t>
                  </w:r>
                </w:p>
              </w:tc>
              <w:tc>
                <w:tcPr>
                  <w:tcW w:w="386" w:type="pct"/>
                  <w:vMerge w:val="restart"/>
                  <w:tcBorders>
                    <w:tl2br w:val="nil"/>
                    <w:tr2bl w:val="nil"/>
                  </w:tcBorders>
                  <w:noWrap w:val="0"/>
                  <w:vAlign w:val="center"/>
                </w:tcPr>
                <w:p w14:paraId="7DF6753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6.6</w:t>
                  </w:r>
                </w:p>
              </w:tc>
              <w:tc>
                <w:tcPr>
                  <w:tcW w:w="1700" w:type="pct"/>
                  <w:tcBorders>
                    <w:tl2br w:val="nil"/>
                    <w:tr2bl w:val="nil"/>
                  </w:tcBorders>
                  <w:noWrap w:val="0"/>
                  <w:vAlign w:val="center"/>
                </w:tcPr>
                <w:p w14:paraId="5073D88F">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kern w:val="2"/>
                      <w:sz w:val="21"/>
                      <w:szCs w:val="21"/>
                      <w:lang w:val="en-US" w:eastAsia="zh-CN" w:bidi="ar-SA"/>
                    </w:rPr>
                    <w:t>按照《环境影响评价技术导则地下水环境》（HJ610-2016）及《石油化工工程防渗技术规范》（GB/T50934-2013）的要求分区防渗</w:t>
                  </w:r>
                </w:p>
              </w:tc>
              <w:tc>
                <w:tcPr>
                  <w:tcW w:w="513" w:type="pct"/>
                  <w:gridSpan w:val="2"/>
                  <w:vMerge w:val="restart"/>
                  <w:tcBorders>
                    <w:tl2br w:val="nil"/>
                    <w:tr2bl w:val="nil"/>
                  </w:tcBorders>
                  <w:shd w:val="clear" w:color="auto" w:fill="auto"/>
                  <w:noWrap w:val="0"/>
                  <w:vAlign w:val="center"/>
                </w:tcPr>
                <w:p w14:paraId="0AFB752A">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kern w:val="2"/>
                      <w:sz w:val="21"/>
                      <w:szCs w:val="21"/>
                      <w:lang w:val="en-US" w:eastAsia="zh-CN" w:bidi="ar-SA"/>
                    </w:rPr>
                    <w:t>6</w:t>
                  </w:r>
                </w:p>
              </w:tc>
            </w:tr>
            <w:tr w14:paraId="4470FC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continue"/>
                  <w:tcBorders>
                    <w:tl2br w:val="nil"/>
                    <w:tr2bl w:val="nil"/>
                  </w:tcBorders>
                  <w:noWrap w:val="0"/>
                  <w:vAlign w:val="center"/>
                </w:tcPr>
                <w:p w14:paraId="7C52632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846" w:type="pct"/>
                  <w:gridSpan w:val="2"/>
                  <w:vMerge w:val="continue"/>
                  <w:tcBorders>
                    <w:tl2br w:val="nil"/>
                    <w:tr2bl w:val="nil"/>
                  </w:tcBorders>
                  <w:noWrap w:val="0"/>
                  <w:vAlign w:val="center"/>
                </w:tcPr>
                <w:p w14:paraId="3FD5BAE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p>
              </w:tc>
              <w:tc>
                <w:tcPr>
                  <w:tcW w:w="1280" w:type="pct"/>
                  <w:tcBorders>
                    <w:tl2br w:val="nil"/>
                    <w:tr2bl w:val="nil"/>
                  </w:tcBorders>
                  <w:noWrap w:val="0"/>
                  <w:vAlign w:val="center"/>
                </w:tcPr>
                <w:p w14:paraId="3F044D8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kern w:val="2"/>
                      <w:sz w:val="21"/>
                      <w:szCs w:val="21"/>
                      <w:lang w:val="en-US" w:eastAsia="zh-CN" w:bidi="ar-SA"/>
                    </w:rPr>
                    <w:t>井架、柴油机、振动筛、泥浆不落地装置等大型机械下要铺设双层防渗布，防渗布四周应设置20cm高的围堰，井场四周设置80cm高的砖混围墙。井场配备灭火器、沙土</w:t>
                  </w:r>
                </w:p>
              </w:tc>
              <w:tc>
                <w:tcPr>
                  <w:tcW w:w="386" w:type="pct"/>
                  <w:vMerge w:val="continue"/>
                  <w:tcBorders>
                    <w:tl2br w:val="nil"/>
                    <w:tr2bl w:val="nil"/>
                  </w:tcBorders>
                  <w:noWrap w:val="0"/>
                  <w:vAlign w:val="center"/>
                </w:tcPr>
                <w:p w14:paraId="3F38C9C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1700" w:type="pct"/>
                  <w:tcBorders>
                    <w:tl2br w:val="nil"/>
                    <w:tr2bl w:val="nil"/>
                  </w:tcBorders>
                  <w:shd w:val="clear" w:color="auto" w:fill="auto"/>
                  <w:noWrap w:val="0"/>
                  <w:vAlign w:val="center"/>
                </w:tcPr>
                <w:p w14:paraId="245065E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井架、柴油机、动筛、泥浆不落地装置等大型机械下要铺设双层防渗布，</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cs="Times New Roman" w:eastAsiaTheme="minorEastAsia"/>
                      <w:b w:val="0"/>
                      <w:bCs/>
                      <w:color w:val="auto"/>
                      <w:kern w:val="2"/>
                      <w:sz w:val="21"/>
                      <w:szCs w:val="21"/>
                      <w:lang w:val="en-US" w:eastAsia="zh-CN" w:bidi="ar-SA"/>
                    </w:rPr>
                    <w:t>。井场配备灭火器、沙土</w:t>
                  </w:r>
                </w:p>
              </w:tc>
              <w:tc>
                <w:tcPr>
                  <w:tcW w:w="513" w:type="pct"/>
                  <w:gridSpan w:val="2"/>
                  <w:vMerge w:val="continue"/>
                  <w:tcBorders>
                    <w:tl2br w:val="nil"/>
                    <w:tr2bl w:val="nil"/>
                  </w:tcBorders>
                  <w:shd w:val="clear" w:color="auto" w:fill="auto"/>
                  <w:noWrap w:val="0"/>
                  <w:vAlign w:val="center"/>
                </w:tcPr>
                <w:p w14:paraId="65D77548">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p>
              </w:tc>
            </w:tr>
            <w:tr w14:paraId="0EED2D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3" w:type="pct"/>
                  <w:vMerge w:val="continue"/>
                  <w:tcBorders>
                    <w:tl2br w:val="nil"/>
                    <w:tr2bl w:val="nil"/>
                  </w:tcBorders>
                  <w:noWrap w:val="0"/>
                  <w:vAlign w:val="center"/>
                </w:tcPr>
                <w:p w14:paraId="3771B72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846" w:type="pct"/>
                  <w:gridSpan w:val="2"/>
                  <w:vMerge w:val="continue"/>
                  <w:tcBorders>
                    <w:tl2br w:val="nil"/>
                    <w:tr2bl w:val="nil"/>
                  </w:tcBorders>
                  <w:noWrap w:val="0"/>
                  <w:vAlign w:val="center"/>
                </w:tcPr>
                <w:p w14:paraId="6C3D251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p>
              </w:tc>
              <w:tc>
                <w:tcPr>
                  <w:tcW w:w="1280" w:type="pct"/>
                  <w:tcBorders>
                    <w:tl2br w:val="nil"/>
                    <w:tr2bl w:val="nil"/>
                  </w:tcBorders>
                  <w:noWrap w:val="0"/>
                  <w:vAlign w:val="center"/>
                </w:tcPr>
                <w:p w14:paraId="7EAF619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30m</w:t>
                  </w:r>
                  <w:r>
                    <w:rPr>
                      <w:rFonts w:hint="default" w:ascii="Times New Roman" w:hAnsi="Times New Roman" w:cs="Times New Roman" w:eastAsiaTheme="minorEastAsia"/>
                      <w:b w:val="0"/>
                      <w:bCs/>
                      <w:color w:val="auto"/>
                      <w:kern w:val="2"/>
                      <w:sz w:val="21"/>
                      <w:szCs w:val="21"/>
                      <w:vertAlign w:val="superscript"/>
                      <w:lang w:val="en-US" w:eastAsia="zh-CN" w:bidi="ar-SA"/>
                    </w:rPr>
                    <w:t>3</w:t>
                  </w:r>
                  <w:r>
                    <w:rPr>
                      <w:rFonts w:hint="default" w:ascii="Times New Roman" w:hAnsi="Times New Roman" w:cs="Times New Roman" w:eastAsiaTheme="minorEastAsia"/>
                      <w:b w:val="0"/>
                      <w:bCs/>
                      <w:color w:val="auto"/>
                      <w:kern w:val="2"/>
                      <w:sz w:val="21"/>
                      <w:szCs w:val="21"/>
                      <w:lang w:val="en-US" w:eastAsia="zh-CN" w:bidi="ar-SA"/>
                    </w:rPr>
                    <w:t>应急事故池</w:t>
                  </w:r>
                </w:p>
              </w:tc>
              <w:tc>
                <w:tcPr>
                  <w:tcW w:w="386" w:type="pct"/>
                  <w:vMerge w:val="continue"/>
                  <w:tcBorders>
                    <w:tl2br w:val="nil"/>
                    <w:tr2bl w:val="nil"/>
                  </w:tcBorders>
                  <w:noWrap w:val="0"/>
                  <w:vAlign w:val="center"/>
                </w:tcPr>
                <w:p w14:paraId="4C20367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1700" w:type="pct"/>
                  <w:tcBorders>
                    <w:tl2br w:val="nil"/>
                    <w:tr2bl w:val="nil"/>
                  </w:tcBorders>
                  <w:shd w:val="clear" w:color="auto" w:fill="auto"/>
                  <w:noWrap w:val="0"/>
                  <w:vAlign w:val="center"/>
                </w:tcPr>
                <w:p w14:paraId="3960FE6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30m</w:t>
                  </w:r>
                  <w:r>
                    <w:rPr>
                      <w:rFonts w:hint="default" w:ascii="Times New Roman" w:hAnsi="Times New Roman" w:cs="Times New Roman" w:eastAsiaTheme="minorEastAsia"/>
                      <w:b w:val="0"/>
                      <w:bCs/>
                      <w:color w:val="auto"/>
                      <w:kern w:val="2"/>
                      <w:sz w:val="21"/>
                      <w:szCs w:val="21"/>
                      <w:vertAlign w:val="superscript"/>
                      <w:lang w:val="en-US" w:eastAsia="zh-CN" w:bidi="ar-SA"/>
                    </w:rPr>
                    <w:t>3</w:t>
                  </w:r>
                  <w:r>
                    <w:rPr>
                      <w:rFonts w:hint="default" w:ascii="Times New Roman" w:hAnsi="Times New Roman" w:cs="Times New Roman" w:eastAsiaTheme="minorEastAsia"/>
                      <w:b w:val="0"/>
                      <w:bCs/>
                      <w:color w:val="auto"/>
                      <w:kern w:val="2"/>
                      <w:sz w:val="21"/>
                      <w:szCs w:val="21"/>
                      <w:lang w:val="en-US" w:eastAsia="zh-CN" w:bidi="ar-SA"/>
                    </w:rPr>
                    <w:t>应急事故池</w:t>
                  </w:r>
                </w:p>
              </w:tc>
              <w:tc>
                <w:tcPr>
                  <w:tcW w:w="513" w:type="pct"/>
                  <w:gridSpan w:val="2"/>
                  <w:vMerge w:val="continue"/>
                  <w:tcBorders>
                    <w:tl2br w:val="nil"/>
                    <w:tr2bl w:val="nil"/>
                  </w:tcBorders>
                  <w:shd w:val="clear" w:color="auto" w:fill="auto"/>
                  <w:noWrap w:val="0"/>
                  <w:vAlign w:val="center"/>
                </w:tcPr>
                <w:p w14:paraId="64825321">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p>
              </w:tc>
            </w:tr>
            <w:tr w14:paraId="358A57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4" w:type="pct"/>
              </w:trPr>
              <w:tc>
                <w:tcPr>
                  <w:tcW w:w="273" w:type="pct"/>
                  <w:tcBorders>
                    <w:tl2br w:val="nil"/>
                    <w:tr2bl w:val="nil"/>
                  </w:tcBorders>
                  <w:noWrap w:val="0"/>
                  <w:vAlign w:val="center"/>
                </w:tcPr>
                <w:p w14:paraId="57BED5B1">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7</w:t>
                  </w:r>
                </w:p>
              </w:tc>
              <w:tc>
                <w:tcPr>
                  <w:tcW w:w="846" w:type="pct"/>
                  <w:gridSpan w:val="2"/>
                  <w:tcBorders>
                    <w:tl2br w:val="nil"/>
                    <w:tr2bl w:val="nil"/>
                  </w:tcBorders>
                  <w:noWrap w:val="0"/>
                  <w:vAlign w:val="center"/>
                </w:tcPr>
                <w:p w14:paraId="7DD0B78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生态恢复</w:t>
                  </w:r>
                </w:p>
              </w:tc>
              <w:tc>
                <w:tcPr>
                  <w:tcW w:w="1280" w:type="pct"/>
                  <w:tcBorders>
                    <w:tl2br w:val="nil"/>
                    <w:tr2bl w:val="nil"/>
                  </w:tcBorders>
                  <w:noWrap w:val="0"/>
                  <w:vAlign w:val="center"/>
                </w:tcPr>
                <w:p w14:paraId="0F4403C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采取工程措施和植被绿化措施，加快完成井场的绿化恢复措施，减少水土流失量。</w:t>
                  </w:r>
                </w:p>
              </w:tc>
              <w:tc>
                <w:tcPr>
                  <w:tcW w:w="386" w:type="pct"/>
                  <w:tcBorders>
                    <w:tl2br w:val="nil"/>
                    <w:tr2bl w:val="nil"/>
                  </w:tcBorders>
                  <w:noWrap w:val="0"/>
                  <w:vAlign w:val="center"/>
                </w:tcPr>
                <w:p w14:paraId="074B3779">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6</w:t>
                  </w:r>
                  <w:r>
                    <w:rPr>
                      <w:rFonts w:hint="default" w:ascii="Times New Roman" w:hAnsi="Times New Roman" w:cs="Times New Roman" w:eastAsiaTheme="minorEastAsia"/>
                      <w:b w:val="0"/>
                      <w:bCs/>
                      <w:color w:val="auto"/>
                      <w:spacing w:val="10"/>
                      <w:sz w:val="21"/>
                      <w:szCs w:val="21"/>
                    </w:rPr>
                    <w:t>.0</w:t>
                  </w:r>
                </w:p>
              </w:tc>
              <w:tc>
                <w:tcPr>
                  <w:tcW w:w="1700" w:type="pct"/>
                  <w:tcBorders>
                    <w:tl2br w:val="nil"/>
                    <w:tr2bl w:val="nil"/>
                  </w:tcBorders>
                  <w:noWrap w:val="0"/>
                  <w:vAlign w:val="center"/>
                </w:tcPr>
                <w:p w14:paraId="744AB839">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eastAsia="宋体" w:cs="Times New Roman"/>
                      <w:color w:val="auto"/>
                      <w:spacing w:val="0"/>
                      <w:kern w:val="21"/>
                      <w:sz w:val="21"/>
                      <w:szCs w:val="21"/>
                      <w:highlight w:val="none"/>
                      <w:lang w:val="en-US" w:eastAsia="zh-CN"/>
                    </w:rPr>
                    <w:t>场地已恢复平整，井口进行临时关井，待转产，除预留转为生产开发所需的面积外，对其余临时占地进行了恢复，</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对进场道路及井场周边等及时进行了绿化</w:t>
                  </w:r>
                </w:p>
              </w:tc>
              <w:tc>
                <w:tcPr>
                  <w:tcW w:w="508" w:type="pct"/>
                  <w:tcBorders>
                    <w:tl2br w:val="nil"/>
                    <w:tr2bl w:val="nil"/>
                  </w:tcBorders>
                  <w:shd w:val="clear" w:color="auto" w:fill="auto"/>
                  <w:noWrap w:val="0"/>
                  <w:vAlign w:val="center"/>
                </w:tcPr>
                <w:p w14:paraId="2D99690D">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5.5</w:t>
                  </w:r>
                </w:p>
              </w:tc>
            </w:tr>
            <w:tr w14:paraId="1DB26C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19" w:type="pct"/>
                  <w:gridSpan w:val="3"/>
                  <w:tcBorders>
                    <w:tl2br w:val="nil"/>
                    <w:tr2bl w:val="nil"/>
                  </w:tcBorders>
                  <w:noWrap w:val="0"/>
                  <w:vAlign w:val="center"/>
                </w:tcPr>
                <w:p w14:paraId="323BCD4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合计</w:t>
                  </w:r>
                </w:p>
              </w:tc>
              <w:tc>
                <w:tcPr>
                  <w:tcW w:w="1666" w:type="pct"/>
                  <w:gridSpan w:val="2"/>
                  <w:tcBorders>
                    <w:tl2br w:val="nil"/>
                    <w:tr2bl w:val="nil"/>
                  </w:tcBorders>
                  <w:noWrap w:val="0"/>
                  <w:vAlign w:val="center"/>
                </w:tcPr>
                <w:p w14:paraId="2380EF6D">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41.16</w:t>
                  </w:r>
                </w:p>
              </w:tc>
              <w:tc>
                <w:tcPr>
                  <w:tcW w:w="2213" w:type="pct"/>
                  <w:gridSpan w:val="3"/>
                  <w:tcBorders>
                    <w:tl2br w:val="nil"/>
                    <w:tr2bl w:val="nil"/>
                  </w:tcBorders>
                  <w:noWrap w:val="0"/>
                  <w:vAlign w:val="center"/>
                </w:tcPr>
                <w:p w14:paraId="13A06A1A">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80.31</w:t>
                  </w:r>
                </w:p>
              </w:tc>
            </w:tr>
            <w:tr w14:paraId="4FA1F6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6B82DB4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eastAsia="宋体" w:cs="Times New Roman"/>
                      <w:color w:val="auto"/>
                      <w:sz w:val="21"/>
                      <w:szCs w:val="21"/>
                      <w:highlight w:val="none"/>
                      <w:lang w:val="en-US" w:eastAsia="zh-CN"/>
                    </w:rPr>
                    <w:t>备注：</w:t>
                  </w:r>
                  <w:r>
                    <w:rPr>
                      <w:rFonts w:hint="default" w:ascii="Times New Roman" w:hAnsi="Times New Roman" w:eastAsia="宋体" w:cs="Times New Roman"/>
                      <w:color w:val="0000FF"/>
                      <w:sz w:val="21"/>
                      <w:szCs w:val="21"/>
                      <w:highlight w:val="none"/>
                      <w:lang w:val="en-US" w:eastAsia="zh-CN"/>
                    </w:rPr>
                    <w:t>因工期较短，未产生废机油、废润滑油；未产生建筑垃圾，费用降低。</w:t>
                  </w:r>
                  <w:r>
                    <w:rPr>
                      <w:rFonts w:hint="default" w:ascii="Times New Roman" w:hAnsi="Times New Roman" w:eastAsia="宋体" w:cs="Times New Roman"/>
                      <w:color w:val="auto"/>
                      <w:sz w:val="21"/>
                      <w:szCs w:val="21"/>
                      <w:highlight w:val="none"/>
                      <w:lang w:val="en-US" w:eastAsia="zh-CN"/>
                    </w:rPr>
                    <w:t>本项目井深变浅，</w:t>
                  </w:r>
                  <w:r>
                    <w:rPr>
                      <w:rFonts w:hint="default" w:ascii="Times New Roman" w:hAnsi="Times New Roman" w:eastAsia="宋体" w:cs="Times New Roman"/>
                      <w:b w:val="0"/>
                      <w:bCs w:val="0"/>
                      <w:color w:val="auto"/>
                      <w:sz w:val="21"/>
                      <w:szCs w:val="21"/>
                      <w:lang w:val="en-US" w:eastAsia="zh-CN"/>
                    </w:rPr>
                    <w:t>环评预估值较小，</w:t>
                  </w:r>
                  <w:r>
                    <w:rPr>
                      <w:rFonts w:hint="default" w:ascii="Times New Roman" w:hAnsi="Times New Roman" w:eastAsia="宋体" w:cs="Times New Roman"/>
                      <w:color w:val="auto"/>
                      <w:sz w:val="21"/>
                      <w:szCs w:val="21"/>
                      <w:highlight w:val="none"/>
                      <w:lang w:val="en-US" w:eastAsia="zh-CN"/>
                    </w:rPr>
                    <w:t>施工废水、钻井泥浆、岩屑等污染物</w:t>
                  </w:r>
                  <w:r>
                    <w:rPr>
                      <w:rFonts w:hint="default" w:ascii="Times New Roman" w:hAnsi="Times New Roman" w:eastAsia="宋体" w:cs="Times New Roman"/>
                      <w:b w:val="0"/>
                      <w:bCs w:val="0"/>
                      <w:color w:val="auto"/>
                      <w:sz w:val="21"/>
                      <w:szCs w:val="21"/>
                      <w:lang w:val="en-US" w:eastAsia="zh-CN"/>
                    </w:rPr>
                    <w:t>实际产生量</w:t>
                  </w:r>
                  <w:r>
                    <w:rPr>
                      <w:rFonts w:hint="default"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highlight w:val="none"/>
                      <w:lang w:val="en-US" w:eastAsia="zh-CN"/>
                    </w:rPr>
                    <w:t>，均得到了有效处置。导致处置费用增加，其他费用因实际情况不同均有不同程度的变化</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sz w:val="21"/>
                      <w:szCs w:val="21"/>
                      <w:highlight w:val="none"/>
                      <w:lang w:val="en-US" w:eastAsia="zh-CN"/>
                    </w:rPr>
                    <w:t>综上，总投资未变化，实际环保投资增加</w:t>
                  </w:r>
                </w:p>
              </w:tc>
            </w:tr>
          </w:tbl>
          <w:p w14:paraId="0265AB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6B88C29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本项目建设内容仅为钻井和试油，只涉及施工期，无运营期，因此本次验收仅涉及施工期。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（1）施工期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1）废气：扬尘、柴油机废气、试油伴生气及车辆废气。</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2）废水：生产废水（钻井废水、洗井废水、压裂返排液）、初期雨水和生活污水。</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3）噪声：钻机、柴油发电机、泥浆泵、推土机、装载机、打桩机、运输车辆等设备排放的噪声。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4）固体废物：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（废弃钻井泥浆、钻井岩屑（不含油）、纯碱、膨润土废弃包装、废防渗布（不含油）、建筑垃圾、废过硫酸钾包装袋、落地油、废机油、废润滑油、废防渗布（沾落地油）、废含油抹布、含油岩屑及生活垃圾</w:t>
            </w:r>
            <w:r>
              <w:rPr>
                <w:rFonts w:hint="default" w:ascii="Times New Roman" w:hAnsi="Times New Roman" w:eastAsia="宋体" w:cs="Times New Roman"/>
                <w:color w:val="auto"/>
                <w:sz w:val="24"/>
                <w:lang w:val="en-US" w:eastAsia="zh-CN"/>
              </w:rPr>
              <w:t>等</w:t>
            </w:r>
            <w:r>
              <w:rPr>
                <w:rFonts w:hint="default"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5）生态破坏：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 xml:space="preserve">压占土地：施工中压占土地，临时占地在短期改变了土地利用的结构和功能。 </w:t>
            </w:r>
          </w:p>
          <w:p w14:paraId="736A2A2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2C83806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 xml:space="preserve">破坏、污染土壤：施工期间土方的开挖和回填，改变了土壤结构，进而导致土壤肥力的降低，对植被的生长造成影响。 </w:t>
            </w:r>
          </w:p>
          <w:p w14:paraId="4D640B9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（2）运营期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本工程为勘探井项目，井场具有工业开采价值，临时关井，待转产。不涉及运营期污染物排放。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根据现场调查了解，项目在建设过程未发生重大污染或扰民事件，未发生重大生态环境问题。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（1）施工期废气</w:t>
            </w:r>
            <w:r>
              <w:rPr>
                <w:rFonts w:hint="default"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③ 采用了燃烧效率高的柴油机以及含硫量低的柴油，减少了污染物排放；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④ 少量试油伴生气逸散；本项目试油过程中无井喷事故发生。</w:t>
            </w:r>
          </w:p>
          <w:p w14:paraId="63B897BC">
            <w:pPr>
              <w:pStyle w:val="8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根据试油结果，</w:t>
            </w:r>
            <w:r>
              <w:rPr>
                <w:rFonts w:hint="default"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default"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w:t>
            </w:r>
            <w:r>
              <w:rPr>
                <w:rFonts w:hint="default"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池收集，井下作业完成后，由防渗漏、防溢流的运输车辆统一转移至</w:t>
            </w:r>
            <w:r>
              <w:rPr>
                <w:rFonts w:hint="default"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（3）施工期噪声</w:t>
            </w:r>
            <w:r>
              <w:rPr>
                <w:rFonts w:hint="default"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本工程井场周围地形空旷，根据现场踏勘，施工作业已全部结束，施工机械及运输车辆已全部撤离，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fldChar w:fldCharType="begin"/>
            </w:r>
            <w:r>
              <w:rPr>
                <w:rFonts w:hint="default"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default" w:ascii="Times New Roman" w:hAnsi="Times New Roman" w:eastAsia="宋体" w:cs="Times New Roman"/>
                <w:color w:val="auto"/>
                <w:spacing w:val="0"/>
                <w:w w:val="100"/>
                <w:sz w:val="24"/>
                <w:szCs w:val="24"/>
                <w:highlight w:val="none"/>
                <w:lang w:val="en-US" w:eastAsia="zh-CN" w:bidi="ar-SA"/>
              </w:rPr>
              <w:fldChar w:fldCharType="separate"/>
            </w:r>
            <w:r>
              <w:rPr>
                <w:rFonts w:hint="default" w:ascii="Times New Roman" w:hAnsi="Times New Roman" w:eastAsia="宋体" w:cs="Times New Roman"/>
                <w:color w:val="auto"/>
                <w:spacing w:val="0"/>
                <w:w w:val="100"/>
                <w:sz w:val="24"/>
                <w:szCs w:val="24"/>
                <w:highlight w:val="none"/>
                <w:lang w:val="en-US" w:eastAsia="zh-CN" w:bidi="ar-SA"/>
              </w:rPr>
              <w:t>①</w:t>
            </w:r>
            <w:r>
              <w:rPr>
                <w:rFonts w:hint="default" w:ascii="Times New Roman" w:hAnsi="Times New Roman" w:eastAsia="宋体" w:cs="Times New Roman"/>
                <w:color w:val="auto"/>
                <w:spacing w:val="0"/>
                <w:w w:val="100"/>
                <w:sz w:val="24"/>
                <w:szCs w:val="24"/>
                <w:highlight w:val="none"/>
                <w:lang w:val="en-US" w:eastAsia="zh-CN" w:bidi="ar-SA"/>
              </w:rPr>
              <w:fldChar w:fldCharType="end"/>
            </w:r>
            <w:r>
              <w:rPr>
                <w:rFonts w:hint="default"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fldChar w:fldCharType="begin"/>
            </w:r>
            <w:r>
              <w:rPr>
                <w:rFonts w:hint="default"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default" w:ascii="Times New Roman" w:hAnsi="Times New Roman" w:eastAsia="宋体" w:cs="Times New Roman"/>
                <w:color w:val="auto"/>
                <w:spacing w:val="0"/>
                <w:w w:val="100"/>
                <w:sz w:val="24"/>
                <w:szCs w:val="24"/>
                <w:highlight w:val="none"/>
                <w:lang w:val="en-US" w:eastAsia="zh-CN" w:bidi="ar-SA"/>
              </w:rPr>
              <w:fldChar w:fldCharType="separate"/>
            </w:r>
            <w:r>
              <w:rPr>
                <w:rFonts w:hint="default" w:ascii="Times New Roman" w:hAnsi="Times New Roman" w:eastAsia="宋体" w:cs="Times New Roman"/>
                <w:color w:val="auto"/>
                <w:spacing w:val="0"/>
                <w:w w:val="100"/>
                <w:sz w:val="24"/>
                <w:szCs w:val="24"/>
                <w:highlight w:val="none"/>
                <w:lang w:val="en-US" w:eastAsia="zh-CN" w:bidi="ar-SA"/>
              </w:rPr>
              <w:t>④</w:t>
            </w:r>
            <w:r>
              <w:rPr>
                <w:rFonts w:hint="default" w:ascii="Times New Roman" w:hAnsi="Times New Roman" w:eastAsia="宋体" w:cs="Times New Roman"/>
                <w:color w:val="auto"/>
                <w:spacing w:val="0"/>
                <w:w w:val="100"/>
                <w:sz w:val="24"/>
                <w:szCs w:val="24"/>
                <w:highlight w:val="none"/>
                <w:lang w:val="en-US" w:eastAsia="zh-CN" w:bidi="ar-SA"/>
              </w:rPr>
              <w:fldChar w:fldCharType="end"/>
            </w:r>
            <w:r>
              <w:rPr>
                <w:rFonts w:hint="default"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default"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施工期产生的生活垃圾，设置生活垃圾收集箱，定期运至就近的生活垃圾中转站处理，未产生二次污染。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default"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574A5C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③落地油、</w:t>
            </w:r>
            <w:r>
              <w:rPr>
                <w:rFonts w:hint="default" w:ascii="Times New Roman" w:hAnsi="Times New Roman" w:eastAsia="宋体" w:cs="Times New Roman"/>
                <w:color w:val="auto"/>
                <w:spacing w:val="0"/>
                <w:w w:val="100"/>
                <w:sz w:val="24"/>
                <w:szCs w:val="24"/>
                <w:highlight w:val="none"/>
                <w:lang w:val="en-US" w:eastAsia="zh-CN" w:bidi="ar-SA"/>
              </w:rPr>
              <w:t>废机油、废润滑油、废含油抹布、</w:t>
            </w:r>
            <w:r>
              <w:rPr>
                <w:rFonts w:hint="default" w:ascii="Times New Roman" w:hAnsi="Times New Roman" w:eastAsia="宋体" w:cs="Times New Roman"/>
                <w:bCs/>
                <w:color w:val="auto"/>
                <w:kern w:val="0"/>
                <w:sz w:val="24"/>
                <w:szCs w:val="24"/>
                <w:highlight w:val="none"/>
                <w:lang w:val="en-US" w:eastAsia="zh-CN" w:bidi="ar-SA"/>
              </w:rPr>
              <w:t>被污染的防渗布</w:t>
            </w:r>
            <w:r>
              <w:rPr>
                <w:rFonts w:hint="default" w:ascii="Times New Roman" w:hAnsi="Times New Roman" w:eastAsia="宋体" w:cs="Times New Roman"/>
                <w:color w:val="auto"/>
                <w:spacing w:val="0"/>
                <w:w w:val="100"/>
                <w:sz w:val="24"/>
                <w:szCs w:val="24"/>
                <w:highlight w:val="none"/>
                <w:lang w:val="en-US" w:eastAsia="zh-CN" w:bidi="ar-SA"/>
              </w:rPr>
              <w:t>、过硫酸钾废包装袋、含油岩屑</w:t>
            </w:r>
          </w:p>
          <w:p w14:paraId="3B540C0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工期较短，未产生废机油、废润滑油。</w:t>
            </w:r>
            <w:r>
              <w:rPr>
                <w:rFonts w:hint="default" w:ascii="Times New Roman" w:hAnsi="Times New Roman" w:eastAsia="宋体" w:cs="Times New Roman"/>
                <w:color w:val="auto"/>
                <w:spacing w:val="0"/>
                <w:w w:val="100"/>
                <w:sz w:val="24"/>
                <w:szCs w:val="24"/>
                <w:highlight w:val="none"/>
                <w:lang w:val="en-US" w:eastAsia="zh-CN" w:bidi="ar-SA"/>
              </w:rPr>
              <w:t>钻井过程产生的落地油、废含油抹布、</w:t>
            </w:r>
            <w:r>
              <w:rPr>
                <w:rFonts w:hint="default" w:ascii="Times New Roman" w:hAnsi="Times New Roman" w:eastAsia="宋体" w:cs="Times New Roman"/>
                <w:bCs/>
                <w:color w:val="auto"/>
                <w:kern w:val="0"/>
                <w:sz w:val="24"/>
                <w:szCs w:val="24"/>
                <w:highlight w:val="none"/>
                <w:lang w:val="en-US" w:eastAsia="zh-CN" w:bidi="ar-SA"/>
              </w:rPr>
              <w:t>被污染的防渗布</w:t>
            </w:r>
            <w:r>
              <w:rPr>
                <w:rFonts w:hint="default" w:ascii="Times New Roman" w:hAnsi="Times New Roman" w:eastAsia="宋体" w:cs="Times New Roman"/>
                <w:color w:val="auto"/>
                <w:spacing w:val="0"/>
                <w:w w:val="100"/>
                <w:sz w:val="24"/>
                <w:szCs w:val="24"/>
                <w:highlight w:val="none"/>
                <w:lang w:val="en-US" w:eastAsia="zh-CN" w:bidi="ar-SA"/>
              </w:rPr>
              <w:t>、过硫酸钾废包装袋、含油岩屑均为危险废物，经收集暂存于临时危废贮存库后，委托庆阳丰泰环保有限责任公司处置，未产生二次污染。</w:t>
            </w:r>
          </w:p>
          <w:p w14:paraId="12D69CF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Times New Roman"/>
                <w:bCs/>
                <w:color w:val="auto"/>
                <w:kern w:val="0"/>
                <w:sz w:val="24"/>
                <w:szCs w:val="24"/>
                <w:highlight w:val="none"/>
                <w:lang w:val="en-US" w:eastAsia="zh-CN" w:bidi="ar-SA"/>
              </w:rPr>
              <w:t>废膨润土、纯碱包装袋、</w:t>
            </w:r>
            <w:r>
              <w:rPr>
                <w:rFonts w:hint="default"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kern w:val="0"/>
                <w:sz w:val="24"/>
                <w:szCs w:val="24"/>
                <w:highlight w:val="none"/>
                <w:lang w:val="en-US" w:eastAsia="zh-CN" w:bidi="ar-SA"/>
              </w:rPr>
            </w:pPr>
            <w:r>
              <w:rPr>
                <w:rFonts w:hint="default" w:ascii="Times New Roman" w:hAnsi="Times New Roman" w:eastAsia="宋体" w:cs="Times New Roman"/>
                <w:bCs/>
                <w:color w:val="auto"/>
                <w:kern w:val="0"/>
                <w:sz w:val="24"/>
                <w:szCs w:val="24"/>
                <w:highlight w:val="none"/>
                <w:lang w:val="en-US" w:eastAsia="zh-CN" w:bidi="ar-SA"/>
              </w:rPr>
              <w:t>项目钻井过程产生的废膨润土、纯碱包装袋、</w:t>
            </w:r>
            <w:r>
              <w:rPr>
                <w:rFonts w:hint="default"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Times New Roman"/>
                <w:bCs/>
                <w:color w:val="auto"/>
                <w:kern w:val="0"/>
                <w:sz w:val="24"/>
                <w:szCs w:val="24"/>
                <w:highlight w:val="none"/>
                <w:lang w:val="en-US" w:eastAsia="zh-CN" w:bidi="ar-SA"/>
              </w:rPr>
              <w:t>为一般工业固废，统一收集后施工单位（五普40837HB）处置。</w:t>
            </w:r>
            <w:r>
              <w:rPr>
                <w:rFonts w:hint="default"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kern w:val="0"/>
                <w:sz w:val="24"/>
                <w:szCs w:val="24"/>
                <w:highlight w:val="none"/>
                <w:lang w:val="en-US" w:eastAsia="zh-CN" w:bidi="ar-SA"/>
              </w:rPr>
            </w:pPr>
            <w:r>
              <w:rPr>
                <w:rFonts w:hint="default" w:ascii="Times New Roman" w:hAnsi="Times New Roman" w:eastAsia="宋体" w:cs="Times New Roman"/>
                <w:bCs/>
                <w:color w:val="auto"/>
                <w:kern w:val="0"/>
                <w:sz w:val="24"/>
                <w:szCs w:val="24"/>
                <w:highlight w:val="none"/>
                <w:lang w:val="en-US" w:eastAsia="zh-CN" w:bidi="ar-SA"/>
              </w:rPr>
              <w:fldChar w:fldCharType="begin"/>
            </w:r>
            <w:r>
              <w:rPr>
                <w:rFonts w:hint="default" w:ascii="Times New Roman" w:hAnsi="Times New Roman" w:eastAsia="宋体" w:cs="Times New Roman"/>
                <w:bCs/>
                <w:color w:val="auto"/>
                <w:kern w:val="0"/>
                <w:sz w:val="24"/>
                <w:szCs w:val="24"/>
                <w:highlight w:val="none"/>
                <w:lang w:val="en-US" w:eastAsia="zh-CN" w:bidi="ar-SA"/>
              </w:rPr>
              <w:instrText xml:space="preserve"> = 5 \* GB3 \* MERGEFORMAT </w:instrText>
            </w:r>
            <w:r>
              <w:rPr>
                <w:rFonts w:hint="default" w:ascii="Times New Roman" w:hAnsi="Times New Roman" w:eastAsia="宋体" w:cs="Times New Roman"/>
                <w:bCs/>
                <w:color w:val="auto"/>
                <w:kern w:val="0"/>
                <w:sz w:val="24"/>
                <w:szCs w:val="24"/>
                <w:highlight w:val="none"/>
                <w:lang w:val="en-US" w:eastAsia="zh-CN" w:bidi="ar-SA"/>
              </w:rPr>
              <w:fldChar w:fldCharType="separate"/>
            </w:r>
            <w:r>
              <w:rPr>
                <w:rFonts w:hint="default" w:ascii="Times New Roman" w:hAnsi="Times New Roman" w:cs="Times New Roman"/>
                <w:color w:val="auto"/>
              </w:rPr>
              <w:t>⑤</w:t>
            </w:r>
            <w:r>
              <w:rPr>
                <w:rFonts w:hint="default" w:ascii="Times New Roman" w:hAnsi="Times New Roman" w:eastAsia="宋体" w:cs="Times New Roman"/>
                <w:bCs/>
                <w:color w:val="auto"/>
                <w:kern w:val="0"/>
                <w:sz w:val="24"/>
                <w:szCs w:val="24"/>
                <w:highlight w:val="none"/>
                <w:lang w:val="en-US" w:eastAsia="zh-CN" w:bidi="ar-SA"/>
              </w:rPr>
              <w:fldChar w:fldCharType="end"/>
            </w:r>
            <w:r>
              <w:rPr>
                <w:rFonts w:hint="default" w:ascii="Times New Roman" w:hAnsi="Times New Roman" w:eastAsia="宋体" w:cs="Times New Roman"/>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kern w:val="0"/>
                <w:sz w:val="24"/>
                <w:szCs w:val="24"/>
                <w:highlight w:val="none"/>
                <w:lang w:val="en-US" w:eastAsia="zh-CN" w:bidi="ar-SA"/>
              </w:rPr>
            </w:pPr>
            <w:r>
              <w:rPr>
                <w:rFonts w:hint="default" w:ascii="Times New Roman" w:hAnsi="Times New Roman" w:eastAsia="宋体" w:cs="Times New Roman"/>
                <w:bCs/>
                <w:color w:val="auto"/>
                <w:kern w:val="0"/>
                <w:sz w:val="24"/>
                <w:szCs w:val="24"/>
                <w:highlight w:val="none"/>
                <w:lang w:val="en-US" w:eastAsia="zh-CN" w:bidi="ar-SA"/>
              </w:rPr>
              <w:t>未产生建筑垃圾。</w:t>
            </w:r>
          </w:p>
          <w:p w14:paraId="611F7B8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default"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eastAsia="zh-CN"/>
              </w:rPr>
              <w:t>表4-5</w:t>
            </w:r>
            <w:r>
              <w:rPr>
                <w:rFonts w:hint="default" w:ascii="Times New Roman" w:hAnsi="Times New Roman" w:eastAsia="宋体" w:cs="Times New Roman"/>
                <w:b/>
                <w:bCs/>
                <w:color w:val="auto"/>
                <w:sz w:val="21"/>
                <w:szCs w:val="21"/>
              </w:rPr>
              <w:t xml:space="preserve">   项目污染物产生</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6"/>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866"/>
              <w:gridCol w:w="447"/>
              <w:gridCol w:w="793"/>
              <w:gridCol w:w="793"/>
              <w:gridCol w:w="2446"/>
              <w:gridCol w:w="2502"/>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257"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序号</w:t>
                  </w:r>
                </w:p>
              </w:tc>
              <w:tc>
                <w:tcPr>
                  <w:tcW w:w="523"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名称</w:t>
                  </w:r>
                </w:p>
              </w:tc>
              <w:tc>
                <w:tcPr>
                  <w:tcW w:w="270"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单位</w:t>
                  </w:r>
                </w:p>
              </w:tc>
              <w:tc>
                <w:tcPr>
                  <w:tcW w:w="479"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环评阶段预计产生量</w:t>
                  </w:r>
                </w:p>
              </w:tc>
              <w:tc>
                <w:tcPr>
                  <w:tcW w:w="479"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实际产生量</w:t>
                  </w:r>
                </w:p>
              </w:tc>
              <w:tc>
                <w:tcPr>
                  <w:tcW w:w="1477"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处置方式</w:t>
                  </w:r>
                </w:p>
              </w:tc>
              <w:tc>
                <w:tcPr>
                  <w:tcW w:w="1510"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257"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w:t>
                  </w:r>
                </w:p>
              </w:tc>
              <w:tc>
                <w:tcPr>
                  <w:tcW w:w="523"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default" w:ascii="Times New Roman" w:hAnsi="Times New Roman" w:eastAsia="宋体" w:cs="Times New Roman"/>
                      <w:b w:val="0"/>
                      <w:bCs w:val="0"/>
                      <w:color w:val="auto"/>
                      <w:sz w:val="21"/>
                      <w:szCs w:val="21"/>
                      <w:lang w:val="en-US" w:eastAsia="zh-CN"/>
                    </w:rPr>
                    <w:t>施工废液</w:t>
                  </w:r>
                </w:p>
              </w:tc>
              <w:tc>
                <w:tcPr>
                  <w:tcW w:w="270"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eastAsia="zh-CN"/>
                    </w:rPr>
                  </w:pPr>
                  <w:r>
                    <w:rPr>
                      <w:rFonts w:hint="default" w:ascii="Times New Roman" w:hAnsi="Times New Roman" w:eastAsia="宋体" w:cs="Times New Roman"/>
                      <w:b w:val="0"/>
                      <w:bCs w:val="0"/>
                      <w:color w:val="auto"/>
                      <w:sz w:val="21"/>
                      <w:szCs w:val="21"/>
                      <w:lang w:val="en-US" w:eastAsia="zh-CN"/>
                    </w:rPr>
                    <w:t>m</w:t>
                  </w:r>
                  <w:r>
                    <w:rPr>
                      <w:rFonts w:hint="default" w:ascii="Times New Roman" w:hAnsi="Times New Roman" w:eastAsia="宋体" w:cs="Times New Roman"/>
                      <w:b w:val="0"/>
                      <w:bCs w:val="0"/>
                      <w:color w:val="auto"/>
                      <w:sz w:val="21"/>
                      <w:szCs w:val="21"/>
                      <w:vertAlign w:val="superscript"/>
                      <w:lang w:val="en-US" w:eastAsia="zh-CN"/>
                    </w:rPr>
                    <w:t>3</w:t>
                  </w:r>
                </w:p>
              </w:tc>
              <w:tc>
                <w:tcPr>
                  <w:tcW w:w="479"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138</w:t>
                  </w:r>
                </w:p>
              </w:tc>
              <w:tc>
                <w:tcPr>
                  <w:tcW w:w="479"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381.54</w:t>
                  </w:r>
                </w:p>
              </w:tc>
              <w:tc>
                <w:tcPr>
                  <w:tcW w:w="1477"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default" w:ascii="Times New Roman" w:hAnsi="Times New Roman" w:eastAsia="宋体" w:cs="Times New Roman"/>
                      <w:b w:val="0"/>
                      <w:bCs w:val="0"/>
                      <w:color w:val="auto"/>
                      <w:sz w:val="21"/>
                      <w:szCs w:val="21"/>
                      <w:lang w:val="en-US" w:eastAsia="zh-CN"/>
                    </w:rPr>
                    <w:t>，无外排</w:t>
                  </w:r>
                </w:p>
              </w:tc>
              <w:tc>
                <w:tcPr>
                  <w:tcW w:w="1510"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default" w:ascii="Times New Roman" w:hAnsi="Times New Roman" w:eastAsia="宋体" w:cs="Times New Roman"/>
                      <w:b w:val="0"/>
                      <w:bCs w:val="0"/>
                      <w:color w:val="auto"/>
                      <w:sz w:val="21"/>
                      <w:szCs w:val="21"/>
                      <w:lang w:val="en-US" w:eastAsia="zh-CN"/>
                    </w:rPr>
                    <w:t>环评预估值较小，实际产生量</w:t>
                  </w:r>
                  <w:r>
                    <w:rPr>
                      <w:rFonts w:hint="default" w:ascii="Times New Roman" w:hAnsi="Times New Roman" w:eastAsia="宋体" w:cs="Times New Roman"/>
                      <w:color w:val="auto"/>
                      <w:sz w:val="21"/>
                      <w:szCs w:val="21"/>
                      <w:lang w:val="en-US" w:eastAsia="zh-CN"/>
                    </w:rPr>
                    <w:t>较环评预估值增加，但均得到了有效处置，该变化未导致环境影响或环境风险增大，不属于重大变更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2</w:t>
                  </w:r>
                </w:p>
              </w:tc>
              <w:tc>
                <w:tcPr>
                  <w:tcW w:w="523"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生活污水</w:t>
                  </w:r>
                </w:p>
              </w:tc>
              <w:tc>
                <w:tcPr>
                  <w:tcW w:w="270"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m</w:t>
                  </w:r>
                  <w:r>
                    <w:rPr>
                      <w:rFonts w:hint="default" w:ascii="Times New Roman" w:hAnsi="Times New Roman" w:eastAsia="宋体" w:cs="Times New Roman"/>
                      <w:b w:val="0"/>
                      <w:bCs w:val="0"/>
                      <w:color w:val="auto"/>
                      <w:sz w:val="21"/>
                      <w:szCs w:val="21"/>
                      <w:vertAlign w:val="superscript"/>
                      <w:lang w:val="en-US" w:eastAsia="zh-CN"/>
                    </w:rPr>
                    <w:t>3</w:t>
                  </w:r>
                </w:p>
              </w:tc>
              <w:tc>
                <w:tcPr>
                  <w:tcW w:w="479"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33.6</w:t>
                  </w:r>
                </w:p>
              </w:tc>
              <w:tc>
                <w:tcPr>
                  <w:tcW w:w="479"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35.4</w:t>
                  </w:r>
                </w:p>
              </w:tc>
              <w:tc>
                <w:tcPr>
                  <w:tcW w:w="1477"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井场内设置移动式环保厕所，定期清掏，用于周边农田堆肥；盥洗废水就地泼洒用于施工场地抑尘。</w:t>
                  </w:r>
                  <w:r>
                    <w:rPr>
                      <w:rFonts w:hint="default" w:ascii="Times New Roman" w:hAnsi="Times New Roman" w:eastAsia="宋体" w:cs="Times New Roman"/>
                      <w:b w:val="0"/>
                      <w:bCs w:val="0"/>
                      <w:color w:val="auto"/>
                      <w:sz w:val="21"/>
                      <w:szCs w:val="21"/>
                      <w:lang w:val="en-US" w:eastAsia="zh-CN"/>
                    </w:rPr>
                    <w:t>无外排</w:t>
                  </w:r>
                </w:p>
              </w:tc>
              <w:tc>
                <w:tcPr>
                  <w:tcW w:w="1510"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较环评预估值增加，均得到了有效处置，不属于重大变更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w:t>
                  </w:r>
                </w:p>
              </w:tc>
              <w:tc>
                <w:tcPr>
                  <w:tcW w:w="523"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钻井岩屑、废弃泥浆</w:t>
                  </w:r>
                </w:p>
              </w:tc>
              <w:tc>
                <w:tcPr>
                  <w:tcW w:w="270"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244.065</w:t>
                  </w:r>
                </w:p>
              </w:tc>
              <w:tc>
                <w:tcPr>
                  <w:tcW w:w="479"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517</w:t>
                  </w:r>
                </w:p>
              </w:tc>
              <w:tc>
                <w:tcPr>
                  <w:tcW w:w="1477"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tcBorders>
                    <w:bottom w:val="single" w:color="auto" w:sz="4" w:space="0"/>
                    <w:tl2br w:val="nil"/>
                    <w:tr2bl w:val="nil"/>
                  </w:tcBorders>
                  <w:shd w:val="clear" w:color="auto" w:fill="auto"/>
                  <w:vAlign w:val="center"/>
                </w:tcPr>
                <w:p w14:paraId="07614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default" w:ascii="Times New Roman" w:hAnsi="Times New Roman" w:eastAsia="宋体" w:cs="Times New Roman"/>
                      <w:b w:val="0"/>
                      <w:bCs w:val="0"/>
                      <w:color w:val="auto"/>
                      <w:sz w:val="21"/>
                      <w:szCs w:val="21"/>
                      <w:lang w:val="en-US" w:eastAsia="zh-CN"/>
                    </w:rPr>
                    <w:t>，环评预估值较小，实际产生量</w:t>
                  </w:r>
                  <w:r>
                    <w:rPr>
                      <w:rFonts w:hint="default" w:ascii="Times New Roman" w:hAnsi="Times New Roman" w:eastAsia="宋体" w:cs="Times New Roman"/>
                      <w:color w:val="auto"/>
                      <w:sz w:val="21"/>
                      <w:szCs w:val="21"/>
                      <w:lang w:val="en-US" w:eastAsia="zh-CN"/>
                    </w:rPr>
                    <w:t>较环评预估值增加，但</w:t>
                  </w:r>
                  <w:r>
                    <w:rPr>
                      <w:rFonts w:hint="default" w:ascii="Times New Roman" w:hAnsi="Times New Roman" w:eastAsia="宋体" w:cs="Times New Roman"/>
                      <w:b w:val="0"/>
                      <w:bCs w:val="0"/>
                      <w:color w:val="auto"/>
                      <w:sz w:val="21"/>
                      <w:szCs w:val="21"/>
                      <w:lang w:val="en-US" w:eastAsia="zh-CN"/>
                    </w:rPr>
                    <w:t>均得到了有效处置，未导致环境影响或环境风险增大，未产生二次污染</w:t>
                  </w: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4</w:t>
                  </w:r>
                </w:p>
              </w:tc>
              <w:tc>
                <w:tcPr>
                  <w:tcW w:w="523" w:type="pct"/>
                  <w:tcBorders>
                    <w:tl2br w:val="nil"/>
                    <w:tr2bl w:val="nil"/>
                  </w:tcBorders>
                  <w:vAlign w:val="center"/>
                </w:tcPr>
                <w:p w14:paraId="69EED0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废弃防渗布</w:t>
                  </w:r>
                </w:p>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（未受污染）</w:t>
                  </w:r>
                </w:p>
              </w:tc>
              <w:tc>
                <w:tcPr>
                  <w:tcW w:w="270" w:type="pct"/>
                  <w:tcBorders>
                    <w:tl2br w:val="nil"/>
                    <w:tr2bl w:val="nil"/>
                  </w:tcBorders>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7991492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0.01</w:t>
                  </w:r>
                </w:p>
              </w:tc>
              <w:tc>
                <w:tcPr>
                  <w:tcW w:w="479" w:type="pct"/>
                  <w:tcBorders>
                    <w:tl2br w:val="nil"/>
                    <w:tr2bl w:val="nil"/>
                  </w:tcBorders>
                  <w:shd w:val="clear" w:color="auto" w:fill="auto"/>
                  <w:vAlign w:val="center"/>
                </w:tcPr>
                <w:p w14:paraId="71A5227C">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0.0</w:t>
                  </w:r>
                  <w:r>
                    <w:rPr>
                      <w:rFonts w:hint="default" w:ascii="Times New Roman" w:hAnsi="Times New Roman" w:cs="Times New Roman"/>
                      <w:color w:val="auto"/>
                      <w:sz w:val="21"/>
                      <w:szCs w:val="21"/>
                      <w:lang w:val="en-US" w:eastAsia="zh-CN"/>
                    </w:rPr>
                    <w:t>06</w:t>
                  </w:r>
                </w:p>
              </w:tc>
              <w:tc>
                <w:tcPr>
                  <w:tcW w:w="1477" w:type="pct"/>
                  <w:tcBorders>
                    <w:top w:val="single" w:color="auto" w:sz="4" w:space="0"/>
                    <w:tl2br w:val="nil"/>
                    <w:tr2bl w:val="nil"/>
                  </w:tcBorders>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由施工单位（五普40837HB）处置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固体废物产生量较环评预估值减少，均得到了有效处置，该变化未导致环境影响或环境风险增大，未产生二次污染。不属于重大变更</w:t>
                  </w: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5</w:t>
                  </w:r>
                </w:p>
              </w:tc>
              <w:tc>
                <w:tcPr>
                  <w:tcW w:w="523" w:type="pct"/>
                  <w:tcBorders>
                    <w:tl2br w:val="nil"/>
                    <w:tr2bl w:val="nil"/>
                  </w:tcBorders>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0" w:type="pct"/>
                  <w:tcBorders>
                    <w:tl2br w:val="nil"/>
                    <w:tr2bl w:val="nil"/>
                  </w:tcBorders>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6D199792">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0.001</w:t>
                  </w:r>
                </w:p>
              </w:tc>
              <w:tc>
                <w:tcPr>
                  <w:tcW w:w="479" w:type="pct"/>
                  <w:tcBorders>
                    <w:tl2br w:val="nil"/>
                    <w:tr2bl w:val="nil"/>
                  </w:tcBorders>
                  <w:shd w:val="clear" w:color="auto" w:fill="auto"/>
                  <w:vAlign w:val="center"/>
                </w:tcPr>
                <w:p w14:paraId="77D0DFA1">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0.00</w:t>
                  </w:r>
                  <w:r>
                    <w:rPr>
                      <w:rFonts w:hint="default" w:ascii="Times New Roman" w:hAnsi="Times New Roman" w:cs="Times New Roman"/>
                      <w:color w:val="auto"/>
                      <w:sz w:val="21"/>
                      <w:szCs w:val="21"/>
                      <w:lang w:val="en-US" w:eastAsia="zh-CN"/>
                    </w:rPr>
                    <w:t>15</w:t>
                  </w:r>
                </w:p>
              </w:tc>
              <w:tc>
                <w:tcPr>
                  <w:tcW w:w="1477" w:type="pct"/>
                  <w:tcBorders>
                    <w:tl2br w:val="nil"/>
                    <w:tr2bl w:val="nil"/>
                  </w:tcBorders>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6</w:t>
                  </w:r>
                </w:p>
              </w:tc>
              <w:tc>
                <w:tcPr>
                  <w:tcW w:w="523" w:type="pct"/>
                  <w:tcBorders>
                    <w:tl2br w:val="nil"/>
                    <w:tr2bl w:val="nil"/>
                  </w:tcBorders>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0" w:type="pct"/>
                  <w:tcBorders>
                    <w:tl2br w:val="nil"/>
                    <w:tr2bl w:val="nil"/>
                  </w:tcBorders>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3DCF4FB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0.2</w:t>
                  </w:r>
                </w:p>
              </w:tc>
              <w:tc>
                <w:tcPr>
                  <w:tcW w:w="479" w:type="pct"/>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0.03</w:t>
                  </w:r>
                </w:p>
              </w:tc>
              <w:tc>
                <w:tcPr>
                  <w:tcW w:w="1477" w:type="pct"/>
                  <w:tcBorders>
                    <w:tl2br w:val="nil"/>
                    <w:tr2bl w:val="nil"/>
                  </w:tcBorders>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584CC8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4A25CB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7</w:t>
                  </w:r>
                </w:p>
              </w:tc>
              <w:tc>
                <w:tcPr>
                  <w:tcW w:w="523" w:type="pct"/>
                  <w:tcBorders>
                    <w:tl2br w:val="nil"/>
                    <w:tr2bl w:val="nil"/>
                  </w:tcBorders>
                  <w:shd w:val="clear" w:color="auto" w:fill="auto"/>
                  <w:vAlign w:val="center"/>
                </w:tcPr>
                <w:p w14:paraId="0C1820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0" w:type="pct"/>
                  <w:tcBorders>
                    <w:tl2br w:val="nil"/>
                    <w:tr2bl w:val="nil"/>
                  </w:tcBorders>
                  <w:shd w:val="clear" w:color="auto" w:fill="auto"/>
                  <w:vAlign w:val="center"/>
                </w:tcPr>
                <w:p w14:paraId="645E7D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375F4E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0.0005</w:t>
                  </w:r>
                </w:p>
              </w:tc>
              <w:tc>
                <w:tcPr>
                  <w:tcW w:w="479" w:type="pct"/>
                  <w:tcBorders>
                    <w:tl2br w:val="nil"/>
                    <w:tr2bl w:val="nil"/>
                  </w:tcBorders>
                  <w:shd w:val="clear" w:color="auto" w:fill="auto"/>
                  <w:vAlign w:val="center"/>
                </w:tcPr>
                <w:p w14:paraId="2DCD2F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0.0002</w:t>
                  </w:r>
                </w:p>
              </w:tc>
              <w:tc>
                <w:tcPr>
                  <w:tcW w:w="1477" w:type="pct"/>
                  <w:tcBorders>
                    <w:tl2br w:val="nil"/>
                    <w:tr2bl w:val="nil"/>
                  </w:tcBorders>
                  <w:shd w:val="clear" w:color="auto" w:fill="auto"/>
                  <w:vAlign w:val="center"/>
                </w:tcPr>
                <w:p w14:paraId="24498B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由施工单位（五普40837HB）处置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540CC5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E3B84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05EA1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8</w:t>
                  </w:r>
                </w:p>
              </w:tc>
              <w:tc>
                <w:tcPr>
                  <w:tcW w:w="523" w:type="pct"/>
                  <w:tcBorders>
                    <w:tl2br w:val="nil"/>
                    <w:tr2bl w:val="nil"/>
                  </w:tcBorders>
                  <w:shd w:val="clear" w:color="auto" w:fill="auto"/>
                  <w:vAlign w:val="center"/>
                </w:tcPr>
                <w:p w14:paraId="3EDF12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废过硫酸钾包装袋</w:t>
                  </w:r>
                </w:p>
              </w:tc>
              <w:tc>
                <w:tcPr>
                  <w:tcW w:w="270" w:type="pct"/>
                  <w:tcBorders>
                    <w:tl2br w:val="nil"/>
                    <w:tr2bl w:val="nil"/>
                  </w:tcBorders>
                  <w:shd w:val="clear" w:color="auto" w:fill="auto"/>
                  <w:vAlign w:val="center"/>
                </w:tcPr>
                <w:p w14:paraId="733BEA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051124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0.0005</w:t>
                  </w:r>
                </w:p>
              </w:tc>
              <w:tc>
                <w:tcPr>
                  <w:tcW w:w="479" w:type="pct"/>
                  <w:tcBorders>
                    <w:tl2br w:val="nil"/>
                    <w:tr2bl w:val="nil"/>
                  </w:tcBorders>
                  <w:shd w:val="clear" w:color="auto" w:fill="auto"/>
                  <w:vAlign w:val="center"/>
                </w:tcPr>
                <w:p w14:paraId="3342D1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0.0004</w:t>
                  </w:r>
                </w:p>
              </w:tc>
              <w:tc>
                <w:tcPr>
                  <w:tcW w:w="1477" w:type="pct"/>
                  <w:tcBorders>
                    <w:tl2br w:val="nil"/>
                    <w:tr2bl w:val="nil"/>
                  </w:tcBorders>
                  <w:shd w:val="clear" w:color="auto" w:fill="auto"/>
                  <w:vAlign w:val="center"/>
                </w:tcPr>
                <w:p w14:paraId="4AF278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03EE7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0707D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51E50F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9</w:t>
                  </w:r>
                </w:p>
              </w:tc>
              <w:tc>
                <w:tcPr>
                  <w:tcW w:w="523" w:type="pct"/>
                  <w:tcBorders>
                    <w:tl2br w:val="nil"/>
                    <w:tr2bl w:val="nil"/>
                  </w:tcBorders>
                  <w:shd w:val="clear" w:color="auto" w:fill="auto"/>
                  <w:vAlign w:val="center"/>
                </w:tcPr>
                <w:p w14:paraId="049C6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0" w:type="pct"/>
                  <w:tcBorders>
                    <w:tl2br w:val="nil"/>
                    <w:tr2bl w:val="nil"/>
                  </w:tcBorders>
                  <w:shd w:val="clear" w:color="auto" w:fill="auto"/>
                  <w:vAlign w:val="center"/>
                </w:tcPr>
                <w:p w14:paraId="124C0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2147667B">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0.01</w:t>
                  </w:r>
                </w:p>
              </w:tc>
              <w:tc>
                <w:tcPr>
                  <w:tcW w:w="479" w:type="pct"/>
                  <w:tcBorders>
                    <w:tl2br w:val="nil"/>
                    <w:tr2bl w:val="nil"/>
                  </w:tcBorders>
                  <w:shd w:val="clear" w:color="auto" w:fill="auto"/>
                  <w:vAlign w:val="center"/>
                </w:tcPr>
                <w:p w14:paraId="779BF5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0.004</w:t>
                  </w:r>
                </w:p>
              </w:tc>
              <w:tc>
                <w:tcPr>
                  <w:tcW w:w="1477" w:type="pct"/>
                  <w:tcBorders>
                    <w:tl2br w:val="nil"/>
                    <w:tr2bl w:val="nil"/>
                  </w:tcBorders>
                  <w:shd w:val="clear" w:color="auto" w:fill="auto"/>
                  <w:vAlign w:val="center"/>
                </w:tcPr>
                <w:p w14:paraId="5EB35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03CC9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6CB1D3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461B9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10</w:t>
                  </w:r>
                </w:p>
              </w:tc>
              <w:tc>
                <w:tcPr>
                  <w:tcW w:w="523" w:type="pct"/>
                  <w:tcBorders>
                    <w:tl2br w:val="nil"/>
                    <w:tr2bl w:val="nil"/>
                  </w:tcBorders>
                  <w:shd w:val="clear" w:color="auto" w:fill="auto"/>
                  <w:vAlign w:val="center"/>
                </w:tcPr>
                <w:p w14:paraId="6DF89B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含油岩屑</w:t>
                  </w:r>
                </w:p>
              </w:tc>
              <w:tc>
                <w:tcPr>
                  <w:tcW w:w="270" w:type="pct"/>
                  <w:tcBorders>
                    <w:tl2br w:val="nil"/>
                    <w:tr2bl w:val="nil"/>
                  </w:tcBorders>
                  <w:shd w:val="clear" w:color="auto" w:fill="auto"/>
                  <w:vAlign w:val="center"/>
                </w:tcPr>
                <w:p w14:paraId="413D37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55523783">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lang w:val="en-US" w:eastAsia="zh-CN"/>
                    </w:rPr>
                    <w:t>7.5</w:t>
                  </w:r>
                </w:p>
              </w:tc>
              <w:tc>
                <w:tcPr>
                  <w:tcW w:w="479" w:type="pct"/>
                  <w:tcBorders>
                    <w:tl2br w:val="nil"/>
                    <w:tr2bl w:val="nil"/>
                  </w:tcBorders>
                  <w:shd w:val="clear" w:color="auto" w:fill="auto"/>
                  <w:vAlign w:val="center"/>
                </w:tcPr>
                <w:p w14:paraId="45D51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1.5</w:t>
                  </w:r>
                </w:p>
              </w:tc>
              <w:tc>
                <w:tcPr>
                  <w:tcW w:w="1477" w:type="pct"/>
                  <w:tcBorders>
                    <w:tl2br w:val="nil"/>
                    <w:tr2bl w:val="nil"/>
                  </w:tcBorders>
                  <w:shd w:val="clear" w:color="auto" w:fill="auto"/>
                  <w:vAlign w:val="center"/>
                </w:tcPr>
                <w:p w14:paraId="42890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4584BE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11</w:t>
                  </w:r>
                </w:p>
              </w:tc>
              <w:tc>
                <w:tcPr>
                  <w:tcW w:w="523" w:type="pct"/>
                  <w:tcBorders>
                    <w:tl2br w:val="nil"/>
                    <w:tr2bl w:val="nil"/>
                  </w:tcBorders>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废机油、废润滑油</w:t>
                  </w:r>
                </w:p>
              </w:tc>
              <w:tc>
                <w:tcPr>
                  <w:tcW w:w="270" w:type="pct"/>
                  <w:tcBorders>
                    <w:tl2br w:val="nil"/>
                    <w:tr2bl w:val="nil"/>
                  </w:tcBorders>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5BBEB7D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0.2</w:t>
                  </w:r>
                </w:p>
              </w:tc>
              <w:tc>
                <w:tcPr>
                  <w:tcW w:w="479" w:type="pct"/>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w:t>
                  </w:r>
                </w:p>
              </w:tc>
              <w:tc>
                <w:tcPr>
                  <w:tcW w:w="1477" w:type="pct"/>
                  <w:tcBorders>
                    <w:tl2br w:val="nil"/>
                    <w:tr2bl w:val="nil"/>
                  </w:tcBorders>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w:t>
                  </w:r>
                </w:p>
              </w:tc>
              <w:tc>
                <w:tcPr>
                  <w:tcW w:w="1510" w:type="pct"/>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工期较短，未产生废机油、废润滑油。</w:t>
                  </w: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12</w:t>
                  </w:r>
                </w:p>
              </w:tc>
              <w:tc>
                <w:tcPr>
                  <w:tcW w:w="523"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0"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09E1736D">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b w:val="0"/>
                      <w:bCs w:val="0"/>
                      <w:color w:val="auto"/>
                      <w:sz w:val="21"/>
                      <w:szCs w:val="21"/>
                      <w:lang w:val="en-US" w:eastAsia="zh-CN" w:bidi="ar-SA"/>
                    </w:rPr>
                    <w:t>少量</w:t>
                  </w:r>
                </w:p>
              </w:tc>
              <w:tc>
                <w:tcPr>
                  <w:tcW w:w="479" w:type="pct"/>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w:t>
                  </w:r>
                </w:p>
              </w:tc>
              <w:tc>
                <w:tcPr>
                  <w:tcW w:w="1477"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未产生</w:t>
                  </w:r>
                </w:p>
              </w:tc>
              <w:tc>
                <w:tcPr>
                  <w:tcW w:w="1510" w:type="pct"/>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w:t>
                  </w: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26" w:type="dxa"/>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13</w:t>
                  </w:r>
                </w:p>
              </w:tc>
              <w:tc>
                <w:tcPr>
                  <w:tcW w:w="523" w:type="pct"/>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0" w:type="pct"/>
                  <w:vAlign w:val="center"/>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794" w:type="dxa"/>
                  <w:shd w:val="clear" w:color="auto" w:fill="auto"/>
                  <w:vAlign w:val="center"/>
                </w:tcPr>
                <w:p w14:paraId="40B0106B">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0.35</w:t>
                  </w:r>
                </w:p>
              </w:tc>
              <w:tc>
                <w:tcPr>
                  <w:tcW w:w="794" w:type="dxa"/>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0.3</w:t>
                  </w:r>
                </w:p>
              </w:tc>
              <w:tc>
                <w:tcPr>
                  <w:tcW w:w="1477" w:type="pct"/>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井场设置垃圾收集箱，经收集后运至就近的垃圾中转站处理，未产生二次污染</w:t>
                  </w:r>
                </w:p>
              </w:tc>
              <w:tc>
                <w:tcPr>
                  <w:tcW w:w="2500" w:type="dxa"/>
                  <w:shd w:val="clear" w:color="auto" w:fill="auto"/>
                  <w:vAlign w:val="center"/>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较环评预估值增加，均得到了有效处置，不属于重大变更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default"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default"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4EC7920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 xml:space="preserve">施工结束后，对施工场地进行了及时回填，平整地面，并覆土进行了井场四周植被恢复； </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1037964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钻井及试油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井场具有工业开采价值，临时关井，待转产。本次竣工环保验收调查仅针对勘探井钻井及试油工程。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（8）风险防范措施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根据现场调查及了解，施工期建设单位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default"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针对可能发生的石油泄漏事故制定了相关的风险防范措施并进行了落实，定期组织进行学习与培训；同时</w:t>
            </w:r>
            <w:r>
              <w:rPr>
                <w:rFonts w:hint="default"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并于2023年1月11日取得了庆阳市生态环境局宁县分局备案文件（见附件），本项目针对预案中相关应急措施进行定期演练。该应急预案修编日期为2026年1月11日，在本项目验收时间范围内。</w:t>
            </w:r>
          </w:p>
          <w:p w14:paraId="590B72EE">
            <w:pPr>
              <w:keepNext w:val="0"/>
              <w:keepLines w:val="0"/>
              <w:widowControl w:val="0"/>
              <w:suppressLineNumbers w:val="0"/>
              <w:spacing w:before="0" w:beforeAutospacing="0" w:afterAutospacing="0"/>
              <w:ind w:left="0" w:right="0" w:firstLine="480" w:firstLineChars="200"/>
              <w:jc w:val="both"/>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sz w:val="24"/>
                <w:szCs w:val="24"/>
                <w:highlight w:val="none"/>
                <w:lang w:val="en-US" w:eastAsia="zh-CN" w:bidi="ar-SA"/>
              </w:rPr>
              <w:t>目前，井场临时关井，待转产，未发生过井漏、井喷的情况。</w:t>
            </w:r>
          </w:p>
          <w:p w14:paraId="77C1AB58">
            <w:pPr>
              <w:pStyle w:val="5"/>
              <w:widowControl w:val="0"/>
              <w:suppressLineNumbers w:val="0"/>
              <w:spacing w:before="0"/>
              <w:ind w:left="0" w:right="0"/>
              <w:jc w:val="both"/>
              <w:rPr>
                <w:rFonts w:hint="default" w:ascii="Times New Roman" w:hAnsi="Times New Roman" w:cs="Times New Roman"/>
                <w:color w:val="auto"/>
                <w:lang w:val="en-US" w:eastAsia="zh-CN"/>
              </w:rPr>
            </w:pPr>
          </w:p>
          <w:p w14:paraId="15A86240">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203D9F6A">
            <w:pPr>
              <w:pStyle w:val="5"/>
              <w:widowControl w:val="0"/>
              <w:suppressLineNumbers w:val="0"/>
              <w:spacing w:before="0"/>
              <w:ind w:left="0" w:right="0"/>
              <w:jc w:val="both"/>
              <w:rPr>
                <w:rFonts w:hint="default" w:ascii="Times New Roman" w:hAnsi="Times New Roman" w:cs="Times New Roman"/>
                <w:color w:val="auto"/>
                <w:lang w:val="en-US" w:eastAsia="zh-CN"/>
              </w:rPr>
            </w:pPr>
          </w:p>
          <w:p w14:paraId="53ABA41D">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tc>
      </w:tr>
    </w:tbl>
    <w:p w14:paraId="5E0806E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6" w:name="_Toc12219"/>
      <w:r>
        <w:rPr>
          <w:rFonts w:hint="default"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6"/>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pacing w:val="0"/>
                <w:highlight w:val="none"/>
                <w:lang w:val="en-US" w:eastAsia="zh-CN"/>
              </w:rPr>
            </w:pPr>
            <w:r>
              <w:rPr>
                <w:rFonts w:hint="default"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default" w:ascii="Times New Roman" w:hAnsi="Times New Roman" w:eastAsia="宋体" w:cs="Times New Roman"/>
                <w:color w:val="auto"/>
                <w:sz w:val="24"/>
                <w:szCs w:val="32"/>
                <w:lang w:val="en-US" w:eastAsia="zh-CN"/>
              </w:rPr>
            </w:pPr>
            <w:r>
              <w:rPr>
                <w:rFonts w:hint="default" w:ascii="Times New Roman" w:hAnsi="Times New Roman" w:eastAsia="宋体" w:cs="Times New Roman"/>
                <w:color w:val="auto"/>
                <w:sz w:val="24"/>
                <w:szCs w:val="32"/>
                <w:lang w:val="en-US" w:eastAsia="zh-CN"/>
              </w:rPr>
              <w:t>根据庆阳衡安环保工程有限公司</w:t>
            </w:r>
            <w:r>
              <w:rPr>
                <w:rFonts w:hint="default" w:ascii="Times New Roman" w:hAnsi="Times New Roman" w:eastAsia="宋体" w:cs="Times New Roman"/>
                <w:color w:val="FF0000"/>
                <w:sz w:val="24"/>
                <w:szCs w:val="32"/>
                <w:lang w:val="en-US" w:eastAsia="zh-CN"/>
              </w:rPr>
              <w:t>于2023年</w:t>
            </w:r>
            <w:r>
              <w:rPr>
                <w:rFonts w:hint="eastAsia" w:ascii="Times New Roman" w:hAnsi="Times New Roman" w:eastAsia="宋体" w:cs="Times New Roman"/>
                <w:color w:val="FF0000"/>
                <w:sz w:val="24"/>
                <w:szCs w:val="32"/>
                <w:lang w:val="en-US" w:eastAsia="zh-CN"/>
              </w:rPr>
              <w:t>5</w:t>
            </w:r>
            <w:r>
              <w:rPr>
                <w:rFonts w:hint="default" w:ascii="Times New Roman" w:hAnsi="Times New Roman" w:eastAsia="宋体" w:cs="Times New Roman"/>
                <w:color w:val="FF0000"/>
                <w:sz w:val="24"/>
                <w:szCs w:val="32"/>
                <w:lang w:val="en-US" w:eastAsia="zh-CN"/>
              </w:rPr>
              <w:t>月</w:t>
            </w:r>
            <w:r>
              <w:rPr>
                <w:rFonts w:hint="default" w:ascii="Times New Roman" w:hAnsi="Times New Roman" w:eastAsia="宋体" w:cs="Times New Roman"/>
                <w:color w:val="auto"/>
                <w:sz w:val="24"/>
                <w:szCs w:val="32"/>
                <w:lang w:val="en-US" w:eastAsia="zh-CN"/>
              </w:rPr>
              <w:t>编制的《泾河3402H预探井建设项目》中关于项目施工期生态、声、大气、水、固体废物等环境影响的分析，本次环境影响评价回顾如下：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default" w:ascii="Times New Roman" w:hAnsi="Times New Roman" w:eastAsia="宋体" w:cs="Times New Roman"/>
                <w:b/>
                <w:bCs/>
                <w:color w:val="auto"/>
                <w:spacing w:val="0"/>
                <w:highlight w:val="none"/>
                <w:lang w:val="en-US" w:eastAsia="zh-CN"/>
              </w:rPr>
            </w:pPr>
            <w:r>
              <w:rPr>
                <w:rFonts w:hint="default"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本项目主要建设1宗勘探井，建设内容包括钻前工程（建设内容主要为井场的平整、临时办公生活区的建设等）、钻井工程（建设内容主要为钻井、测井、录井、固井等）及完井测试（主要包括完井作业和石油测试，洗井、射孔、压裂、试油等）。前期主要进行油井勘探，通过完井测试评价油藏情况，本次环评不包含井场建设和采油生产，当评价井需要转采油井时，纳入区域产能环评中进一步办理环评手续。本项目总投资1000万元，其中环保投资约41.16万元，占总投资的</w:t>
            </w:r>
            <w:r>
              <w:rPr>
                <w:rFonts w:hint="default" w:ascii="Times New Roman" w:hAnsi="Times New Roman" w:eastAsia="宋体" w:cs="Times New Roman"/>
                <w:color w:val="auto"/>
                <w:spacing w:val="0"/>
                <w:sz w:val="24"/>
                <w:highlight w:val="none"/>
                <w:lang w:val="en-US" w:eastAsia="zh-CN"/>
              </w:rPr>
              <w:t>4.116</w:t>
            </w:r>
            <w:r>
              <w:rPr>
                <w:rFonts w:hint="default" w:ascii="Times New Roman" w:hAnsi="Times New Roman" w:eastAsia="宋体" w:cs="Times New Roman"/>
                <w:color w:val="auto"/>
                <w:spacing w:val="0"/>
                <w:w w:val="100"/>
                <w:sz w:val="24"/>
                <w:szCs w:val="24"/>
                <w:highlight w:val="none"/>
                <w:lang w:val="en-US" w:eastAsia="zh-CN" w:bidi="ar-SA"/>
              </w:rPr>
              <w:t>%。</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default" w:ascii="Times New Roman" w:hAnsi="Times New Roman" w:eastAsia="宋体" w:cs="Times New Roman"/>
                <w:b/>
                <w:bCs/>
                <w:color w:val="auto"/>
                <w:sz w:val="24"/>
                <w:szCs w:val="32"/>
                <w:lang w:val="en-US" w:eastAsia="zh-CN"/>
              </w:rPr>
              <w:t xml:space="preserve">5.2施工期环境影响回顾                                                                                  </w:t>
            </w:r>
          </w:p>
          <w:p w14:paraId="776EE17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pacing w:val="0"/>
                <w:sz w:val="24"/>
                <w:szCs w:val="24"/>
                <w:highlight w:val="none"/>
                <w:lang w:val="en-US" w:eastAsia="zh-CN"/>
              </w:rPr>
            </w:pPr>
            <w:bookmarkStart w:id="7" w:name="_Toc196912325"/>
            <w:bookmarkStart w:id="8" w:name="_Toc195671858"/>
            <w:r>
              <w:rPr>
                <w:rFonts w:hint="default" w:ascii="Times New Roman" w:hAnsi="Times New Roman" w:eastAsia="宋体" w:cs="Times New Roman"/>
                <w:b/>
                <w:bCs/>
                <w:color w:val="auto"/>
                <w:spacing w:val="0"/>
                <w:sz w:val="24"/>
                <w:szCs w:val="24"/>
                <w:highlight w:val="none"/>
                <w:lang w:val="en-US" w:eastAsia="zh-CN"/>
              </w:rPr>
              <w:t>1.生态环境影响分析</w:t>
            </w:r>
          </w:p>
          <w:p w14:paraId="246DEA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①施工中尽量缩小影响范围，合理布置井场，挖好井场四周的界沟，选择合适的设备搬迁路线，合理布置钻井设备，减少井场占地面积。</w:t>
            </w:r>
          </w:p>
          <w:p w14:paraId="3E712E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②因地制宜的选择施工季节，避开植物的生长期，可减缓这种不利影响；</w:t>
            </w:r>
          </w:p>
          <w:p w14:paraId="0DDC07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③恢复土地生产能力，提高土壤肥力。施工过程中要尽量保护土地资源，不要打乱土层，要先挖表土层单独堆放，然后挖心、底土层另外堆放。复原时要先填心、底土，然后平复表土，以尽快恢复耕作层土地原貌；</w:t>
            </w:r>
          </w:p>
          <w:p w14:paraId="5C4BCA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④迅速恢复植被破坏的地表形态，填埋废土坑、平整作业现场、改善植被更新生长条件，防止局部土地退化；</w:t>
            </w:r>
          </w:p>
          <w:p w14:paraId="0B94F6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⑤进场前集中收集表土，并进行表面硬化以防风吹雨淋流失，作业结束后再覆盖表土等措施后，可有效减少水土流失；</w:t>
            </w:r>
          </w:p>
          <w:p w14:paraId="575749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⑥井场内禁止废水、废弃泥浆、废弃岩屑、以及其他废物流失和乱排放，严禁机油、柴油等各种油料落地，擦洗设备和更换的废油品料要集中到废油回收罐，如果发现外溢和散落必须及时清理；</w:t>
            </w:r>
          </w:p>
          <w:p w14:paraId="773D9A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⑦完井后回收各种原料，清理井场上散落的泥浆、污水、油料和各种废弃物。泥浆药品等泥浆材料及废油必须全部回收，不得随意遗弃于井场，完井后做到作业现场整洁、平整、卫生、无油污、无固废。</w:t>
            </w:r>
          </w:p>
          <w:p w14:paraId="5CFF86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pacing w:val="0"/>
                <w:sz w:val="24"/>
                <w:szCs w:val="24"/>
                <w:highlight w:val="none"/>
                <w:lang w:val="en-US" w:eastAsia="zh-CN"/>
              </w:rPr>
            </w:pPr>
            <w:r>
              <w:rPr>
                <w:rFonts w:hint="default" w:ascii="Times New Roman" w:hAnsi="Times New Roman" w:eastAsia="宋体" w:cs="Times New Roman"/>
                <w:b/>
                <w:bCs/>
                <w:color w:val="auto"/>
                <w:spacing w:val="0"/>
                <w:sz w:val="24"/>
                <w:szCs w:val="24"/>
                <w:highlight w:val="none"/>
                <w:lang w:val="en-US" w:eastAsia="zh-CN"/>
              </w:rPr>
              <w:t>2污染环境影响</w:t>
            </w:r>
            <w:bookmarkEnd w:id="7"/>
            <w:bookmarkEnd w:id="8"/>
          </w:p>
          <w:p w14:paraId="74CADD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48AEC4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施工时钻井废水、试油废水和措施返排液均运至泾河8撬装式水净化站处理达标后回注油层，无外排；生活污水沉淀后用于场区洒浇，不外排。</w:t>
            </w:r>
          </w:p>
          <w:p w14:paraId="16A147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（2）地下水、土壤环境影响</w:t>
            </w:r>
          </w:p>
          <w:p w14:paraId="542BB8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井场的应急池采用重点防渗；雨水池采用一般防渗；防渗布接口处应予以粘结；防渗布出现破损，应及时更换或补漏；防渗布四周设置20cm高的围堰。</w:t>
            </w:r>
          </w:p>
          <w:p w14:paraId="48B0B5F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7828765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施工过程应及时清理堆放在场地上的弃土、弃渣和道路上的抛撒料、渣，不能全部及时清运的，必须适时采取洒水灭尘等措施，防止二次扬尘。</w:t>
            </w:r>
          </w:p>
          <w:p w14:paraId="4DBE10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0DF30ECF">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选用低噪声机械设备或自带隔声、消声的设备，做好施工机械的维护和保养；</w:t>
            </w:r>
          </w:p>
          <w:p w14:paraId="78B4955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合理安排施工机械的工作频次、时限、合理调整行车密度。</w:t>
            </w:r>
          </w:p>
          <w:p w14:paraId="6F6849BA">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（5）固废影响</w:t>
            </w:r>
          </w:p>
          <w:p w14:paraId="61E40E1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废弃泥浆、一般岩屑全部进入泥浆罐采用“不落地收集+板框压滤”工艺，处理后产生的液相用于配制钻井液，剩余无法循环利用的液相拉运至废液处理站集中处理，处理后作为油田注水开发工艺生产用水回注油层；不落地处理振动筛筛选出的颗粒类岩石质固相和板框压滤机处理后产生的固相，处置达标后可集中填埋或制作烧结砖等资源化综合利用；废弃原材料、废包装材料、生活垃圾要采用单独的防渗坑存放；设置生活垃圾箱（桶），钻井结束后及时清运至指定地点处置。</w:t>
            </w:r>
          </w:p>
          <w:p w14:paraId="7BF8EB8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（6）环境风险分析</w:t>
            </w:r>
          </w:p>
          <w:p w14:paraId="4C7325B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井场周围设置不低于20cm高围堰；井场钻井设备摆放处、循环水利用设施、泥浆不落地处理设施、围堰等采取防渗漏措施；井场内的雨水池采取一般防渗措施，应急池采取重点防渗措施。</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庆阳市生态环境局于2023年5月23日以</w:t>
            </w:r>
            <w:r>
              <w:rPr>
                <w:rFonts w:hint="default" w:ascii="Times New Roman" w:hAnsi="Times New Roman" w:eastAsia="宋体" w:cs="Times New Roman"/>
                <w:color w:val="auto"/>
                <w:spacing w:val="0"/>
                <w:w w:val="100"/>
                <w:kern w:val="0"/>
                <w:sz w:val="24"/>
                <w:szCs w:val="24"/>
                <w:highlight w:val="none"/>
                <w:lang w:val="en-US" w:eastAsia="zh-CN"/>
              </w:rPr>
              <w:t>庆环评表字〔2023〕119号</w:t>
            </w:r>
            <w:r>
              <w:rPr>
                <w:rFonts w:hint="default" w:ascii="Times New Roman" w:hAnsi="Times New Roman" w:eastAsia="宋体" w:cs="Times New Roman"/>
                <w:color w:val="auto"/>
                <w:spacing w:val="0"/>
                <w:sz w:val="24"/>
                <w:szCs w:val="24"/>
                <w:highlight w:val="none"/>
                <w:lang w:val="en-US" w:eastAsia="zh-CN"/>
              </w:rPr>
              <w:t>文对</w:t>
            </w: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出具了《泾河3402H预探井建设项目的审查意见》</w:t>
            </w:r>
            <w:r>
              <w:rPr>
                <w:rFonts w:hint="default"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2E8BFAE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项目位于宁县早胜镇南庄村二组，拟钻预探井1口，井号为泾河3402H，井场坐标为X:3920735，Y:36494019。预探井设计井深2900米，井型为直井，开发预探层位主要为长72、长81储层，项目总投资为1000万元，其中环保投资为41.16万元，占总投资的4.11%。</w:t>
            </w:r>
          </w:p>
          <w:p w14:paraId="69738E9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p>
          <w:p w14:paraId="30E32CC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加强各类废水收集、暂存及运输过程中的环境管理，实施全过程监控，避免违规排放，并采取有效措施，防止产生二次污染。钻井前应当在防渗布周围设置不低于80cm的砖混围墙。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p w14:paraId="35A40C4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pH为6~9)集中填埋或制作烧结砖资源化综合利用：生活垃圾统一收集运输至环卫部门指定地点处置，含油压裂砂、含油岩屑、废防渗布、落地油、废机油等危险废物分类暂存在场地，并建立管理台账及转移联单，定期委托有资质的单位进行安全处置。</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40778E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p w14:paraId="61D862F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1CE6C5F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井场建设地点、坐标和预探井井号、数量等内容进行石油勘探工作，严禁擅自变更;对《报告表》及审查意见提出的各项生态环境保护措施和要求,应明确到井场施工合同中并认真监督执行。该项目为陆地石油资源地质勘探工程，若勘探井转为生产井，须纳入油田区块管理并及时报批环评文件。</w:t>
            </w:r>
          </w:p>
          <w:p w14:paraId="329EADE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须严格执行环境保护设施与主体工程同时设计、同时施工、同时投产的环境保护“三同时”制度。请市生态环境局宁县分局负责该项目的事中事后监管。项目建成后应按规定自行开展竣工环境保护验收。</w:t>
            </w:r>
          </w:p>
          <w:p w14:paraId="65A80E5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益。</w:t>
            </w:r>
          </w:p>
          <w:p w14:paraId="3F03061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告表》及其审批意见分别送交庆阳市生态环境保护综合行政执法队和市生态环境局宁县分局。请庆阳市生态环境保护综合行政执法队、庆阳市生态环境局宁县分局加强项目的生态环境监督管理工作。你公司必须按规定接受各级生态环境行政主管部门的监督检查。</w:t>
            </w:r>
          </w:p>
          <w:p w14:paraId="4055890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65AFFA06">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7142E81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2916130B">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5AF7E8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1F0502E">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D0FE7B1">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0D665621">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68916384">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7A05C4C4">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0ED5E6D">
            <w:pPr>
              <w:keepNext w:val="0"/>
              <w:keepLines w:val="0"/>
              <w:widowControl w:val="0"/>
              <w:suppressLineNumbers w:val="0"/>
              <w:spacing w:before="0" w:beforeAutospacing="0" w:afterAutospacing="0"/>
              <w:ind w:left="0" w:right="0"/>
              <w:jc w:val="both"/>
              <w:rPr>
                <w:rFonts w:hint="default"/>
              </w:rPr>
            </w:pPr>
          </w:p>
          <w:p w14:paraId="310E4EE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C05909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6EBCF2A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3AD97424">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08663F90">
      <w:pPr>
        <w:rPr>
          <w:rFonts w:hint="default" w:ascii="Times New Roman" w:hAnsi="Times New Roman" w:cs="Times New Roman"/>
          <w:color w:val="auto"/>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9" w:name="_Toc20309"/>
      <w:r>
        <w:rPr>
          <w:rFonts w:hint="default" w:ascii="Times New Roman" w:hAnsi="Times New Roman" w:eastAsia="宋体" w:cs="Times New Roman"/>
          <w:b/>
          <w:bCs/>
          <w:color w:val="auto"/>
          <w:w w:val="95"/>
          <w:sz w:val="32"/>
          <w:highlight w:val="none"/>
          <w:lang w:val="en-US" w:eastAsia="zh-CN"/>
        </w:rPr>
        <w:t>6.环境保护措施执行情况</w:t>
      </w:r>
      <w:bookmarkEnd w:id="9"/>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default"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7"/>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1"/>
              <w:gridCol w:w="1231"/>
              <w:gridCol w:w="1044"/>
              <w:gridCol w:w="5505"/>
              <w:gridCol w:w="4483"/>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7"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762760" cy="683895"/>
                            <wp:effectExtent l="1905" t="4445" r="13335" b="10160"/>
                            <wp:wrapNone/>
                            <wp:docPr id="1" name="直接连接符 1"/>
                            <wp:cNvGraphicFramePr/>
                            <a:graphic xmlns:a="http://schemas.openxmlformats.org/drawingml/2006/main">
                              <a:graphicData uri="http://schemas.microsoft.com/office/word/2010/wordprocessingShape">
                                <wps:wsp>
                                  <wps:cNvCnPr/>
                                  <wps:spPr>
                                    <a:xfrm>
                                      <a:off x="1074420" y="1424940"/>
                                      <a:ext cx="1762760" cy="6838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3.85pt;width:138.8pt;z-index:251662336;mso-width-relative:page;mso-height-relative:page;" filled="f" stroked="t" coordsize="21600,21600" o:gfxdata="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yaojjVAAAACQEAAA8AAAAAAAAAAQAgAAAAIgAAAGRycy9kb3ducmV2LnhtbFBLAQIUABQA&#10;AAAIAIdO4kDHgH1n8wEAAMIDAAAOAAAAAAAAAAEAIAAAACQBAABkcnMvZTJvRG9jLnhtbFBLBQYA&#10;AAAABgAGAFkBAACJBQ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977"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610"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restart"/>
                  <w:tcBorders>
                    <w:tl2br w:val="nil"/>
                    <w:tr2bl w:val="nil"/>
                  </w:tcBorders>
                  <w:vAlign w:val="center"/>
                </w:tcPr>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设计阶段</w:t>
                  </w:r>
                </w:p>
              </w:tc>
              <w:tc>
                <w:tcPr>
                  <w:tcW w:w="816"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977"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0"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16"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977"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0"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16"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977"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0"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0"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生态影响</w:t>
                  </w:r>
                </w:p>
              </w:tc>
              <w:tc>
                <w:tcPr>
                  <w:tcW w:w="374"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977" w:type="pct"/>
                  <w:tcBorders>
                    <w:tl2br w:val="nil"/>
                    <w:tr2bl w:val="nil"/>
                  </w:tcBorders>
                  <w:vAlign w:val="center"/>
                </w:tcPr>
                <w:p w14:paraId="4B68CC9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67BF858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①施工中尽量缩小影响范围，合理布置井场，挖好井场四周的界沟，选择合适的设备搬迁路线，合理布置钻井设备，减少井场占地面积。</w:t>
                  </w:r>
                </w:p>
                <w:p w14:paraId="6230147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②因地制宜的选择施工季节，避开植物的生长期，可减缓这种不利影响；</w:t>
                  </w:r>
                </w:p>
                <w:p w14:paraId="38981BD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③恢复土地生产能力，提高土壤肥力。施工过程中要尽量保护土地资源，不要打乱土层，要先挖表土层单独堆放，然后挖心、底土层另外堆放。复原时要先填心、底土，然后平复表土，以尽快恢复耕作层土地原貌；</w:t>
                  </w:r>
                </w:p>
                <w:p w14:paraId="12E81B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④迅速恢复植被破坏的地表形态，填埋废土坑、平整作业现场、改善植被更新生长条件，防止局部土地退化；</w:t>
                  </w:r>
                </w:p>
                <w:p w14:paraId="78A4710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⑤进场前集中收集表土，并进行表面硬化以防风吹雨淋流失，作业结束后再覆盖表土等措施后，可有效减少水土流失；</w:t>
                  </w:r>
                </w:p>
                <w:p w14:paraId="28D0E03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⑥井场内禁止废水、废弃泥浆、废弃岩屑、以及其他废物流失和乱排放，严禁机油、柴油等各种油料落地，擦洗设备和更换的废油品料要集中到废油回收罐，如果发现外溢和散落必须及时清理；</w:t>
                  </w:r>
                </w:p>
                <w:p w14:paraId="27745DE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⑦完井后回收各种原料，清理井场上散落的泥浆、污水、油料和各种废弃物。泥浆药品等泥浆材料及废油必须全部回收，不得随意遗弃于井场，完井后做到作业现场整洁、平整、卫生、无油污、无固废。</w:t>
                  </w:r>
                </w:p>
                <w:p w14:paraId="08DA702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c>
                <w:tcPr>
                  <w:tcW w:w="1610" w:type="pct"/>
                  <w:vMerge w:val="restart"/>
                  <w:tcBorders>
                    <w:tl2br w:val="nil"/>
                    <w:tr2bl w:val="nil"/>
                  </w:tcBorders>
                  <w:vAlign w:val="center"/>
                </w:tcPr>
                <w:p w14:paraId="654815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已落实</w:t>
                  </w:r>
                </w:p>
                <w:p w14:paraId="4BA15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color w:val="FF0000"/>
                      <w:lang w:val="en-US" w:eastAsia="zh-CN"/>
                    </w:rPr>
                  </w:pPr>
                  <w:r>
                    <w:rPr>
                      <w:rFonts w:hint="default" w:ascii="Times New Roman" w:hAnsi="Times New Roman" w:eastAsia="宋体" w:cs="Times New Roman"/>
                      <w:color w:val="FF0000"/>
                      <w:sz w:val="21"/>
                      <w:szCs w:val="21"/>
                      <w:highlight w:val="none"/>
                      <w:lang w:val="en-US" w:eastAsia="zh-CN"/>
                    </w:rPr>
                    <w:t>①</w:t>
                  </w:r>
                  <w:r>
                    <w:rPr>
                      <w:rFonts w:hint="default" w:ascii="Times New Roman" w:hAnsi="Times New Roman" w:eastAsia="宋体" w:cs="Times New Roman"/>
                      <w:color w:val="FF0000"/>
                      <w:sz w:val="21"/>
                      <w:szCs w:val="21"/>
                      <w:highlight w:val="none"/>
                      <w:lang w:val="en-US" w:eastAsia="zh-CN" w:bidi="ar-SA"/>
                    </w:rPr>
                    <w:t>优化施工方案和进出场线路，尽量避开和减少占用耕地、林地和破坏植被，合理安排施工进度，控制施工作业范围</w:t>
                  </w:r>
                  <w:r>
                    <w:rPr>
                      <w:rFonts w:hint="eastAsia" w:ascii="Times New Roman" w:hAnsi="Times New Roman" w:eastAsia="宋体" w:cs="Times New Roman"/>
                      <w:color w:val="FF0000"/>
                      <w:sz w:val="21"/>
                      <w:szCs w:val="21"/>
                      <w:highlight w:val="none"/>
                      <w:lang w:val="en-US" w:eastAsia="zh-CN" w:bidi="ar-SA"/>
                    </w:rPr>
                    <w:t>；</w:t>
                  </w:r>
                </w:p>
                <w:p w14:paraId="52B52A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FF0000"/>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②</w:t>
                  </w:r>
                  <w:r>
                    <w:rPr>
                      <w:rFonts w:hint="default" w:ascii="Times New Roman" w:hAnsi="Times New Roman" w:eastAsia="宋体" w:cs="Times New Roman"/>
                      <w:color w:val="FF0000"/>
                      <w:sz w:val="21"/>
                      <w:szCs w:val="21"/>
                      <w:highlight w:val="none"/>
                      <w:lang w:val="en-US" w:eastAsia="zh-CN" w:bidi="ar-SA"/>
                    </w:rPr>
                    <w:t>严格控制车辆、人员的活动范围，减少了施工过程中造成的人为扰动及产生的弃土（石、渣）</w:t>
                  </w:r>
                  <w:r>
                    <w:rPr>
                      <w:rFonts w:hint="eastAsia" w:ascii="Times New Roman" w:hAnsi="Times New Roman" w:eastAsia="宋体" w:cs="Times New Roman"/>
                      <w:color w:val="FF0000"/>
                      <w:sz w:val="21"/>
                      <w:szCs w:val="21"/>
                      <w:highlight w:val="none"/>
                      <w:lang w:val="en-US" w:eastAsia="zh-CN" w:bidi="ar-SA"/>
                    </w:rPr>
                    <w:t>，</w:t>
                  </w:r>
                  <w:r>
                    <w:rPr>
                      <w:rFonts w:hint="default" w:ascii="Times New Roman" w:hAnsi="Times New Roman" w:eastAsia="宋体" w:cs="Times New Roman"/>
                      <w:color w:val="FF0000"/>
                      <w:sz w:val="21"/>
                      <w:szCs w:val="21"/>
                      <w:highlight w:val="none"/>
                      <w:lang w:val="en-US" w:eastAsia="zh-CN" w:bidi="ar-SA"/>
                    </w:rPr>
                    <w:t>减少水土流失。</w:t>
                  </w:r>
                </w:p>
                <w:p w14:paraId="3F92C8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③加强生态环境保护工作。严格控制施工作业范围所有施工活动均在施工作业带内进行；</w:t>
                  </w:r>
                </w:p>
                <w:p w14:paraId="19D3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④</w:t>
                  </w:r>
                  <w:r>
                    <w:rPr>
                      <w:rFonts w:hint="eastAsia" w:ascii="Times New Roman" w:hAnsi="Times New Roman" w:eastAsia="宋体" w:cs="Times New Roman"/>
                      <w:color w:val="FF0000"/>
                      <w:sz w:val="21"/>
                      <w:szCs w:val="21"/>
                      <w:highlight w:val="none"/>
                      <w:lang w:val="en-US" w:eastAsia="zh-CN"/>
                    </w:rPr>
                    <w:t>经现场踏勘，施工期产生的污染物均得到妥善处置，项目地无遗留污染物。</w:t>
                  </w:r>
                </w:p>
                <w:p w14:paraId="099C7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FF0000"/>
                      <w:kern w:val="2"/>
                      <w:sz w:val="21"/>
                      <w:szCs w:val="22"/>
                      <w:lang w:val="en-US" w:eastAsia="zh-CN" w:bidi="ar-SA"/>
                    </w:rPr>
                  </w:pPr>
                  <w:r>
                    <w:rPr>
                      <w:rFonts w:hint="default" w:ascii="Times New Roman" w:hAnsi="Times New Roman" w:eastAsia="宋体" w:cs="Times New Roman"/>
                      <w:color w:val="FF0000"/>
                      <w:sz w:val="21"/>
                      <w:szCs w:val="21"/>
                      <w:highlight w:val="none"/>
                      <w:lang w:val="en-US" w:eastAsia="zh-CN"/>
                    </w:rPr>
                    <w:t>⑤</w:t>
                  </w:r>
                  <w:r>
                    <w:rPr>
                      <w:rFonts w:hint="default" w:ascii="Times New Roman" w:hAnsi="Times New Roman" w:eastAsia="宋体" w:cs="Times New Roman"/>
                      <w:color w:val="FF0000"/>
                      <w:spacing w:val="0"/>
                      <w:kern w:val="21"/>
                      <w:sz w:val="21"/>
                      <w:szCs w:val="21"/>
                      <w:highlight w:val="none"/>
                      <w:lang w:val="en-US" w:eastAsia="zh-CN"/>
                    </w:rPr>
                    <w:t>施工结束后，</w:t>
                  </w:r>
                  <w:r>
                    <w:rPr>
                      <w:rFonts w:hint="default" w:ascii="Times New Roman" w:hAnsi="Times New Roman" w:eastAsia="宋体" w:cs="Times New Roman"/>
                      <w:color w:val="FF0000"/>
                      <w:kern w:val="2"/>
                      <w:sz w:val="21"/>
                      <w:szCs w:val="22"/>
                      <w:lang w:val="en-US" w:eastAsia="zh-CN" w:bidi="ar-SA"/>
                    </w:rPr>
                    <w:t>对临时占用土地（井场及进场道路）进行表土留存，分层回填，整平翻松，及时将表土运至场地绿化区及临时占地恢复区使用。</w:t>
                  </w:r>
                </w:p>
                <w:p w14:paraId="10E180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FF0000"/>
                      <w:spacing w:val="0"/>
                      <w:kern w:val="21"/>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⑥</w:t>
                  </w:r>
                  <w:r>
                    <w:rPr>
                      <w:rFonts w:hint="default" w:ascii="Times New Roman" w:hAnsi="Times New Roman" w:eastAsia="宋体" w:cs="Times New Roman"/>
                      <w:color w:val="FF0000"/>
                      <w:kern w:val="2"/>
                      <w:sz w:val="21"/>
                      <w:szCs w:val="22"/>
                      <w:lang w:val="en-US" w:eastAsia="zh-CN" w:bidi="ar-SA"/>
                    </w:rPr>
                    <w:t>根据现场踏勘</w:t>
                  </w:r>
                  <w:r>
                    <w:rPr>
                      <w:rFonts w:hint="eastAsia" w:ascii="Times New Roman" w:hAnsi="Times New Roman" w:eastAsia="宋体" w:cs="Times New Roman"/>
                      <w:color w:val="FF0000"/>
                      <w:kern w:val="2"/>
                      <w:sz w:val="21"/>
                      <w:szCs w:val="22"/>
                      <w:lang w:val="en-US" w:eastAsia="zh-CN" w:bidi="ar-SA"/>
                    </w:rPr>
                    <w:t>，</w:t>
                  </w:r>
                  <w:r>
                    <w:rPr>
                      <w:rFonts w:hint="default" w:ascii="Times New Roman" w:hAnsi="Times New Roman" w:eastAsia="宋体" w:cs="Times New Roman"/>
                      <w:color w:val="FF0000"/>
                      <w:spacing w:val="0"/>
                      <w:kern w:val="21"/>
                      <w:sz w:val="21"/>
                      <w:szCs w:val="21"/>
                      <w:highlight w:val="none"/>
                      <w:lang w:val="en-US" w:eastAsia="zh-CN"/>
                    </w:rPr>
                    <w:t>场地已恢复平整</w:t>
                  </w:r>
                  <w:r>
                    <w:rPr>
                      <w:rFonts w:hint="eastAsia" w:ascii="Times New Roman" w:hAnsi="Times New Roman" w:eastAsia="宋体" w:cs="Times New Roman"/>
                      <w:color w:val="FF0000"/>
                      <w:spacing w:val="0"/>
                      <w:kern w:val="21"/>
                      <w:sz w:val="21"/>
                      <w:szCs w:val="21"/>
                      <w:highlight w:val="none"/>
                      <w:lang w:val="en-US" w:eastAsia="zh-CN"/>
                    </w:rPr>
                    <w:t>，</w:t>
                  </w:r>
                  <w:r>
                    <w:rPr>
                      <w:rFonts w:hint="default" w:ascii="Times New Roman" w:hAnsi="Times New Roman" w:eastAsia="宋体" w:cs="Times New Roman"/>
                      <w:color w:val="FF0000"/>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FF0000"/>
                      <w:spacing w:val="0"/>
                      <w:kern w:val="21"/>
                      <w:sz w:val="21"/>
                      <w:szCs w:val="21"/>
                      <w:highlight w:val="none"/>
                      <w:lang w:val="en-US" w:eastAsia="zh-CN"/>
                    </w:rPr>
                    <w:t>，</w:t>
                  </w:r>
                  <w:r>
                    <w:rPr>
                      <w:rFonts w:hint="default" w:ascii="Times New Roman" w:hAnsi="Times New Roman" w:eastAsia="宋体" w:cs="Times New Roman"/>
                      <w:color w:val="FF0000"/>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FF0000"/>
                      <w:spacing w:val="0"/>
                      <w:kern w:val="21"/>
                      <w:sz w:val="21"/>
                      <w:szCs w:val="21"/>
                      <w:highlight w:val="none"/>
                      <w:lang w:val="en-US" w:eastAsia="zh-CN" w:bidi="ar-SA"/>
                    </w:rPr>
                    <w:t>了</w:t>
                  </w:r>
                  <w:r>
                    <w:rPr>
                      <w:rFonts w:hint="default" w:ascii="Times New Roman" w:hAnsi="Times New Roman" w:eastAsia="宋体" w:cs="Times New Roman"/>
                      <w:color w:val="FF0000"/>
                      <w:spacing w:val="0"/>
                      <w:kern w:val="21"/>
                      <w:sz w:val="21"/>
                      <w:szCs w:val="21"/>
                      <w:highlight w:val="none"/>
                      <w:lang w:val="en-US" w:eastAsia="zh-CN" w:bidi="ar-SA"/>
                    </w:rPr>
                    <w:t>绿化；对施工形成的边坡要采用工程和植物护坡的方式进行治理，提高植被覆盖率，减少水土流失。</w:t>
                  </w:r>
                </w:p>
                <w:p w14:paraId="57E07B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⑦</w:t>
                  </w:r>
                  <w:r>
                    <w:rPr>
                      <w:rFonts w:hint="default" w:ascii="Times New Roman" w:hAnsi="Times New Roman" w:eastAsia="宋体" w:cs="Times New Roman"/>
                      <w:color w:val="FF0000"/>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191344A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180AD4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255CEC6D">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20DB4D0">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9B15B3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265791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66287F7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F65DC6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B5F653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7BAF64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各项措施已按环评及批复要求落实，有效避免了植被破坏、水土流失，生态恢复效果较好。</w:t>
                  </w:r>
                </w:p>
                <w:p w14:paraId="199849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74"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977" w:type="pct"/>
                  <w:tcBorders>
                    <w:tl2br w:val="nil"/>
                    <w:tr2bl w:val="nil"/>
                  </w:tcBorders>
                  <w:vAlign w:val="center"/>
                </w:tcPr>
                <w:p w14:paraId="5FB495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6929A86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1610"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污染影响</w:t>
                  </w:r>
                </w:p>
              </w:tc>
              <w:tc>
                <w:tcPr>
                  <w:tcW w:w="374"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977" w:type="pct"/>
                  <w:tcBorders>
                    <w:tl2br w:val="nil"/>
                    <w:tr2bl w:val="nil"/>
                  </w:tcBorders>
                  <w:shd w:val="clear" w:color="auto" w:fill="auto"/>
                  <w:vAlign w:val="center"/>
                </w:tcPr>
                <w:p w14:paraId="3D7E3C9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54E43E2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0"/>
                      <w:kern w:val="0"/>
                      <w:sz w:val="21"/>
                      <w:szCs w:val="21"/>
                      <w:highlight w:val="none"/>
                    </w:rPr>
                    <w:t>施</w:t>
                  </w:r>
                  <w:r>
                    <w:rPr>
                      <w:rFonts w:hint="default" w:ascii="Times New Roman" w:hAnsi="Times New Roman" w:eastAsia="宋体" w:cs="Times New Roman"/>
                      <w:color w:val="auto"/>
                      <w:spacing w:val="0"/>
                      <w:sz w:val="21"/>
                      <w:szCs w:val="21"/>
                      <w:highlight w:val="none"/>
                    </w:rPr>
                    <w:t>工时钻井废水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试油废水</w:t>
                  </w:r>
                  <w:r>
                    <w:rPr>
                      <w:rFonts w:hint="default" w:ascii="Times New Roman" w:hAnsi="Times New Roman" w:eastAsia="宋体" w:cs="Times New Roman"/>
                      <w:color w:val="auto"/>
                      <w:spacing w:val="0"/>
                      <w:sz w:val="21"/>
                      <w:szCs w:val="21"/>
                      <w:highlight w:val="none"/>
                      <w:lang w:eastAsia="zh-CN"/>
                    </w:rPr>
                    <w:t>和</w:t>
                  </w:r>
                  <w:r>
                    <w:rPr>
                      <w:rFonts w:hint="default" w:ascii="Times New Roman" w:hAnsi="Times New Roman" w:eastAsia="宋体" w:cs="Times New Roman"/>
                      <w:color w:val="auto"/>
                      <w:spacing w:val="0"/>
                      <w:sz w:val="21"/>
                      <w:szCs w:val="21"/>
                      <w:highlight w:val="none"/>
                    </w:rPr>
                    <w:t>措施返排液均运至</w:t>
                  </w:r>
                  <w:r>
                    <w:rPr>
                      <w:rFonts w:hint="default" w:ascii="Times New Roman" w:hAnsi="Times New Roman" w:eastAsia="宋体" w:cs="Times New Roman"/>
                      <w:color w:val="auto"/>
                      <w:spacing w:val="0"/>
                      <w:sz w:val="21"/>
                      <w:szCs w:val="21"/>
                      <w:highlight w:val="none"/>
                      <w:lang w:eastAsia="zh-CN"/>
                    </w:rPr>
                    <w:t>泾河8撬装式水净化站</w:t>
                  </w:r>
                  <w:r>
                    <w:rPr>
                      <w:rFonts w:hint="default" w:ascii="Times New Roman" w:hAnsi="Times New Roman" w:eastAsia="宋体" w:cs="Times New Roman"/>
                      <w:color w:val="auto"/>
                      <w:spacing w:val="0"/>
                      <w:sz w:val="21"/>
                      <w:szCs w:val="21"/>
                      <w:highlight w:val="none"/>
                    </w:rPr>
                    <w:t>处理达标后回注油层，无外排；生活污水沉淀后用于场区洒浇，不外排。井场的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pacing w:val="0"/>
                      <w:sz w:val="21"/>
                      <w:szCs w:val="21"/>
                      <w:highlight w:val="none"/>
                    </w:rPr>
                    <w:t>防渗布接口处应予以粘结；防渗布出现破损，应及时更换或补漏</w:t>
                  </w:r>
                  <w:r>
                    <w:rPr>
                      <w:rFonts w:hint="default" w:ascii="Times New Roman" w:hAnsi="Times New Roman" w:eastAsia="宋体" w:cs="Times New Roman"/>
                      <w:color w:val="auto"/>
                      <w:spacing w:val="0"/>
                      <w:sz w:val="21"/>
                      <w:szCs w:val="21"/>
                      <w:highlight w:val="none"/>
                      <w:lang w:eastAsia="zh-CN"/>
                    </w:rPr>
                    <w:t>；防渗布</w:t>
                  </w:r>
                  <w:r>
                    <w:rPr>
                      <w:rFonts w:hint="default" w:ascii="Times New Roman" w:hAnsi="Times New Roman" w:eastAsia="宋体" w:cs="Times New Roman"/>
                      <w:color w:val="auto"/>
                      <w:spacing w:val="0"/>
                      <w:sz w:val="21"/>
                      <w:szCs w:val="21"/>
                      <w:highlight w:val="none"/>
                    </w:rPr>
                    <w:t>四周</w:t>
                  </w:r>
                  <w:r>
                    <w:rPr>
                      <w:rFonts w:hint="default" w:ascii="Times New Roman" w:hAnsi="Times New Roman" w:eastAsia="宋体" w:cs="Times New Roman"/>
                      <w:color w:val="auto"/>
                      <w:spacing w:val="0"/>
                      <w:sz w:val="21"/>
                      <w:szCs w:val="21"/>
                      <w:highlight w:val="none"/>
                      <w:lang w:eastAsia="zh-CN"/>
                    </w:rPr>
                    <w:t>设置</w:t>
                  </w:r>
                  <w:r>
                    <w:rPr>
                      <w:rFonts w:hint="default" w:ascii="Times New Roman" w:hAnsi="Times New Roman" w:eastAsia="宋体" w:cs="Times New Roman"/>
                      <w:color w:val="auto"/>
                      <w:spacing w:val="0"/>
                      <w:sz w:val="21"/>
                      <w:szCs w:val="21"/>
                      <w:highlight w:val="none"/>
                      <w:lang w:val="en-US" w:eastAsia="zh-CN"/>
                    </w:rPr>
                    <w:t>20c</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lang w:eastAsia="zh-CN"/>
                    </w:rPr>
                    <w:t>高</w:t>
                  </w:r>
                  <w:r>
                    <w:rPr>
                      <w:rFonts w:hint="default" w:ascii="Times New Roman" w:hAnsi="Times New Roman" w:eastAsia="宋体" w:cs="Times New Roman"/>
                      <w:color w:val="auto"/>
                      <w:spacing w:val="0"/>
                      <w:sz w:val="21"/>
                      <w:szCs w:val="21"/>
                      <w:highlight w:val="none"/>
                    </w:rPr>
                    <w:t>的围堰。</w:t>
                  </w:r>
                </w:p>
              </w:tc>
              <w:tc>
                <w:tcPr>
                  <w:tcW w:w="1610"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CE1B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val="en-US" w:eastAsia="zh-CN"/>
                    </w:rPr>
                    <w:t>（1）本项目</w:t>
                  </w:r>
                  <w:r>
                    <w:rPr>
                      <w:rFonts w:hint="default" w:ascii="Times New Roman" w:hAnsi="Times New Roman" w:eastAsia="宋体" w:cs="Times New Roman"/>
                      <w:color w:val="auto"/>
                      <w:sz w:val="21"/>
                      <w:szCs w:val="21"/>
                      <w:lang w:val="en-US" w:eastAsia="zh-CN"/>
                    </w:rPr>
                    <w:t>试油废水、井下作业废水循环利用，选用无毒无害压裂液；</w:t>
                  </w:r>
                  <w:r>
                    <w:rPr>
                      <w:rFonts w:hint="default" w:ascii="Times New Roman" w:hAnsi="Times New Roman" w:eastAsia="宋体" w:cs="Times New Roman"/>
                      <w:bCs/>
                      <w:color w:val="auto"/>
                      <w:spacing w:val="0"/>
                      <w:sz w:val="21"/>
                      <w:szCs w:val="21"/>
                      <w:highlight w:val="none"/>
                      <w:lang w:val="en-US" w:eastAsia="zh-CN"/>
                    </w:rPr>
                    <w:t>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default" w:ascii="Times New Roman" w:hAnsi="Times New Roman" w:eastAsia="宋体" w:cs="Times New Roman"/>
                      <w:color w:val="auto"/>
                      <w:sz w:val="21"/>
                      <w:szCs w:val="21"/>
                      <w:highlight w:val="none"/>
                      <w:lang w:val="en-US" w:eastAsia="zh-CN" w:bidi="ar-SA"/>
                    </w:rPr>
                    <w:t>，废水不外排；生活污水收集沉淀后用于站场浇洒。井场营地内设置的移动式环保厕所，定期清掏用作农肥。</w:t>
                  </w:r>
                  <w:r>
                    <w:rPr>
                      <w:rFonts w:hint="default" w:ascii="Times New Roman" w:hAnsi="Times New Roman" w:eastAsia="宋体" w:cs="Times New Roman"/>
                      <w:color w:val="auto"/>
                      <w:spacing w:val="0"/>
                      <w:sz w:val="21"/>
                      <w:szCs w:val="21"/>
                      <w:highlight w:val="none"/>
                    </w:rPr>
                    <w:t>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z w:val="21"/>
                      <w:szCs w:val="21"/>
                      <w:highlight w:val="none"/>
                      <w:lang w:val="en-US" w:eastAsia="zh-CN" w:bidi="ar-SA"/>
                    </w:rPr>
                    <w:t>厂区内雨水有效收集，未外排；</w:t>
                  </w:r>
                  <w:r>
                    <w:rPr>
                      <w:rFonts w:hint="default" w:ascii="Times New Roman" w:hAnsi="Times New Roman" w:eastAsia="宋体" w:cs="Times New Roman"/>
                      <w:color w:val="auto"/>
                      <w:spacing w:val="0"/>
                      <w:sz w:val="21"/>
                      <w:szCs w:val="21"/>
                      <w:highlight w:val="none"/>
                    </w:rPr>
                    <w:t>防渗布接口处予以粘结；防渗布出现破损，及时更换或补漏</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SA"/>
                    </w:rPr>
                    <w:t>施工过程无事故废水产生。</w:t>
                  </w:r>
                  <w:r>
                    <w:rPr>
                      <w:rFonts w:hint="default"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eastAsia="宋体" w:cs="Times New Roman"/>
                      <w:color w:val="auto"/>
                      <w:sz w:val="21"/>
                      <w:szCs w:val="21"/>
                      <w:highlight w:val="none"/>
                      <w:lang w:val="en-US" w:eastAsia="zh-CN" w:bidi="ar-SA"/>
                    </w:rPr>
                    <w:t>。</w:t>
                  </w:r>
                </w:p>
                <w:p w14:paraId="73A5DDC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防渗布四周设20cm高围堰，防止含油污水渗漏；设置收集贮存设施及时回收落地原油；未掩埋试油作业中散落的原油和油水混合物。</w:t>
                  </w:r>
                </w:p>
                <w:p w14:paraId="07B1770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1"/>
                      <w:highlight w:val="none"/>
                      <w:lang w:val="en-US" w:eastAsia="zh-CN"/>
                    </w:rPr>
                    <w:t>根据现场调查，施工期无遗留废水污染问题，未发现公众举报现象。</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0"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374"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977" w:type="pct"/>
                  <w:tcBorders>
                    <w:tl2br w:val="nil"/>
                    <w:tr2bl w:val="nil"/>
                  </w:tcBorders>
                  <w:shd w:val="clear" w:color="auto" w:fill="auto"/>
                  <w:vAlign w:val="center"/>
                </w:tcPr>
                <w:p w14:paraId="345C3F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488A1720">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落实废水收集池的雨污分流和防渗漏等措施，防止废水外溢、渗漏；加强各类废水收集、暂存及运输过程中的环境管理，实施全过程监控，避免违规排放，并采取有效措施，防止产生二次污染。钻井前应当在防渗布周围设置不低于80cm的砖混围墙。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610"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0"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74"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977" w:type="pct"/>
                  <w:tcBorders>
                    <w:tl2br w:val="nil"/>
                    <w:tr2bl w:val="nil"/>
                  </w:tcBorders>
                  <w:shd w:val="clear" w:color="auto" w:fill="auto"/>
                  <w:vAlign w:val="top"/>
                </w:tcPr>
                <w:p w14:paraId="31F59CF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7D632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施工扬尘：井场洒水抑尘，表土及建材堆放设置挡板、上覆遮盖材料，施工运输车辆采取密闭措施或加盖防尘布，临时道路配备洒水车定期洒水抑尘；</w:t>
                  </w:r>
                </w:p>
                <w:p w14:paraId="3265B5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柴油发电机燃烧烟气：选用环保型柴油发电机，使用优质轻柴油，简易排气筒排放；排气管朝向避开农户分布及项目区工作人员办公生活的方位；</w:t>
                  </w:r>
                </w:p>
                <w:p w14:paraId="7CB5D2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伴生气：少量试油伴生气逸散；</w:t>
                  </w:r>
                </w:p>
              </w:tc>
              <w:tc>
                <w:tcPr>
                  <w:tcW w:w="1610" w:type="pct"/>
                  <w:vMerge w:val="restart"/>
                  <w:tcBorders>
                    <w:tl2br w:val="nil"/>
                    <w:tr2bl w:val="nil"/>
                  </w:tcBorders>
                  <w:shd w:val="clear" w:color="auto" w:fill="auto"/>
                  <w:vAlign w:val="center"/>
                </w:tcPr>
                <w:p w14:paraId="2EC23F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（1）开挖土方过程避开了大风天气，本项目未产生</w:t>
                  </w:r>
                  <w:r>
                    <w:rPr>
                      <w:rFonts w:hint="default" w:ascii="Times New Roman" w:hAnsi="Times New Roman" w:eastAsia="宋体" w:cs="Times New Roman"/>
                      <w:color w:val="auto"/>
                      <w:sz w:val="21"/>
                      <w:szCs w:val="21"/>
                      <w:lang w:val="en-US" w:eastAsia="zh-CN"/>
                    </w:rPr>
                    <w:t>弃土、弃渣及</w:t>
                  </w:r>
                  <w:r>
                    <w:rPr>
                      <w:rFonts w:hint="default" w:ascii="Times New Roman" w:hAnsi="Times New Roman" w:eastAsia="宋体" w:cs="Times New Roman"/>
                      <w:color w:val="auto"/>
                      <w:spacing w:val="0"/>
                      <w:sz w:val="21"/>
                      <w:szCs w:val="21"/>
                      <w:highlight w:val="none"/>
                    </w:rPr>
                    <w:t>抛撒料、渣</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运输车辆加盖篷布，对施工道路、井场进行适量洒水，以降低扬尘。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采用了燃烧效率高的柴油机以及含硫量低的柴油，减少了污染物排放；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少量试油伴生气逸散；本项目试油过程中无井喷事故发生。</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钻前阶段制定了合理的施工方案和进出场路线，严格控制作业范围，尽量减少工程占地和对地表扰动，在敏感目标一侧建设减震沟。施工过程中未对居民造成影响，无补偿等工作。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default" w:ascii="Times New Roman" w:hAnsi="Times New Roman" w:eastAsia="宋体" w:cs="Times New Roman"/>
                      <w:color w:val="auto"/>
                      <w:sz w:val="21"/>
                      <w:szCs w:val="21"/>
                      <w:highlight w:val="none"/>
                      <w:lang w:eastAsia="zh-CN"/>
                    </w:rPr>
                    <w:t>有效降低了施工废气对周围环境的影响，且其影响随着施工结束而消失</w:t>
                  </w:r>
                  <w:r>
                    <w:rPr>
                      <w:rFonts w:hint="default" w:ascii="Times New Roman" w:hAnsi="Times New Roman" w:eastAsia="宋体" w:cs="Times New Roman"/>
                      <w:color w:val="auto"/>
                      <w:sz w:val="21"/>
                      <w:szCs w:val="21"/>
                      <w:highlight w:val="none"/>
                      <w:lang w:val="en-US" w:eastAsia="zh-CN"/>
                    </w:rPr>
                    <w:t>。</w:t>
                  </w:r>
                </w:p>
                <w:p w14:paraId="6CCF11C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根据现场调查，施工期无遗留扬尘污染问题，未发现公众举报现象。</w:t>
                  </w:r>
                </w:p>
              </w:tc>
              <w:tc>
                <w:tcPr>
                  <w:tcW w:w="415" w:type="pct"/>
                  <w:vMerge w:val="restart"/>
                  <w:tcBorders>
                    <w:tl2br w:val="nil"/>
                    <w:tr2bl w:val="nil"/>
                  </w:tcBorders>
                  <w:shd w:val="clear" w:color="auto" w:fill="auto"/>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各项措施已按环评及批复要求落实，有效降低了对大气环境的影响。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74"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977" w:type="pct"/>
                  <w:tcBorders>
                    <w:tl2br w:val="nil"/>
                    <w:tr2bl w:val="nil"/>
                  </w:tcBorders>
                  <w:shd w:val="clear" w:color="auto" w:fill="auto"/>
                  <w:vAlign w:val="top"/>
                </w:tcPr>
                <w:p w14:paraId="283734F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79975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w:t>
                  </w:r>
                </w:p>
              </w:tc>
              <w:tc>
                <w:tcPr>
                  <w:tcW w:w="1610"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374"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977" w:type="pct"/>
                  <w:tcBorders>
                    <w:tl2br w:val="nil"/>
                    <w:tr2bl w:val="nil"/>
                  </w:tcBorders>
                  <w:shd w:val="clear" w:color="auto" w:fill="auto"/>
                  <w:vAlign w:val="center"/>
                </w:tcPr>
                <w:p w14:paraId="7D77F16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6CED8C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选用低噪声机械设备或自带隔声、消声的设备，做好施工机械的维护和保养</w:t>
                  </w:r>
                  <w:r>
                    <w:rPr>
                      <w:rFonts w:hint="default" w:ascii="Times New Roman" w:hAnsi="Times New Roman" w:eastAsia="宋体" w:cs="Times New Roman"/>
                      <w:color w:val="auto"/>
                      <w:spacing w:val="0"/>
                      <w:sz w:val="21"/>
                      <w:szCs w:val="21"/>
                      <w:highlight w:val="none"/>
                      <w:lang w:eastAsia="zh-CN"/>
                    </w:rPr>
                    <w:t>；合理安排施工机械的工作频次、时限、合理调整行车密度。</w:t>
                  </w:r>
                </w:p>
              </w:tc>
              <w:tc>
                <w:tcPr>
                  <w:tcW w:w="1610" w:type="pct"/>
                  <w:vMerge w:val="restart"/>
                  <w:tcBorders>
                    <w:tl2br w:val="nil"/>
                    <w:tr2bl w:val="nil"/>
                  </w:tcBorders>
                  <w:shd w:val="clear" w:color="auto" w:fill="auto"/>
                  <w:vAlign w:val="center"/>
                </w:tcPr>
                <w:p w14:paraId="129254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2453C1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采用低噪声、低振动的设备与合理的施工方式进行施工，</w:t>
                  </w:r>
                  <w:r>
                    <w:rPr>
                      <w:rFonts w:hint="default" w:ascii="Times New Roman" w:hAnsi="Times New Roman" w:eastAsia="宋体" w:cs="Times New Roman"/>
                      <w:color w:val="auto"/>
                      <w:sz w:val="21"/>
                      <w:szCs w:val="21"/>
                      <w:highlight w:val="none"/>
                      <w:lang w:val="en-US" w:eastAsia="zh-CN"/>
                    </w:rPr>
                    <w:t>对施工机械采取隔声、降噪措施，</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。其影响会随着施工结束而消失。根据现场调查，施工期无遗留噪声污染问题，未发现公众举报现象。</w:t>
                  </w:r>
                </w:p>
              </w:tc>
              <w:tc>
                <w:tcPr>
                  <w:tcW w:w="415" w:type="pct"/>
                  <w:vMerge w:val="restart"/>
                  <w:tcBorders>
                    <w:tl2br w:val="nil"/>
                    <w:tr2bl w:val="nil"/>
                  </w:tcBorders>
                  <w:shd w:val="clear" w:color="auto" w:fill="auto"/>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80"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374"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977" w:type="pct"/>
                  <w:tcBorders>
                    <w:tl2br w:val="nil"/>
                    <w:tr2bl w:val="nil"/>
                  </w:tcBorders>
                  <w:shd w:val="clear" w:color="auto" w:fill="auto"/>
                  <w:vAlign w:val="center"/>
                </w:tcPr>
                <w:p w14:paraId="12A636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20CC91B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lang w:val="en-US" w:eastAsia="zh-CN" w:bidi="ar-SA"/>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1610"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0"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374"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1977" w:type="pct"/>
                  <w:tcBorders>
                    <w:tl2br w:val="nil"/>
                    <w:tr2bl w:val="nil"/>
                  </w:tcBorders>
                  <w:shd w:val="clear" w:color="auto" w:fill="auto"/>
                  <w:vAlign w:val="center"/>
                </w:tcPr>
                <w:p w14:paraId="5B10AF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4CF4BD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钻井废弃泥浆、一般岩屑全部进入泥浆罐</w:t>
                  </w:r>
                  <w:r>
                    <w:rPr>
                      <w:rFonts w:hint="default" w:ascii="Times New Roman" w:hAnsi="Times New Roman" w:eastAsia="宋体" w:cs="Times New Roman"/>
                      <w:color w:val="auto"/>
                      <w:spacing w:val="0"/>
                      <w:sz w:val="21"/>
                      <w:szCs w:val="21"/>
                      <w:highlight w:val="none"/>
                      <w:lang w:val="en-US" w:eastAsia="zh-CN"/>
                    </w:rPr>
                    <w:t>采用“不落地收集+板框压滤”工艺，不落地处理振动筛筛选出的颗粒类岩石质固相和板框压滤机处理后产生的固相，处置达标后可集中填埋或制作烧结砖等资源化综合利用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废弃原材料、废包装材料、生活垃圾要采用单独的防渗坑存放；设置生活垃圾箱（桶），钻井结束后及时清运至指定地点处置。</w:t>
                  </w:r>
                </w:p>
              </w:tc>
              <w:tc>
                <w:tcPr>
                  <w:tcW w:w="1610" w:type="pct"/>
                  <w:vMerge w:val="restart"/>
                  <w:tcBorders>
                    <w:tl2br w:val="nil"/>
                    <w:tr2bl w:val="nil"/>
                  </w:tcBorders>
                  <w:vAlign w:val="center"/>
                </w:tcPr>
                <w:p w14:paraId="73B8EA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AF693ED">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采用“下铺上盖”方式；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；废弃防渗布（未受污染）、废弃纯碱、膨润土等包装袋由钻井施工单位（五普40837HB）处置；</w:t>
                  </w:r>
                  <w:r>
                    <w:rPr>
                      <w:rFonts w:hint="default" w:ascii="Times New Roman" w:hAnsi="Times New Roman" w:eastAsia="宋体" w:cs="Times New Roman"/>
                      <w:color w:val="auto"/>
                      <w:sz w:val="21"/>
                      <w:szCs w:val="21"/>
                      <w:highlight w:val="none"/>
                      <w:lang w:val="en-US" w:eastAsia="zh-CN" w:bidi="ar-SA"/>
                    </w:rPr>
                    <w:t>废过硫酸钾包装袋、废弃防渗布（沾落地油）、落地油、废含油抹布、含油岩屑</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kern w:val="21"/>
                      <w:sz w:val="21"/>
                      <w:szCs w:val="21"/>
                      <w:highlight w:val="none"/>
                      <w:lang w:val="en-US" w:eastAsia="zh-CN" w:bidi="ar-SA"/>
                    </w:rPr>
                    <w:t>委托</w:t>
                  </w:r>
                  <w:r>
                    <w:rPr>
                      <w:rFonts w:hint="default" w:ascii="Times New Roman" w:hAnsi="Times New Roman" w:eastAsia="宋体" w:cs="Times New Roman"/>
                      <w:color w:val="auto"/>
                      <w:spacing w:val="0"/>
                      <w:sz w:val="21"/>
                      <w:szCs w:val="21"/>
                      <w:highlight w:val="none"/>
                      <w:lang w:val="en-US" w:eastAsia="zh-CN"/>
                    </w:rPr>
                    <w:t>庆阳丰泰环保有限责任公司进行安全处置</w:t>
                  </w:r>
                  <w:r>
                    <w:rPr>
                      <w:rFonts w:hint="default" w:ascii="Times New Roman" w:hAnsi="Times New Roman" w:eastAsia="宋体" w:cs="Times New Roman"/>
                      <w:color w:val="auto"/>
                      <w:spacing w:val="0"/>
                      <w:kern w:val="21"/>
                      <w:sz w:val="21"/>
                      <w:szCs w:val="21"/>
                      <w:highlight w:val="none"/>
                      <w:lang w:val="en-US" w:eastAsia="zh-CN" w:bidi="ar-SA"/>
                    </w:rPr>
                    <w:t>；未产生废机油、废润滑油及建筑垃圾；施工场地设置生活垃圾箱（桶），经收集后交由就近的生活垃圾中转站处置。建立了管理台账及转移联单，未产生二次污染。</w:t>
                  </w:r>
                </w:p>
                <w:p w14:paraId="594665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both"/>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（2）钻井、固井辅料、添加剂等应当集中堆放，并做好防雨淋、防渗漏、防泄漏等措施，泥浆、岩屑收集处置措施等布设远离沟坎边。</w:t>
                  </w:r>
                </w:p>
                <w:p w14:paraId="6D4F51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根据现场调查，施工期无遗留生活垃圾污染问题，未发现公众举报现象。</w:t>
                  </w:r>
                </w:p>
              </w:tc>
              <w:tc>
                <w:tcPr>
                  <w:tcW w:w="415" w:type="pct"/>
                  <w:vMerge w:val="restart"/>
                  <w:tcBorders>
                    <w:tl2br w:val="nil"/>
                    <w:tr2bl w:val="nil"/>
                  </w:tcBorders>
                  <w:vAlign w:val="center"/>
                </w:tcPr>
                <w:p w14:paraId="5243E4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80868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73692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374"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1977" w:type="pct"/>
                  <w:tcBorders>
                    <w:tl2br w:val="nil"/>
                    <w:tr2bl w:val="nil"/>
                  </w:tcBorders>
                  <w:shd w:val="clear" w:color="auto" w:fill="auto"/>
                  <w:vAlign w:val="center"/>
                </w:tcPr>
                <w:p w14:paraId="146A64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207B7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固废污染防治工作。钻井废弃泥浆、一般岩屑全部进入泥浆罐采用不落地收集+板框压滤工艺处理后产生的固相(含水率不得大于60%，pH为6~9)集中填埋或制作烧结砖资源化综合利用：生活垃圾统一收集运输至环卫部门指定地点处置，含油压裂砂、含油岩屑、废防渗布、落地油、废机油等危险废物分类暂存在场地，并建立管理台账及转移联单，定期委托有资质的单位进行安全处置。</w:t>
                  </w:r>
                </w:p>
                <w:p w14:paraId="2BCB26B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c>
                <w:tcPr>
                  <w:tcW w:w="1610"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180"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374"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977" w:type="pct"/>
                  <w:tcBorders>
                    <w:tl2br w:val="nil"/>
                    <w:tr2bl w:val="nil"/>
                  </w:tcBorders>
                  <w:shd w:val="clear" w:color="auto" w:fill="auto"/>
                  <w:vAlign w:val="center"/>
                </w:tcPr>
                <w:p w14:paraId="001AE4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cs="Times New Roman" w:eastAsiaTheme="minorEastAsia"/>
                      <w:b/>
                      <w:bCs/>
                      <w:color w:val="auto"/>
                      <w:sz w:val="21"/>
                      <w:szCs w:val="21"/>
                      <w:highlight w:val="none"/>
                      <w:lang w:val="en-US" w:eastAsia="zh-CN"/>
                    </w:rPr>
                  </w:pPr>
                  <w:r>
                    <w:rPr>
                      <w:rFonts w:hint="default" w:ascii="Times New Roman" w:hAnsi="Times New Roman" w:cs="Times New Roman" w:eastAsiaTheme="minorEastAsia"/>
                      <w:b/>
                      <w:bCs/>
                      <w:color w:val="auto"/>
                      <w:sz w:val="21"/>
                      <w:szCs w:val="21"/>
                      <w:highlight w:val="none"/>
                      <w:lang w:val="en-US" w:eastAsia="zh-CN"/>
                    </w:rPr>
                    <w:t>环评报告中要求的环保措施：</w:t>
                  </w:r>
                </w:p>
                <w:p w14:paraId="651784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eastAsia="zh-CN"/>
                    </w:rPr>
                    <w:t>井场周围设置不低于</w:t>
                  </w:r>
                  <w:r>
                    <w:rPr>
                      <w:rFonts w:hint="default" w:ascii="Times New Roman" w:hAnsi="Times New Roman" w:cs="Times New Roman" w:eastAsiaTheme="minorEastAsia"/>
                      <w:color w:val="auto"/>
                      <w:spacing w:val="0"/>
                      <w:sz w:val="21"/>
                      <w:szCs w:val="21"/>
                      <w:highlight w:val="none"/>
                      <w:lang w:val="en-US" w:eastAsia="zh-CN"/>
                    </w:rPr>
                    <w:t>20cm高围堰；井场钻井设备摆放处、循环水利用设施、</w:t>
                  </w:r>
                  <w:r>
                    <w:rPr>
                      <w:rFonts w:hint="default" w:ascii="Times New Roman" w:hAnsi="Times New Roman" w:cs="Times New Roman" w:eastAsiaTheme="minorEastAsia"/>
                      <w:color w:val="auto"/>
                      <w:spacing w:val="0"/>
                      <w:sz w:val="21"/>
                      <w:szCs w:val="21"/>
                      <w:highlight w:val="none"/>
                      <w:lang w:eastAsia="zh-CN"/>
                    </w:rPr>
                    <w:t>泥浆不落地处理设施、围堰</w:t>
                  </w:r>
                  <w:r>
                    <w:rPr>
                      <w:rFonts w:hint="default" w:ascii="Times New Roman" w:hAnsi="Times New Roman" w:cs="Times New Roman" w:eastAsiaTheme="minorEastAsia"/>
                      <w:color w:val="auto"/>
                      <w:spacing w:val="0"/>
                      <w:sz w:val="21"/>
                      <w:szCs w:val="21"/>
                      <w:highlight w:val="none"/>
                      <w:lang w:val="en-US" w:eastAsia="zh-CN"/>
                    </w:rPr>
                    <w:t>等采取防渗漏措施；井场内的雨水池采取一般防渗措施，应急池采取重点防渗措施。</w:t>
                  </w:r>
                </w:p>
              </w:tc>
              <w:tc>
                <w:tcPr>
                  <w:tcW w:w="1610" w:type="pct"/>
                  <w:vMerge w:val="restart"/>
                  <w:tcBorders>
                    <w:tl2br w:val="nil"/>
                    <w:tr2bl w:val="nil"/>
                  </w:tcBorders>
                  <w:vAlign w:val="center"/>
                </w:tcPr>
                <w:p w14:paraId="3B7F7F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已</w:t>
                  </w:r>
                  <w:r>
                    <w:rPr>
                      <w:rFonts w:hint="default" w:ascii="Times New Roman" w:hAnsi="Times New Roman" w:cs="Times New Roman" w:eastAsiaTheme="minorEastAsia"/>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eastAsia="zh-CN"/>
                    </w:rPr>
                    <w:t>（</w:t>
                  </w:r>
                  <w:r>
                    <w:rPr>
                      <w:rFonts w:hint="default" w:ascii="Times New Roman" w:hAnsi="Times New Roman" w:cs="Times New Roman" w:eastAsiaTheme="minorEastAsia"/>
                      <w:color w:val="auto"/>
                      <w:spacing w:val="0"/>
                      <w:sz w:val="21"/>
                      <w:szCs w:val="21"/>
                      <w:highlight w:val="none"/>
                      <w:lang w:val="en-US" w:eastAsia="zh-CN"/>
                    </w:rPr>
                    <w:t>1</w:t>
                  </w:r>
                  <w:r>
                    <w:rPr>
                      <w:rFonts w:hint="default" w:ascii="Times New Roman" w:hAnsi="Times New Roman" w:cs="Times New Roman" w:eastAsiaTheme="minorEastAsia"/>
                      <w:color w:val="auto"/>
                      <w:spacing w:val="0"/>
                      <w:sz w:val="21"/>
                      <w:szCs w:val="21"/>
                      <w:highlight w:val="none"/>
                      <w:lang w:eastAsia="zh-CN"/>
                    </w:rPr>
                    <w:t>）</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cs="Times New Roman" w:eastAsiaTheme="minorEastAsia"/>
                      <w:color w:val="auto"/>
                      <w:spacing w:val="0"/>
                      <w:sz w:val="21"/>
                      <w:szCs w:val="21"/>
                      <w:highlight w:val="none"/>
                      <w:lang w:val="en-US" w:eastAsia="zh-CN"/>
                    </w:rPr>
                    <w:t>；井场钻井设备摆放处、循环水利用设施、</w:t>
                  </w:r>
                  <w:r>
                    <w:rPr>
                      <w:rFonts w:hint="default" w:ascii="Times New Roman" w:hAnsi="Times New Roman" w:cs="Times New Roman" w:eastAsiaTheme="minorEastAsia"/>
                      <w:color w:val="auto"/>
                      <w:spacing w:val="0"/>
                      <w:sz w:val="21"/>
                      <w:szCs w:val="21"/>
                      <w:highlight w:val="none"/>
                      <w:lang w:eastAsia="zh-CN"/>
                    </w:rPr>
                    <w:t>泥浆不落地处理设施、围堰</w:t>
                  </w:r>
                  <w:r>
                    <w:rPr>
                      <w:rFonts w:hint="default" w:ascii="Times New Roman" w:hAnsi="Times New Roman" w:cs="Times New Roman" w:eastAsiaTheme="minorEastAsia"/>
                      <w:color w:val="auto"/>
                      <w:spacing w:val="0"/>
                      <w:sz w:val="21"/>
                      <w:szCs w:val="21"/>
                      <w:highlight w:val="none"/>
                      <w:lang w:val="en-US" w:eastAsia="zh-CN"/>
                    </w:rPr>
                    <w:t>等采取防渗漏措施；井场内的雨水池采取一般防渗措施，应急池采取重点防渗措施。</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bidi="ar-SA"/>
                    </w:rPr>
                    <w:t>（2）施工期安装井控装置，防止井喷；加强各类储罐的储存管理，罐区均采用防渗措施，四周设置围堰；同时加强施工期间风险管理，井场布置按照《钻前工程及井场布置技术要求》的规定进行了设置；项目</w:t>
                  </w:r>
                  <w:r>
                    <w:rPr>
                      <w:rFonts w:hint="default" w:ascii="Times New Roman" w:hAnsi="Times New Roman" w:eastAsia="宋体" w:cs="Times New Roman"/>
                      <w:color w:val="auto"/>
                      <w:sz w:val="21"/>
                      <w:szCs w:val="21"/>
                      <w:highlight w:val="none"/>
                      <w:lang w:eastAsia="zh-CN"/>
                    </w:rPr>
                    <w:t>周边地下水、土壤等的</w:t>
                  </w:r>
                  <w:r>
                    <w:rPr>
                      <w:rFonts w:hint="default"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21CB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3）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并于2023年1月11日取得了庆阳市生态环境局宁县分局备案文件（见附件），并按该预案中相关应急措施进行定期演练。</w:t>
                  </w:r>
                  <w:r>
                    <w:rPr>
                      <w:rFonts w:hint="default" w:ascii="Times New Roman" w:hAnsi="Times New Roman" w:eastAsia="宋体" w:cs="Times New Roman"/>
                      <w:color w:val="auto"/>
                      <w:sz w:val="21"/>
                      <w:szCs w:val="21"/>
                      <w:highlight w:val="none"/>
                      <w:lang w:val="en-US" w:eastAsia="zh-CN"/>
                    </w:rPr>
                    <w:t>该应急预案修编日期为2026年1月11日，在本项目验收时间范围内。</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60571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bookmarkStart w:id="21" w:name="_GoBack"/>
                  <w:bookmarkEnd w:id="21"/>
                </w:p>
                <w:p w14:paraId="66F791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180"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374"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977" w:type="pct"/>
                  <w:tcBorders>
                    <w:tl2br w:val="nil"/>
                    <w:tr2bl w:val="nil"/>
                  </w:tcBorders>
                  <w:shd w:val="clear" w:color="auto" w:fill="auto"/>
                  <w:vAlign w:val="center"/>
                </w:tcPr>
                <w:p w14:paraId="019DB7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63FD23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tc>
              <w:tc>
                <w:tcPr>
                  <w:tcW w:w="1610"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816"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社会影响</w:t>
                  </w:r>
                </w:p>
              </w:tc>
              <w:tc>
                <w:tcPr>
                  <w:tcW w:w="1977"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1610"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rPr>
                    <w:t>生态影响</w:t>
                  </w:r>
                </w:p>
              </w:tc>
              <w:tc>
                <w:tcPr>
                  <w:tcW w:w="374"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977"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1610"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rPr>
                    <w:t>污染影响</w:t>
                  </w:r>
                </w:p>
              </w:tc>
              <w:tc>
                <w:tcPr>
                  <w:tcW w:w="374"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977" w:type="pct"/>
                  <w:tcBorders>
                    <w:tl2br w:val="nil"/>
                    <w:tr2bl w:val="nil"/>
                  </w:tcBorders>
                  <w:shd w:val="clear" w:color="auto" w:fill="auto"/>
                  <w:vAlign w:val="center"/>
                </w:tcPr>
                <w:p w14:paraId="11F2E7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7DA8CE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本项目为石油勘探井的钻井工程，使用功能为石油勘探、完井并测试，不涉及运营期。</w:t>
                  </w:r>
                </w:p>
              </w:tc>
              <w:tc>
                <w:tcPr>
                  <w:tcW w:w="1610" w:type="pct"/>
                  <w:tcBorders>
                    <w:tl2br w:val="nil"/>
                    <w:tr2bl w:val="nil"/>
                  </w:tcBorders>
                  <w:shd w:val="clear" w:color="auto" w:fill="auto"/>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目前，井场已探出油，后续转入生产井。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0"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374"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977" w:type="pct"/>
                  <w:tcBorders>
                    <w:tl2br w:val="nil"/>
                    <w:tr2bl w:val="nil"/>
                  </w:tcBorders>
                  <w:shd w:val="clear" w:color="auto" w:fill="auto"/>
                  <w:vAlign w:val="center"/>
                </w:tcPr>
                <w:p w14:paraId="188C9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0000FF"/>
                      <w:sz w:val="21"/>
                      <w:szCs w:val="21"/>
                      <w:highlight w:val="none"/>
                      <w:lang w:val="en-US" w:eastAsia="zh-CN"/>
                    </w:rPr>
                  </w:pPr>
                  <w:r>
                    <w:rPr>
                      <w:rFonts w:hint="default" w:ascii="Times New Roman" w:hAnsi="Times New Roman" w:eastAsia="宋体" w:cs="Times New Roman"/>
                      <w:b/>
                      <w:bCs/>
                      <w:color w:val="0000FF"/>
                      <w:sz w:val="21"/>
                      <w:szCs w:val="21"/>
                      <w:highlight w:val="none"/>
                      <w:lang w:val="en-US" w:eastAsia="zh-CN"/>
                    </w:rPr>
                    <w:t>环评审批文件要求的风险防范措施：</w:t>
                  </w:r>
                </w:p>
                <w:p w14:paraId="433AE8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0000FF"/>
                      <w:sz w:val="21"/>
                      <w:szCs w:val="21"/>
                      <w:highlight w:val="none"/>
                      <w:lang w:val="en-US" w:eastAsia="zh-CN" w:bidi="ar-SA"/>
                    </w:rPr>
                  </w:pPr>
                  <w:r>
                    <w:rPr>
                      <w:rFonts w:hint="eastAsia" w:ascii="Times New Roman" w:hAnsi="Times New Roman" w:eastAsia="宋体" w:cs="Times New Roman"/>
                      <w:color w:val="0000FF"/>
                      <w:sz w:val="21"/>
                      <w:szCs w:val="21"/>
                      <w:highlight w:val="none"/>
                      <w:lang w:val="en-US" w:eastAsia="zh-CN" w:bidi="ar-SA"/>
                    </w:rPr>
                    <w:t>/</w:t>
                  </w:r>
                </w:p>
              </w:tc>
              <w:tc>
                <w:tcPr>
                  <w:tcW w:w="1610" w:type="pct"/>
                  <w:tcBorders>
                    <w:tl2br w:val="nil"/>
                    <w:tr2bl w:val="nil"/>
                  </w:tcBorders>
                  <w:shd w:val="clear" w:color="auto" w:fill="auto"/>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0000FF"/>
                      <w:sz w:val="21"/>
                      <w:szCs w:val="21"/>
                      <w:highlight w:val="none"/>
                      <w:lang w:val="en-US" w:eastAsia="zh-CN" w:bidi="ar-SA"/>
                    </w:rPr>
                  </w:pPr>
                  <w:r>
                    <w:rPr>
                      <w:rFonts w:hint="eastAsia" w:ascii="Times New Roman" w:hAnsi="Times New Roman" w:eastAsia="宋体" w:cs="Times New Roman"/>
                      <w:color w:val="0000FF"/>
                      <w:sz w:val="21"/>
                      <w:szCs w:val="21"/>
                      <w:highlight w:val="none"/>
                      <w:lang w:val="en-US" w:eastAsia="zh-CN"/>
                    </w:rPr>
                    <w:t>/</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0"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rPr>
                    <w:t>社会影响</w:t>
                  </w:r>
                </w:p>
              </w:tc>
              <w:tc>
                <w:tcPr>
                  <w:tcW w:w="374"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977"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1610"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1324A4D8">
            <w:pPr>
              <w:keepNext w:val="0"/>
              <w:keepLines w:val="0"/>
              <w:widowControl w:val="0"/>
              <w:suppressLineNumbers w:val="0"/>
              <w:spacing w:before="0" w:beforeAutospacing="0" w:after="0" w:afterAutospacing="0"/>
              <w:ind w:left="0" w:right="0"/>
              <w:jc w:val="center"/>
              <w:rPr>
                <w:rFonts w:hint="default" w:ascii="Times New Roman" w:hAnsi="Times New Roman" w:cs="Times New Roman"/>
                <w:color w:val="auto"/>
                <w:highlight w:val="none"/>
              </w:rPr>
            </w:pPr>
          </w:p>
          <w:p w14:paraId="3CCB274B">
            <w:pPr>
              <w:pStyle w:val="5"/>
              <w:widowControl w:val="0"/>
              <w:suppressLineNumbers w:val="0"/>
              <w:spacing w:before="0"/>
              <w:ind w:left="0" w:right="0"/>
              <w:jc w:val="both"/>
              <w:rPr>
                <w:rFonts w:hint="default" w:ascii="Times New Roman" w:hAnsi="Times New Roman" w:cs="Times New Roman"/>
                <w:color w:val="auto"/>
                <w:highlight w:val="none"/>
              </w:rPr>
            </w:pPr>
          </w:p>
          <w:p w14:paraId="1A40CA07">
            <w:pPr>
              <w:pStyle w:val="5"/>
              <w:widowControl w:val="0"/>
              <w:suppressLineNumbers w:val="0"/>
              <w:spacing w:before="0"/>
              <w:ind w:left="0" w:right="0"/>
              <w:jc w:val="both"/>
              <w:rPr>
                <w:rFonts w:hint="default" w:ascii="Times New Roman" w:hAnsi="Times New Roman" w:cs="Times New Roman"/>
                <w:color w:val="auto"/>
              </w:rPr>
            </w:pPr>
          </w:p>
        </w:tc>
      </w:tr>
    </w:tbl>
    <w:p w14:paraId="03FB4149">
      <w:pPr>
        <w:pStyle w:val="2"/>
        <w:ind w:left="0" w:leftChars="0" w:firstLine="0" w:firstLineChars="0"/>
        <w:rPr>
          <w:rFonts w:hint="default" w:ascii="Times New Roman" w:hAnsi="Times New Roman" w:cs="Times New Roman"/>
          <w:color w:val="auto"/>
          <w:highlight w:val="none"/>
        </w:rPr>
      </w:pPr>
    </w:p>
    <w:p w14:paraId="0EF4A96E">
      <w:pPr>
        <w:rPr>
          <w:rFonts w:hint="default" w:ascii="Times New Roman" w:hAnsi="Times New Roman" w:cs="Times New Roman"/>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10" w:name="_Toc28235"/>
      <w:r>
        <w:rPr>
          <w:rFonts w:hint="default" w:ascii="Times New Roman" w:hAnsi="Times New Roman" w:eastAsia="宋体" w:cs="Times New Roman"/>
          <w:b/>
          <w:bCs/>
          <w:color w:val="auto"/>
          <w:w w:val="95"/>
          <w:sz w:val="32"/>
          <w:highlight w:val="none"/>
          <w:lang w:val="en-US" w:eastAsia="zh-CN"/>
        </w:rPr>
        <w:t>7.环境影响调查</w:t>
      </w:r>
      <w:bookmarkEnd w:id="10"/>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6"/>
        <w:gridCol w:w="7611"/>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4" w:hRule="atLeast"/>
        </w:trPr>
        <w:tc>
          <w:tcPr>
            <w:tcW w:w="455"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456"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11"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11" w:name="_Toc529516475"/>
            <w:bookmarkStart w:id="12" w:name="_Toc536625867"/>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6CBDD418">
            <w:pPr>
              <w:keepNext w:val="0"/>
              <w:keepLines w:val="0"/>
              <w:pageBreakBefore w:val="0"/>
              <w:widowControl w:val="0"/>
              <w:numPr>
                <w:ilvl w:val="0"/>
                <w:numId w:val="3"/>
              </w:numPr>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4CF1DBC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195EC06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2、工程占地影响调查</w:t>
            </w:r>
          </w:p>
          <w:p w14:paraId="2501BD09">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项目建设临时占地包括项目钻井井场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施工营地及</w:t>
            </w:r>
            <w:r>
              <w:rPr>
                <w:rFonts w:hint="default" w:ascii="Times New Roman" w:hAnsi="Times New Roman" w:eastAsia="宋体" w:cs="Times New Roman"/>
                <w:color w:val="auto"/>
                <w:sz w:val="24"/>
                <w:szCs w:val="24"/>
                <w:highlight w:val="none"/>
              </w:rPr>
              <w:t>进场道路等占地，占地面积约</w:t>
            </w:r>
            <w:r>
              <w:rPr>
                <w:rFonts w:hint="default" w:ascii="Times New Roman" w:hAnsi="Times New Roman" w:eastAsia="宋体" w:cs="Times New Roman"/>
                <w:color w:val="auto"/>
                <w:sz w:val="24"/>
                <w:szCs w:val="24"/>
                <w:lang w:val="en-US" w:eastAsia="zh-CN"/>
              </w:rPr>
              <w:t>7670</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2</w:t>
            </w:r>
            <w:r>
              <w:rPr>
                <w:rFonts w:hint="default" w:ascii="Times New Roman" w:hAnsi="Times New Roman" w:eastAsia="宋体" w:cs="Times New Roman"/>
                <w:color w:val="auto"/>
                <w:sz w:val="24"/>
                <w:szCs w:val="24"/>
                <w:highlight w:val="none"/>
              </w:rPr>
              <w:t>，占地类型为</w:t>
            </w:r>
            <w:r>
              <w:rPr>
                <w:rFonts w:hint="default"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rPr>
              <w:t>。</w:t>
            </w:r>
          </w:p>
          <w:p w14:paraId="19BCDD4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进行临时关井，待转产，除预留转为生产开发所需的面积外，对其余临时占地及时进行了植被恢复。</w:t>
            </w:r>
          </w:p>
          <w:p w14:paraId="1214D86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69FB013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0970A97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项目占地类型主要为</w:t>
            </w:r>
            <w:r>
              <w:rPr>
                <w:rFonts w:hint="default"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项目区域内</w:t>
            </w:r>
            <w:r>
              <w:rPr>
                <w:rFonts w:hint="default"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default" w:ascii="Times New Roman" w:hAnsi="Times New Roman" w:eastAsia="宋体" w:cs="Times New Roman"/>
                <w:color w:val="auto"/>
                <w:sz w:val="24"/>
                <w:szCs w:val="24"/>
                <w:highlight w:val="none"/>
                <w:lang w:eastAsia="zh-CN"/>
              </w:rPr>
              <w:t>。</w:t>
            </w:r>
          </w:p>
          <w:bookmarkEnd w:id="11"/>
          <w:bookmarkEnd w:id="12"/>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3" w:name="_Toc34838380"/>
            <w:bookmarkStart w:id="14" w:name="_Toc529516477"/>
            <w:bookmarkStart w:id="15" w:name="_Toc536625869"/>
            <w:r>
              <w:rPr>
                <w:rFonts w:hint="default" w:ascii="Times New Roman" w:hAnsi="Times New Roman" w:eastAsia="宋体" w:cs="Times New Roman"/>
                <w:b/>
                <w:bCs/>
                <w:color w:val="auto"/>
                <w:sz w:val="24"/>
                <w:szCs w:val="24"/>
                <w:highlight w:val="none"/>
                <w:lang w:val="en-US" w:eastAsia="zh-CN"/>
              </w:rPr>
              <w:t>4、</w:t>
            </w:r>
            <w:bookmarkEnd w:id="13"/>
            <w:r>
              <w:rPr>
                <w:rFonts w:hint="default" w:ascii="Times New Roman" w:hAnsi="Times New Roman" w:eastAsia="宋体" w:cs="Times New Roman"/>
                <w:b/>
                <w:bCs/>
                <w:color w:val="auto"/>
                <w:sz w:val="24"/>
                <w:szCs w:val="24"/>
                <w:highlight w:val="none"/>
                <w:lang w:val="en-US" w:eastAsia="zh-CN"/>
              </w:rPr>
              <w:t>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为调查项目建设可能对土壤环境产生的影响，本项目对井场内、外土壤进行了监测（详见表8-1），</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。因此，项目验收调查范围内土壤环境受到建设项目的影响较小。</w:t>
            </w:r>
          </w:p>
          <w:p w14:paraId="0B50B4C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5、植被影响、陆地动物及其栖息地的影响调查</w:t>
            </w:r>
            <w:bookmarkEnd w:id="14"/>
            <w:bookmarkEnd w:id="15"/>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0" w:afterAutospacing="0" w:line="360" w:lineRule="auto"/>
              <w:ind w:left="440" w:leftChars="200" w:right="0" w:rightChars="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生态功能调查</w:t>
            </w:r>
          </w:p>
          <w:p w14:paraId="49C16ED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0" w:afterAutospacing="0" w:line="360" w:lineRule="auto"/>
              <w:ind w:left="440" w:leftChars="200" w:right="0" w:rightChars="0" w:firstLine="0" w:firstLineChars="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水土流失影响调查</w:t>
            </w:r>
          </w:p>
          <w:p w14:paraId="71441BF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56EAADB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8、主要生态问题及采取的生态保护措施</w:t>
            </w:r>
          </w:p>
          <w:p w14:paraId="19B91FC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05F2CA0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3C88D34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21E23F6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465C9D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55BC44E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780D5D1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61F096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场地已恢复平整，对井口进行临时关井，待转产除预留转为生产开发所需的面积外，对其余临时占地进行恢复；对施工形成的边坡要采用工程和植物护坡的方式进行治理，提高植被覆盖率，减少水土流失，在种草前采取土地整治措施。采用机械与人工相结合的整地方式，翻耕深度0.3m，耙细并整平。</w:t>
            </w:r>
          </w:p>
          <w:p w14:paraId="32B9901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455"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456"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11" w:type="dxa"/>
            <w:tcMar>
              <w:top w:w="85" w:type="dxa"/>
              <w:left w:w="108" w:type="dxa"/>
              <w:bottom w:w="85" w:type="dxa"/>
              <w:right w:w="108" w:type="dxa"/>
            </w:tcMar>
            <w:vAlign w:val="center"/>
          </w:tcPr>
          <w:p w14:paraId="3FDDEC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33F450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6349CB2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本项目废气主要包括施工扬尘、施工过程中车辆与机械废气和钻井柴油发动机废气和井场试油伴生气。</w:t>
            </w:r>
          </w:p>
          <w:p w14:paraId="6004F46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16DCAC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47CCA14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③采用了燃烧效率高的柴油机以及含硫量低的柴油，减少了污染物排放； </w:t>
            </w:r>
          </w:p>
          <w:p w14:paraId="558C6C6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④少量伴生气逸散；本项目试油过程中无井喷事故发生。</w:t>
            </w:r>
          </w:p>
          <w:p w14:paraId="17B68D7E">
            <w:pPr>
              <w:pStyle w:val="8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D23641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235C9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5A8ED91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项目废水主要为施工废水、生活污水及雨水，施工废水来自钻井废水、洗井废水、压裂返排液及生活污水。</w:t>
            </w:r>
          </w:p>
          <w:p w14:paraId="0D7CEFC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处理达标后回注油层，废水不外排。施工井场设置了移动式环保厕所，施工人员少量盥洗废水用于洒水降尘，无污水外排现象。</w:t>
            </w:r>
          </w:p>
          <w:p w14:paraId="09A383DB">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项目建设期间落实了环评及批复要求的环保措施，对周边环境影响有限。</w:t>
            </w:r>
          </w:p>
          <w:p w14:paraId="735431E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走访周围敏感点，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2F83F28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4.固体废物影响调查</w:t>
            </w:r>
          </w:p>
          <w:p w14:paraId="4529C8C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本项目施工期固体废物主要为</w:t>
            </w:r>
            <w:r>
              <w:rPr>
                <w:rFonts w:hint="default"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岩屑）</w:t>
            </w:r>
            <w:r>
              <w:rPr>
                <w:rFonts w:hint="default" w:ascii="Times New Roman" w:hAnsi="Times New Roman" w:eastAsia="宋体" w:cs="Times New Roman"/>
                <w:color w:val="auto"/>
                <w:sz w:val="24"/>
                <w:szCs w:val="24"/>
                <w:highlight w:val="none"/>
                <w:lang w:val="en-US" w:eastAsia="zh-CN"/>
              </w:rPr>
              <w:t>。</w:t>
            </w:r>
          </w:p>
          <w:p w14:paraId="079DBBF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经调查，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采用“下铺上盖”方式。纯碱、膨润土废弃包装、废防渗布（不含油）由钻井单位（五普40837HB）回收综合利用。</w:t>
            </w:r>
          </w:p>
          <w:p w14:paraId="2E25431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施工期未产生建筑垃圾、</w:t>
            </w:r>
            <w:r>
              <w:rPr>
                <w:rFonts w:hint="default" w:ascii="Times New Roman" w:hAnsi="Times New Roman" w:eastAsia="宋体" w:cs="Times New Roman"/>
                <w:color w:val="auto"/>
                <w:spacing w:val="0"/>
                <w:w w:val="100"/>
                <w:sz w:val="24"/>
                <w:szCs w:val="24"/>
                <w:highlight w:val="none"/>
                <w:lang w:val="en-US" w:eastAsia="zh-CN" w:bidi="ar-SA"/>
              </w:rPr>
              <w:t>废机油、废润滑油。</w:t>
            </w:r>
            <w:r>
              <w:rPr>
                <w:rFonts w:hint="default" w:ascii="Times New Roman" w:hAnsi="Times New Roman" w:eastAsia="宋体" w:cs="Times New Roman"/>
                <w:color w:val="auto"/>
                <w:spacing w:val="0"/>
                <w:sz w:val="24"/>
                <w:szCs w:val="24"/>
                <w:highlight w:val="none"/>
                <w:lang w:val="en-US" w:eastAsia="zh-CN"/>
              </w:rPr>
              <w:t>含油岩屑、落地油、被污染的防渗布、废含油抹布、废过硫酸钾包装袋经收集暂存于临时危废贮存库后，委托庆阳丰泰环保有限责任公司进行安全处置。施工场地设置生活垃圾箱（桶），经收集后交由就近的生活垃圾中转站处置。</w:t>
            </w:r>
          </w:p>
          <w:p w14:paraId="19282A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455"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清洁生产调查</w:t>
            </w:r>
          </w:p>
        </w:tc>
        <w:tc>
          <w:tcPr>
            <w:tcW w:w="7611" w:type="dxa"/>
            <w:tcMar>
              <w:top w:w="85" w:type="dxa"/>
              <w:left w:w="108" w:type="dxa"/>
              <w:bottom w:w="85" w:type="dxa"/>
              <w:right w:w="108" w:type="dxa"/>
            </w:tcMar>
            <w:vAlign w:val="center"/>
          </w:tcPr>
          <w:p w14:paraId="02B17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建设单位按照清洁生产的要求进行施工，具体调查如下：</w:t>
            </w:r>
          </w:p>
          <w:p w14:paraId="79C605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1、绿色钻井技术</w:t>
            </w:r>
          </w:p>
          <w:p w14:paraId="45BDBA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（1）井口安装防喷器，减少井喷事故的概率。加强油井井口的密闭，加装密封垫，减少井口烃类的无组织挥发。</w:t>
            </w:r>
          </w:p>
          <w:p w14:paraId="21D77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（2）项目区域采取分区防渗措施；分区防渗的要求详见表4-3。防止对地下水造成污染。</w:t>
            </w:r>
          </w:p>
          <w:p w14:paraId="56D6E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（3）</w:t>
            </w:r>
            <w:r>
              <w:rPr>
                <w:rFonts w:hint="default" w:ascii="Times New Roman" w:hAnsi="Times New Roman" w:eastAsia="宋体" w:cs="Times New Roman"/>
                <w:color w:val="auto"/>
                <w:sz w:val="24"/>
                <w:szCs w:val="24"/>
                <w:highlight w:val="none"/>
                <w:lang w:val="en-US" w:eastAsia="zh-CN"/>
              </w:rPr>
              <w:t>废水、固废收集处理见上文。</w:t>
            </w:r>
          </w:p>
          <w:p w14:paraId="7CD2F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建设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455"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环境风险事故防范及应急措施调查</w:t>
            </w:r>
          </w:p>
        </w:tc>
        <w:tc>
          <w:tcPr>
            <w:tcW w:w="7611"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（1）组织机构与职责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由应急领导小组、应急办公室、安全环保组、外部邻近消防资源、现场应急小组、事发单位承包商环境应急处置小组组成。各工作组分别由相关专业人员组成，紧急状态下，由应急救援指挥部统一指挥，分兵把关，各司其职，迅速展开救援工作，承担紧急抢险救援任务。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kern w:val="0"/>
                <w:sz w:val="24"/>
                <w:szCs w:val="24"/>
              </w:rPr>
              <mc:AlternateContent>
                <mc:Choice Requires="wpg">
                  <w:drawing>
                    <wp:inline distT="0" distB="0" distL="114300" distR="114300">
                      <wp:extent cx="4709160" cy="2649220"/>
                      <wp:effectExtent l="4445" t="4445" r="10795" b="13335"/>
                      <wp:docPr id="2" name="组合 2"/>
                      <wp:cNvGraphicFramePr/>
                      <a:graphic xmlns:a="http://schemas.openxmlformats.org/drawingml/2006/main">
                        <a:graphicData uri="http://schemas.microsoft.com/office/word/2010/wordprocessingGroup">
                          <wpg:wgp>
                            <wpg:cNvGrpSpPr/>
                            <wpg:grpSpPr>
                              <a:xfrm>
                                <a:off x="0" y="0"/>
                                <a:ext cx="4709164" cy="2649220"/>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27C98F">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81C1531">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168E81C">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A83B8F3">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w:t>
                                    </w:r>
                                  </w:p>
                                  <w:p w14:paraId="7D26332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3FB57D0">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02A1D04">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8.6pt;width:370.8pt;" coordorigin="7876,284235" coordsize="7365,3515" o:gfxdata="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IuwlovXAAAABQEAAA8AAAAAAAAAAQAgAAAAIgAAAGRycy9kb3ducmV2&#10;LnhtbFBLAQIUABQAAAAIAIdO4kBbYsg2GwUAABAmAAAOAAAAAAAAAAEAIAAAACYBAABkcnMvZTJv&#10;RG9jLnhtbFBLBQYAAAAABgAGAFkBAACzC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0827C98F">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181C1531">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1168E81C">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A83B8F3">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w:t>
                              </w:r>
                            </w:p>
                            <w:p w14:paraId="7D26332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73FB57D0">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02A1D04">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突发环境事件应急预案》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应急物资充分，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采油一厂已制定了突发环境事件应急预案，并于2023年1月11日取得了庆阳市生态环境局宁县分局预案备案文件（见附件），并按照预案中相关应急措施进行定期演练。该应急预案修编日期为2026年1月11日，在本项目验收时间范围内。</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社会影响</w:t>
            </w:r>
          </w:p>
        </w:tc>
        <w:tc>
          <w:tcPr>
            <w:tcW w:w="7611" w:type="dxa"/>
            <w:shd w:val="clear" w:color="auto" w:fill="auto"/>
            <w:tcMar>
              <w:top w:w="85" w:type="dxa"/>
              <w:left w:w="108" w:type="dxa"/>
              <w:bottom w:w="85" w:type="dxa"/>
              <w:right w:w="108" w:type="dxa"/>
            </w:tcMar>
            <w:vAlign w:val="center"/>
          </w:tcPr>
          <w:p w14:paraId="339A4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p>
          <w:p w14:paraId="27FF66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p w14:paraId="785A2A09">
            <w:pPr>
              <w:pStyle w:val="2"/>
              <w:keepNext w:val="0"/>
              <w:keepLines w:val="0"/>
              <w:widowControl w:val="0"/>
              <w:suppressLineNumbers w:val="0"/>
              <w:spacing w:before="0" w:beforeAutospacing="0" w:afterAutospacing="0"/>
              <w:ind w:left="0" w:right="0"/>
              <w:jc w:val="both"/>
              <w:rPr>
                <w:rFonts w:hint="default" w:ascii="Times New Roman" w:hAnsi="Times New Roman" w:cs="Times New Roman"/>
                <w:lang w:val="en-US" w:eastAsia="zh-CN"/>
              </w:rPr>
            </w:pP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restart"/>
            <w:vAlign w:val="center"/>
          </w:tcPr>
          <w:p w14:paraId="6847A3F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2388D1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456"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11" w:type="dxa"/>
            <w:vMerge w:val="restart"/>
            <w:shd w:val="clear" w:color="auto" w:fill="auto"/>
            <w:tcMar>
              <w:top w:w="85" w:type="dxa"/>
              <w:left w:w="108" w:type="dxa"/>
              <w:bottom w:w="85" w:type="dxa"/>
              <w:right w:w="108" w:type="dxa"/>
            </w:tcMar>
            <w:vAlign w:val="center"/>
          </w:tcPr>
          <w:p w14:paraId="4FB3FBC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p>
          <w:p w14:paraId="72A69D6B">
            <w:pPr>
              <w:keepNext w:val="0"/>
              <w:keepLines w:val="0"/>
              <w:widowControl w:val="0"/>
              <w:suppressLineNumbers w:val="0"/>
              <w:spacing w:before="0" w:beforeAutospacing="0" w:afterAutospacing="0"/>
              <w:ind w:left="0" w:right="0"/>
              <w:jc w:val="both"/>
              <w:rPr>
                <w:rFonts w:hint="default" w:ascii="Times New Roman" w:hAnsi="Times New Roman" w:cs="Times New Roman"/>
                <w:lang w:val="en-US" w:eastAsia="zh-CN"/>
              </w:rPr>
            </w:pPr>
          </w:p>
          <w:p w14:paraId="10DE76A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经试油，井场具有工业开采价值，临时关井，待转产，本次验收不涉及运行期。</w:t>
            </w:r>
          </w:p>
          <w:p w14:paraId="5333E1DC">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415AEAB7">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4217F599">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36FBD647">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58032D3">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FAA4479">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4118DD8B">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1A881C6C">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6CBDF27E">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3FD6BFA">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E424D6F">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059A4D83">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3769AC50">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456"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11"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eastAsia="宋体" w:cs="Times New Roman"/>
                <w:b/>
                <w:bCs/>
                <w:color w:val="auto"/>
                <w:sz w:val="24"/>
                <w:szCs w:val="24"/>
                <w:highlight w:val="none"/>
                <w:lang w:eastAsia="zh-CN"/>
              </w:rPr>
              <w:t>社会影响</w:t>
            </w:r>
          </w:p>
        </w:tc>
        <w:tc>
          <w:tcPr>
            <w:tcW w:w="7611" w:type="dxa"/>
            <w:vMerge w:val="continue"/>
            <w:tcMar>
              <w:top w:w="85" w:type="dxa"/>
              <w:left w:w="108" w:type="dxa"/>
              <w:bottom w:w="85" w:type="dxa"/>
              <w:right w:w="108" w:type="dxa"/>
            </w:tcMar>
            <w:vAlign w:val="center"/>
          </w:tcPr>
          <w:p w14:paraId="151BDF67">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firstLine="0" w:firstLineChars="0"/>
              <w:jc w:val="both"/>
              <w:textAlignment w:val="auto"/>
              <w:rPr>
                <w:rFonts w:hint="default" w:ascii="Times New Roman" w:hAnsi="Times New Roman" w:cs="Times New Roman"/>
                <w:color w:val="auto"/>
              </w:rPr>
            </w:pPr>
          </w:p>
        </w:tc>
      </w:tr>
    </w:tbl>
    <w:p w14:paraId="7423924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6" w:name="_Toc24330"/>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default" w:ascii="Times New Roman" w:hAnsi="Times New Roman" w:eastAsia="宋体" w:cs="Times New Roman"/>
          <w:b/>
          <w:bCs/>
          <w:color w:val="auto"/>
          <w:spacing w:val="10"/>
          <w:w w:val="95"/>
          <w:sz w:val="32"/>
          <w:szCs w:val="22"/>
          <w:highlight w:val="none"/>
          <w:lang w:val="en-US" w:eastAsia="zh-CN" w:bidi="ar-SA"/>
        </w:rPr>
        <w:t>8.环境质量及污染源监测</w:t>
      </w:r>
      <w:bookmarkEnd w:id="16"/>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107"/>
        <w:gridCol w:w="1922"/>
        <w:gridCol w:w="2425"/>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项目</w:t>
            </w:r>
          </w:p>
        </w:tc>
        <w:tc>
          <w:tcPr>
            <w:tcW w:w="122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监测频次</w:t>
            </w:r>
          </w:p>
        </w:tc>
        <w:tc>
          <w:tcPr>
            <w:tcW w:w="2039"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监测点位</w:t>
            </w:r>
          </w:p>
        </w:tc>
        <w:tc>
          <w:tcPr>
            <w:tcW w:w="2713"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监测项目</w:t>
            </w:r>
          </w:p>
        </w:tc>
        <w:tc>
          <w:tcPr>
            <w:tcW w:w="1801"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44"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环境空气</w:t>
            </w:r>
          </w:p>
        </w:tc>
        <w:tc>
          <w:tcPr>
            <w:tcW w:w="122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44"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地下水环境</w:t>
            </w:r>
          </w:p>
        </w:tc>
        <w:tc>
          <w:tcPr>
            <w:tcW w:w="122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44"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声环境</w:t>
            </w:r>
          </w:p>
        </w:tc>
        <w:tc>
          <w:tcPr>
            <w:tcW w:w="122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44"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土壤环境</w:t>
            </w:r>
          </w:p>
        </w:tc>
        <w:tc>
          <w:tcPr>
            <w:tcW w:w="1225" w:type="dxa"/>
            <w:vAlign w:val="center"/>
          </w:tcPr>
          <w:p w14:paraId="4AAEE202">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2025年3月26日；监测频率：每个点采样1次</w:t>
            </w:r>
          </w:p>
        </w:tc>
        <w:tc>
          <w:tcPr>
            <w:tcW w:w="2039" w:type="dxa"/>
            <w:vAlign w:val="center"/>
          </w:tcPr>
          <w:p w14:paraId="548FE7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FF0000"/>
                <w:spacing w:val="10"/>
                <w:sz w:val="21"/>
                <w:szCs w:val="21"/>
                <w:highlight w:val="none"/>
                <w:lang w:val="en-US" w:eastAsia="zh-CN" w:bidi="ar-SA"/>
              </w:rPr>
              <w:t>泾河3402H井场泥浆不落地装置区、井场外50m农用地</w:t>
            </w:r>
            <w:r>
              <w:rPr>
                <w:rFonts w:hint="default"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000000" w:themeColor="text1"/>
                <w:szCs w:val="21"/>
                <w14:textFill>
                  <w14:solidFill>
                    <w14:schemeClr w14:val="tx1"/>
                  </w14:solidFill>
                </w14:textFill>
              </w:rPr>
              <w:t>E107°56′3″</w:t>
            </w:r>
          </w:p>
          <w:p w14:paraId="60AE6D8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000000" w:themeColor="text1"/>
                <w:szCs w:val="21"/>
                <w14:textFill>
                  <w14:solidFill>
                    <w14:schemeClr w14:val="tx1"/>
                  </w14:solidFill>
                </w14:textFill>
              </w:rPr>
              <w:t>N35°24′58″</w:t>
            </w:r>
            <w:r>
              <w:rPr>
                <w:rFonts w:hint="default" w:ascii="Times New Roman" w:hAnsi="Times New Roman" w:eastAsia="宋体" w:cs="Times New Roman"/>
                <w:color w:val="auto"/>
                <w:spacing w:val="10"/>
                <w:sz w:val="21"/>
                <w:szCs w:val="21"/>
                <w:highlight w:val="none"/>
                <w:lang w:val="en-US" w:eastAsia="zh-CN" w:bidi="ar-SA"/>
              </w:rPr>
              <w:t>；</w:t>
            </w:r>
          </w:p>
          <w:p w14:paraId="6CC02B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E107°56′0″</w:t>
            </w:r>
          </w:p>
          <w:p w14:paraId="0673DA50">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000000" w:themeColor="text1"/>
                <w:szCs w:val="21"/>
                <w14:textFill>
                  <w14:solidFill>
                    <w14:schemeClr w14:val="tx1"/>
                  </w14:solidFill>
                </w14:textFill>
              </w:rPr>
              <w:t>N35°24′58″</w:t>
            </w:r>
          </w:p>
        </w:tc>
        <w:tc>
          <w:tcPr>
            <w:tcW w:w="2713" w:type="dxa"/>
            <w:vAlign w:val="center"/>
          </w:tcPr>
          <w:p w14:paraId="1EFEB405">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5586C25A">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6BF94307">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p>
        </w:tc>
        <w:tc>
          <w:tcPr>
            <w:tcW w:w="1801" w:type="dxa"/>
            <w:vAlign w:val="center"/>
          </w:tcPr>
          <w:p w14:paraId="0A1BD75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7" w:name="_Toc3866"/>
            <w:r>
              <w:rPr>
                <w:rFonts w:hint="default"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default" w:ascii="Times New Roman" w:hAnsi="Times New Roman" w:eastAsia="宋体" w:cs="Times New Roman"/>
                <w:color w:val="auto"/>
                <w:kern w:val="0"/>
                <w:sz w:val="24"/>
                <w:szCs w:val="24"/>
                <w:highlight w:val="none"/>
                <w:lang w:val="en-US" w:eastAsia="zh-CN"/>
              </w:rPr>
              <w:t>土壤监测结果见表8-1。</w:t>
            </w:r>
          </w:p>
          <w:p w14:paraId="50EBDA15">
            <w:pPr>
              <w:pStyle w:val="32"/>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表8-</w:t>
            </w:r>
            <w:r>
              <w:rPr>
                <w:rFonts w:hint="default" w:ascii="Times New Roman" w:hAnsi="Times New Roman"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505"/>
              <w:gridCol w:w="1621"/>
              <w:gridCol w:w="1807"/>
              <w:gridCol w:w="687"/>
              <w:gridCol w:w="859"/>
            </w:tblGrid>
            <w:tr w14:paraId="41C96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vMerge w:val="restart"/>
                  <w:tcBorders>
                    <w:tl2br w:val="nil"/>
                    <w:tr2bl w:val="nil"/>
                  </w:tcBorders>
                  <w:noWrap w:val="0"/>
                  <w:tcMar>
                    <w:top w:w="0" w:type="dxa"/>
                    <w:left w:w="0" w:type="dxa"/>
                    <w:bottom w:w="0" w:type="dxa"/>
                    <w:right w:w="0" w:type="dxa"/>
                  </w:tcMar>
                  <w:vAlign w:val="center"/>
                </w:tcPr>
                <w:p w14:paraId="25D14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568" w:type="pct"/>
                  <w:vMerge w:val="restart"/>
                  <w:tcBorders>
                    <w:tl2br w:val="nil"/>
                    <w:tr2bl w:val="nil"/>
                  </w:tcBorders>
                  <w:noWrap w:val="0"/>
                  <w:tcMar>
                    <w:top w:w="0" w:type="dxa"/>
                    <w:left w:w="0" w:type="dxa"/>
                    <w:bottom w:w="0" w:type="dxa"/>
                    <w:right w:w="0" w:type="dxa"/>
                  </w:tcMar>
                  <w:vAlign w:val="center"/>
                </w:tcPr>
                <w:p w14:paraId="29600E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146" w:type="pct"/>
                  <w:gridSpan w:val="2"/>
                  <w:tcBorders>
                    <w:tl2br w:val="nil"/>
                    <w:tr2bl w:val="nil"/>
                  </w:tcBorders>
                  <w:noWrap w:val="0"/>
                  <w:tcMar>
                    <w:top w:w="0" w:type="dxa"/>
                    <w:left w:w="0" w:type="dxa"/>
                    <w:bottom w:w="0" w:type="dxa"/>
                    <w:right w:w="0" w:type="dxa"/>
                  </w:tcMar>
                  <w:vAlign w:val="center"/>
                </w:tcPr>
                <w:p w14:paraId="7E0E9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检测结果及日期(2025年3月26日)</w:t>
                  </w:r>
                </w:p>
              </w:tc>
              <w:tc>
                <w:tcPr>
                  <w:tcW w:w="968" w:type="pct"/>
                  <w:gridSpan w:val="2"/>
                  <w:vMerge w:val="restart"/>
                  <w:tcBorders>
                    <w:tl2br w:val="nil"/>
                    <w:tr2bl w:val="nil"/>
                  </w:tcBorders>
                  <w:noWrap w:val="0"/>
                  <w:tcMar>
                    <w:top w:w="0" w:type="dxa"/>
                    <w:left w:w="0" w:type="dxa"/>
                    <w:bottom w:w="0" w:type="dxa"/>
                    <w:right w:w="0" w:type="dxa"/>
                  </w:tcMar>
                  <w:vAlign w:val="center"/>
                </w:tcPr>
                <w:p w14:paraId="68139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标准限值</w:t>
                  </w:r>
                </w:p>
              </w:tc>
            </w:tr>
            <w:tr w14:paraId="237F2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6" w:type="pct"/>
                  <w:vMerge w:val="continue"/>
                  <w:tcBorders>
                    <w:tl2br w:val="nil"/>
                    <w:tr2bl w:val="nil"/>
                  </w:tcBorders>
                  <w:noWrap w:val="0"/>
                  <w:tcMar>
                    <w:top w:w="0" w:type="dxa"/>
                    <w:left w:w="0" w:type="dxa"/>
                    <w:bottom w:w="0" w:type="dxa"/>
                    <w:right w:w="0" w:type="dxa"/>
                  </w:tcMar>
                  <w:vAlign w:val="center"/>
                </w:tcPr>
                <w:p w14:paraId="43A17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568" w:type="pct"/>
                  <w:vMerge w:val="continue"/>
                  <w:tcBorders>
                    <w:tl2br w:val="nil"/>
                    <w:tr2bl w:val="nil"/>
                  </w:tcBorders>
                  <w:noWrap w:val="0"/>
                  <w:tcMar>
                    <w:top w:w="0" w:type="dxa"/>
                    <w:left w:w="0" w:type="dxa"/>
                    <w:bottom w:w="0" w:type="dxa"/>
                    <w:right w:w="0" w:type="dxa"/>
                  </w:tcMar>
                  <w:vAlign w:val="center"/>
                </w:tcPr>
                <w:p w14:paraId="4DDBFF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015" w:type="pct"/>
                  <w:tcBorders>
                    <w:tl2br w:val="nil"/>
                    <w:tr2bl w:val="nil"/>
                  </w:tcBorders>
                  <w:shd w:val="clear" w:color="auto" w:fill="auto"/>
                  <w:noWrap w:val="0"/>
                  <w:tcMar>
                    <w:top w:w="0" w:type="dxa"/>
                    <w:left w:w="0" w:type="dxa"/>
                    <w:bottom w:w="0" w:type="dxa"/>
                    <w:right w:w="0" w:type="dxa"/>
                  </w:tcMar>
                  <w:vAlign w:val="center"/>
                </w:tcPr>
                <w:p w14:paraId="4D3084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泾河3402H（良平2H）井场内(</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1131" w:type="pct"/>
                  <w:tcBorders>
                    <w:tl2br w:val="nil"/>
                    <w:tr2bl w:val="nil"/>
                  </w:tcBorders>
                  <w:shd w:val="clear" w:color="auto" w:fill="auto"/>
                  <w:noWrap w:val="0"/>
                  <w:tcMar>
                    <w:top w:w="0" w:type="dxa"/>
                    <w:left w:w="0" w:type="dxa"/>
                    <w:bottom w:w="0" w:type="dxa"/>
                    <w:right w:w="0" w:type="dxa"/>
                  </w:tcMar>
                  <w:vAlign w:val="center"/>
                </w:tcPr>
                <w:p w14:paraId="7EFDC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泾河3402H（良平2H）井场外(</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968" w:type="pct"/>
                  <w:gridSpan w:val="2"/>
                  <w:vMerge w:val="continue"/>
                  <w:tcBorders>
                    <w:tl2br w:val="nil"/>
                    <w:tr2bl w:val="nil"/>
                  </w:tcBorders>
                  <w:noWrap w:val="0"/>
                  <w:tcMar>
                    <w:top w:w="0" w:type="dxa"/>
                    <w:left w:w="0" w:type="dxa"/>
                    <w:bottom w:w="0" w:type="dxa"/>
                    <w:right w:w="0" w:type="dxa"/>
                  </w:tcMar>
                  <w:vAlign w:val="center"/>
                </w:tcPr>
                <w:p w14:paraId="7E3CC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r>
            <w:tr w14:paraId="062EFB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2B65B1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568" w:type="pct"/>
                  <w:tcBorders>
                    <w:tl2br w:val="nil"/>
                    <w:tr2bl w:val="nil"/>
                  </w:tcBorders>
                  <w:shd w:val="clear" w:color="auto" w:fill="auto"/>
                  <w:noWrap w:val="0"/>
                  <w:tcMar>
                    <w:top w:w="0" w:type="dxa"/>
                    <w:left w:w="0" w:type="dxa"/>
                    <w:bottom w:w="0" w:type="dxa"/>
                    <w:right w:w="0" w:type="dxa"/>
                  </w:tcMar>
                  <w:vAlign w:val="center"/>
                </w:tcPr>
                <w:p w14:paraId="031C6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1015" w:type="pct"/>
                  <w:tcBorders>
                    <w:tl2br w:val="nil"/>
                    <w:tr2bl w:val="nil"/>
                  </w:tcBorders>
                  <w:shd w:val="clear" w:color="auto" w:fill="auto"/>
                  <w:noWrap w:val="0"/>
                  <w:tcMar>
                    <w:top w:w="0" w:type="dxa"/>
                    <w:left w:w="0" w:type="dxa"/>
                    <w:bottom w:w="0" w:type="dxa"/>
                    <w:right w:w="0" w:type="dxa"/>
                  </w:tcMar>
                  <w:vAlign w:val="center"/>
                </w:tcPr>
                <w:p w14:paraId="0BC44A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7.61</w:t>
                  </w:r>
                </w:p>
              </w:tc>
              <w:tc>
                <w:tcPr>
                  <w:tcW w:w="1131" w:type="pct"/>
                  <w:tcBorders>
                    <w:tl2br w:val="nil"/>
                    <w:tr2bl w:val="nil"/>
                  </w:tcBorders>
                  <w:shd w:val="clear" w:color="auto" w:fill="auto"/>
                  <w:noWrap w:val="0"/>
                  <w:tcMar>
                    <w:top w:w="0" w:type="dxa"/>
                    <w:left w:w="0" w:type="dxa"/>
                    <w:bottom w:w="0" w:type="dxa"/>
                    <w:right w:w="0" w:type="dxa"/>
                  </w:tcMar>
                  <w:vAlign w:val="center"/>
                </w:tcPr>
                <w:p w14:paraId="6FCFB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7.29</w:t>
                  </w:r>
                </w:p>
              </w:tc>
              <w:tc>
                <w:tcPr>
                  <w:tcW w:w="430" w:type="pct"/>
                  <w:tcBorders>
                    <w:tl2br w:val="nil"/>
                    <w:tr2bl w:val="nil"/>
                  </w:tcBorders>
                  <w:shd w:val="clear" w:color="auto" w:fill="auto"/>
                  <w:noWrap w:val="0"/>
                  <w:tcMar>
                    <w:top w:w="0" w:type="dxa"/>
                    <w:left w:w="0" w:type="dxa"/>
                    <w:bottom w:w="0" w:type="dxa"/>
                    <w:right w:w="0" w:type="dxa"/>
                  </w:tcMar>
                  <w:vAlign w:val="center"/>
                </w:tcPr>
                <w:p w14:paraId="0AC967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default" w:ascii="Times New Roman" w:hAnsi="Times New Roman" w:eastAsia="宋体" w:cs="Times New Roman"/>
                      <w:b/>
                      <w:bCs/>
                      <w:color w:val="FF0000"/>
                      <w:sz w:val="21"/>
                      <w:szCs w:val="21"/>
                      <w:u w:val="none"/>
                      <w:vertAlign w:val="baseline"/>
                      <w:lang w:val="en-US" w:eastAsia="zh-CN"/>
                    </w:rPr>
                    <w:t>pH＞7.5</w:t>
                  </w:r>
                </w:p>
              </w:tc>
              <w:tc>
                <w:tcPr>
                  <w:tcW w:w="537" w:type="pct"/>
                  <w:tcBorders>
                    <w:tl2br w:val="nil"/>
                    <w:tr2bl w:val="nil"/>
                  </w:tcBorders>
                  <w:shd w:val="clear" w:color="auto" w:fill="auto"/>
                  <w:noWrap w:val="0"/>
                  <w:tcMar>
                    <w:top w:w="0" w:type="dxa"/>
                    <w:left w:w="0" w:type="dxa"/>
                    <w:bottom w:w="0" w:type="dxa"/>
                    <w:right w:w="0" w:type="dxa"/>
                  </w:tcMar>
                  <w:vAlign w:val="center"/>
                </w:tcPr>
                <w:p w14:paraId="76029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6.5＜pH≤7.5</w:t>
                  </w:r>
                </w:p>
              </w:tc>
            </w:tr>
            <w:tr w14:paraId="4138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1748A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568" w:type="pct"/>
                  <w:tcBorders>
                    <w:tl2br w:val="nil"/>
                    <w:tr2bl w:val="nil"/>
                  </w:tcBorders>
                  <w:shd w:val="clear" w:color="auto" w:fill="auto"/>
                  <w:noWrap w:val="0"/>
                  <w:tcMar>
                    <w:top w:w="0" w:type="dxa"/>
                    <w:left w:w="0" w:type="dxa"/>
                    <w:bottom w:w="0" w:type="dxa"/>
                    <w:right w:w="0" w:type="dxa"/>
                  </w:tcMar>
                  <w:vAlign w:val="center"/>
                </w:tcPr>
                <w:p w14:paraId="26B6F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86C6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0.36</w:t>
                  </w:r>
                </w:p>
              </w:tc>
              <w:tc>
                <w:tcPr>
                  <w:tcW w:w="1131" w:type="pct"/>
                  <w:tcBorders>
                    <w:tl2br w:val="nil"/>
                    <w:tr2bl w:val="nil"/>
                  </w:tcBorders>
                  <w:shd w:val="clear" w:color="auto" w:fill="auto"/>
                  <w:noWrap w:val="0"/>
                  <w:tcMar>
                    <w:top w:w="0" w:type="dxa"/>
                    <w:left w:w="0" w:type="dxa"/>
                    <w:bottom w:w="0" w:type="dxa"/>
                    <w:right w:w="0" w:type="dxa"/>
                  </w:tcMar>
                  <w:vAlign w:val="center"/>
                </w:tcPr>
                <w:p w14:paraId="4E0AD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0.27</w:t>
                  </w:r>
                </w:p>
              </w:tc>
              <w:tc>
                <w:tcPr>
                  <w:tcW w:w="430" w:type="pct"/>
                  <w:tcBorders>
                    <w:tl2br w:val="nil"/>
                    <w:tr2bl w:val="nil"/>
                  </w:tcBorders>
                  <w:shd w:val="clear" w:color="auto" w:fill="auto"/>
                  <w:noWrap w:val="0"/>
                  <w:tcMar>
                    <w:top w:w="0" w:type="dxa"/>
                    <w:left w:w="0" w:type="dxa"/>
                    <w:bottom w:w="0" w:type="dxa"/>
                    <w:right w:w="0" w:type="dxa"/>
                  </w:tcMar>
                  <w:vAlign w:val="center"/>
                </w:tcPr>
                <w:p w14:paraId="3D9B46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0.6</w:t>
                  </w:r>
                </w:p>
              </w:tc>
              <w:tc>
                <w:tcPr>
                  <w:tcW w:w="537" w:type="pct"/>
                  <w:tcBorders>
                    <w:tl2br w:val="nil"/>
                    <w:tr2bl w:val="nil"/>
                  </w:tcBorders>
                  <w:shd w:val="clear" w:color="auto" w:fill="auto"/>
                  <w:noWrap w:val="0"/>
                  <w:tcMar>
                    <w:top w:w="0" w:type="dxa"/>
                    <w:left w:w="0" w:type="dxa"/>
                    <w:bottom w:w="0" w:type="dxa"/>
                    <w:right w:w="0" w:type="dxa"/>
                  </w:tcMar>
                  <w:vAlign w:val="center"/>
                </w:tcPr>
                <w:p w14:paraId="224EE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0.3</w:t>
                  </w:r>
                </w:p>
              </w:tc>
            </w:tr>
            <w:bookmarkEnd w:id="18"/>
            <w:tr w14:paraId="0C761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136E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568" w:type="pct"/>
                  <w:tcBorders>
                    <w:tl2br w:val="nil"/>
                    <w:tr2bl w:val="nil"/>
                  </w:tcBorders>
                  <w:shd w:val="clear" w:color="auto" w:fill="auto"/>
                  <w:noWrap w:val="0"/>
                  <w:tcMar>
                    <w:top w:w="0" w:type="dxa"/>
                    <w:left w:w="0" w:type="dxa"/>
                    <w:bottom w:w="0" w:type="dxa"/>
                    <w:right w:w="0" w:type="dxa"/>
                  </w:tcMar>
                  <w:vAlign w:val="center"/>
                </w:tcPr>
                <w:p w14:paraId="65D45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E38B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ND</w:t>
                  </w:r>
                </w:p>
              </w:tc>
              <w:tc>
                <w:tcPr>
                  <w:tcW w:w="1131" w:type="pct"/>
                  <w:tcBorders>
                    <w:tl2br w:val="nil"/>
                    <w:tr2bl w:val="nil"/>
                  </w:tcBorders>
                  <w:shd w:val="clear" w:color="auto" w:fill="auto"/>
                  <w:noWrap w:val="0"/>
                  <w:tcMar>
                    <w:top w:w="0" w:type="dxa"/>
                    <w:left w:w="0" w:type="dxa"/>
                    <w:bottom w:w="0" w:type="dxa"/>
                    <w:right w:w="0" w:type="dxa"/>
                  </w:tcMar>
                  <w:vAlign w:val="center"/>
                </w:tcPr>
                <w:p w14:paraId="09F71A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47</w:t>
                  </w:r>
                </w:p>
              </w:tc>
              <w:tc>
                <w:tcPr>
                  <w:tcW w:w="430" w:type="pct"/>
                  <w:tcBorders>
                    <w:tl2br w:val="nil"/>
                    <w:tr2bl w:val="nil"/>
                  </w:tcBorders>
                  <w:shd w:val="clear" w:color="auto" w:fill="auto"/>
                  <w:noWrap w:val="0"/>
                  <w:tcMar>
                    <w:top w:w="0" w:type="dxa"/>
                    <w:left w:w="0" w:type="dxa"/>
                    <w:bottom w:w="0" w:type="dxa"/>
                    <w:right w:w="0" w:type="dxa"/>
                  </w:tcMar>
                  <w:vAlign w:val="center"/>
                </w:tcPr>
                <w:p w14:paraId="3E59B4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250</w:t>
                  </w:r>
                </w:p>
              </w:tc>
              <w:tc>
                <w:tcPr>
                  <w:tcW w:w="537" w:type="pct"/>
                  <w:tcBorders>
                    <w:tl2br w:val="nil"/>
                    <w:tr2bl w:val="nil"/>
                  </w:tcBorders>
                  <w:shd w:val="clear" w:color="auto" w:fill="auto"/>
                  <w:noWrap w:val="0"/>
                  <w:tcMar>
                    <w:top w:w="0" w:type="dxa"/>
                    <w:left w:w="0" w:type="dxa"/>
                    <w:bottom w:w="0" w:type="dxa"/>
                    <w:right w:w="0" w:type="dxa"/>
                  </w:tcMar>
                  <w:vAlign w:val="center"/>
                </w:tcPr>
                <w:p w14:paraId="0C2F7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200</w:t>
                  </w:r>
                </w:p>
              </w:tc>
            </w:tr>
            <w:tr w14:paraId="2523E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72EA3E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w:t>
                  </w:r>
                </w:p>
              </w:tc>
              <w:tc>
                <w:tcPr>
                  <w:tcW w:w="1568" w:type="pct"/>
                  <w:tcBorders>
                    <w:tl2br w:val="nil"/>
                    <w:tr2bl w:val="nil"/>
                  </w:tcBorders>
                  <w:shd w:val="clear" w:color="auto" w:fill="auto"/>
                  <w:noWrap w:val="0"/>
                  <w:tcMar>
                    <w:top w:w="0" w:type="dxa"/>
                    <w:left w:w="0" w:type="dxa"/>
                    <w:bottom w:w="0" w:type="dxa"/>
                    <w:right w:w="0" w:type="dxa"/>
                  </w:tcMar>
                  <w:vAlign w:val="center"/>
                </w:tcPr>
                <w:p w14:paraId="42495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1015" w:type="pct"/>
                  <w:tcBorders>
                    <w:tl2br w:val="nil"/>
                    <w:tr2bl w:val="nil"/>
                  </w:tcBorders>
                  <w:shd w:val="clear" w:color="auto" w:fill="auto"/>
                  <w:noWrap w:val="0"/>
                  <w:tcMar>
                    <w:top w:w="0" w:type="dxa"/>
                    <w:left w:w="0" w:type="dxa"/>
                    <w:bottom w:w="0" w:type="dxa"/>
                    <w:right w:w="0" w:type="dxa"/>
                  </w:tcMar>
                  <w:vAlign w:val="center"/>
                </w:tcPr>
                <w:p w14:paraId="32C59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59</w:t>
                  </w:r>
                </w:p>
              </w:tc>
              <w:tc>
                <w:tcPr>
                  <w:tcW w:w="1131" w:type="pct"/>
                  <w:tcBorders>
                    <w:tl2br w:val="nil"/>
                    <w:tr2bl w:val="nil"/>
                  </w:tcBorders>
                  <w:shd w:val="clear" w:color="auto" w:fill="auto"/>
                  <w:noWrap w:val="0"/>
                  <w:tcMar>
                    <w:top w:w="0" w:type="dxa"/>
                    <w:left w:w="0" w:type="dxa"/>
                    <w:bottom w:w="0" w:type="dxa"/>
                    <w:right w:w="0" w:type="dxa"/>
                  </w:tcMar>
                  <w:vAlign w:val="center"/>
                </w:tcPr>
                <w:p w14:paraId="55DC7F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54</w:t>
                  </w:r>
                </w:p>
              </w:tc>
              <w:tc>
                <w:tcPr>
                  <w:tcW w:w="430" w:type="pct"/>
                  <w:tcBorders>
                    <w:tl2br w:val="nil"/>
                    <w:tr2bl w:val="nil"/>
                  </w:tcBorders>
                  <w:shd w:val="clear" w:color="auto" w:fill="auto"/>
                  <w:noWrap w:val="0"/>
                  <w:tcMar>
                    <w:top w:w="0" w:type="dxa"/>
                    <w:left w:w="0" w:type="dxa"/>
                    <w:bottom w:w="0" w:type="dxa"/>
                    <w:right w:w="0" w:type="dxa"/>
                  </w:tcMar>
                  <w:vAlign w:val="center"/>
                </w:tcPr>
                <w:p w14:paraId="3B5814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100</w:t>
                  </w:r>
                </w:p>
              </w:tc>
              <w:tc>
                <w:tcPr>
                  <w:tcW w:w="537" w:type="pct"/>
                  <w:tcBorders>
                    <w:tl2br w:val="nil"/>
                    <w:tr2bl w:val="nil"/>
                  </w:tcBorders>
                  <w:shd w:val="clear" w:color="auto" w:fill="auto"/>
                  <w:noWrap w:val="0"/>
                  <w:tcMar>
                    <w:top w:w="0" w:type="dxa"/>
                    <w:left w:w="0" w:type="dxa"/>
                    <w:bottom w:w="0" w:type="dxa"/>
                    <w:right w:w="0" w:type="dxa"/>
                  </w:tcMar>
                  <w:vAlign w:val="center"/>
                </w:tcPr>
                <w:p w14:paraId="358E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0EB4B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2F4449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w:t>
                  </w:r>
                </w:p>
              </w:tc>
              <w:tc>
                <w:tcPr>
                  <w:tcW w:w="1568" w:type="pct"/>
                  <w:tcBorders>
                    <w:tl2br w:val="nil"/>
                    <w:tr2bl w:val="nil"/>
                  </w:tcBorders>
                  <w:shd w:val="clear" w:color="auto" w:fill="auto"/>
                  <w:noWrap w:val="0"/>
                  <w:tcMar>
                    <w:top w:w="0" w:type="dxa"/>
                    <w:left w:w="0" w:type="dxa"/>
                    <w:bottom w:w="0" w:type="dxa"/>
                    <w:right w:w="0" w:type="dxa"/>
                  </w:tcMar>
                  <w:vAlign w:val="center"/>
                </w:tcPr>
                <w:p w14:paraId="5FDC96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1015" w:type="pct"/>
                  <w:tcBorders>
                    <w:tl2br w:val="nil"/>
                    <w:tr2bl w:val="nil"/>
                  </w:tcBorders>
                  <w:shd w:val="clear" w:color="auto" w:fill="auto"/>
                  <w:noWrap w:val="0"/>
                  <w:tcMar>
                    <w:top w:w="0" w:type="dxa"/>
                    <w:left w:w="0" w:type="dxa"/>
                    <w:bottom w:w="0" w:type="dxa"/>
                    <w:right w:w="0" w:type="dxa"/>
                  </w:tcMar>
                  <w:vAlign w:val="center"/>
                </w:tcPr>
                <w:p w14:paraId="58FC6D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47</w:t>
                  </w:r>
                </w:p>
              </w:tc>
              <w:tc>
                <w:tcPr>
                  <w:tcW w:w="1131" w:type="pct"/>
                  <w:tcBorders>
                    <w:tl2br w:val="nil"/>
                    <w:tr2bl w:val="nil"/>
                  </w:tcBorders>
                  <w:shd w:val="clear" w:color="auto" w:fill="auto"/>
                  <w:noWrap w:val="0"/>
                  <w:tcMar>
                    <w:top w:w="0" w:type="dxa"/>
                    <w:left w:w="0" w:type="dxa"/>
                    <w:bottom w:w="0" w:type="dxa"/>
                    <w:right w:w="0" w:type="dxa"/>
                  </w:tcMar>
                  <w:vAlign w:val="center"/>
                </w:tcPr>
                <w:p w14:paraId="0D44A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49</w:t>
                  </w:r>
                </w:p>
              </w:tc>
              <w:tc>
                <w:tcPr>
                  <w:tcW w:w="430" w:type="pct"/>
                  <w:tcBorders>
                    <w:tl2br w:val="nil"/>
                    <w:tr2bl w:val="nil"/>
                  </w:tcBorders>
                  <w:shd w:val="clear" w:color="auto" w:fill="auto"/>
                  <w:noWrap w:val="0"/>
                  <w:tcMar>
                    <w:top w:w="0" w:type="dxa"/>
                    <w:left w:w="0" w:type="dxa"/>
                    <w:bottom w:w="0" w:type="dxa"/>
                    <w:right w:w="0" w:type="dxa"/>
                  </w:tcMar>
                  <w:vAlign w:val="center"/>
                </w:tcPr>
                <w:p w14:paraId="4FC3F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170</w:t>
                  </w:r>
                </w:p>
              </w:tc>
              <w:tc>
                <w:tcPr>
                  <w:tcW w:w="537" w:type="pct"/>
                  <w:tcBorders>
                    <w:tl2br w:val="nil"/>
                    <w:tr2bl w:val="nil"/>
                  </w:tcBorders>
                  <w:shd w:val="clear" w:color="auto" w:fill="auto"/>
                  <w:noWrap w:val="0"/>
                  <w:tcMar>
                    <w:top w:w="0" w:type="dxa"/>
                    <w:left w:w="0" w:type="dxa"/>
                    <w:bottom w:w="0" w:type="dxa"/>
                    <w:right w:w="0" w:type="dxa"/>
                  </w:tcMar>
                  <w:vAlign w:val="center"/>
                </w:tcPr>
                <w:p w14:paraId="4E99C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120</w:t>
                  </w:r>
                </w:p>
              </w:tc>
            </w:tr>
            <w:tr w14:paraId="26175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6C5D9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6</w:t>
                  </w:r>
                </w:p>
              </w:tc>
              <w:tc>
                <w:tcPr>
                  <w:tcW w:w="1568" w:type="pct"/>
                  <w:tcBorders>
                    <w:tl2br w:val="nil"/>
                    <w:tr2bl w:val="nil"/>
                  </w:tcBorders>
                  <w:shd w:val="clear" w:color="auto" w:fill="auto"/>
                  <w:noWrap w:val="0"/>
                  <w:tcMar>
                    <w:top w:w="0" w:type="dxa"/>
                    <w:left w:w="0" w:type="dxa"/>
                    <w:bottom w:w="0" w:type="dxa"/>
                    <w:right w:w="0" w:type="dxa"/>
                  </w:tcMar>
                  <w:vAlign w:val="center"/>
                </w:tcPr>
                <w:p w14:paraId="42C83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1015" w:type="pct"/>
                  <w:tcBorders>
                    <w:tl2br w:val="nil"/>
                    <w:tr2bl w:val="nil"/>
                  </w:tcBorders>
                  <w:shd w:val="clear" w:color="auto" w:fill="auto"/>
                  <w:noWrap w:val="0"/>
                  <w:tcMar>
                    <w:top w:w="0" w:type="dxa"/>
                    <w:left w:w="0" w:type="dxa"/>
                    <w:bottom w:w="0" w:type="dxa"/>
                    <w:right w:w="0" w:type="dxa"/>
                  </w:tcMar>
                  <w:vAlign w:val="center"/>
                </w:tcPr>
                <w:p w14:paraId="1CDFB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0.047</w:t>
                  </w:r>
                </w:p>
              </w:tc>
              <w:tc>
                <w:tcPr>
                  <w:tcW w:w="1131" w:type="pct"/>
                  <w:tcBorders>
                    <w:tl2br w:val="nil"/>
                    <w:tr2bl w:val="nil"/>
                  </w:tcBorders>
                  <w:shd w:val="clear" w:color="auto" w:fill="auto"/>
                  <w:noWrap w:val="0"/>
                  <w:tcMar>
                    <w:top w:w="0" w:type="dxa"/>
                    <w:left w:w="0" w:type="dxa"/>
                    <w:bottom w:w="0" w:type="dxa"/>
                    <w:right w:w="0" w:type="dxa"/>
                  </w:tcMar>
                  <w:vAlign w:val="center"/>
                </w:tcPr>
                <w:p w14:paraId="1F4BDD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0.031</w:t>
                  </w:r>
                </w:p>
              </w:tc>
              <w:tc>
                <w:tcPr>
                  <w:tcW w:w="430" w:type="pct"/>
                  <w:tcBorders>
                    <w:tl2br w:val="nil"/>
                    <w:tr2bl w:val="nil"/>
                  </w:tcBorders>
                  <w:shd w:val="clear" w:color="auto" w:fill="auto"/>
                  <w:noWrap w:val="0"/>
                  <w:tcMar>
                    <w:top w:w="0" w:type="dxa"/>
                    <w:left w:w="0" w:type="dxa"/>
                    <w:bottom w:w="0" w:type="dxa"/>
                    <w:right w:w="0" w:type="dxa"/>
                  </w:tcMar>
                  <w:vAlign w:val="center"/>
                </w:tcPr>
                <w:p w14:paraId="3F8FBE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3.4</w:t>
                  </w:r>
                </w:p>
              </w:tc>
              <w:tc>
                <w:tcPr>
                  <w:tcW w:w="537" w:type="pct"/>
                  <w:tcBorders>
                    <w:tl2br w:val="nil"/>
                    <w:tr2bl w:val="nil"/>
                  </w:tcBorders>
                  <w:shd w:val="clear" w:color="auto" w:fill="auto"/>
                  <w:noWrap w:val="0"/>
                  <w:tcMar>
                    <w:top w:w="0" w:type="dxa"/>
                    <w:left w:w="0" w:type="dxa"/>
                    <w:bottom w:w="0" w:type="dxa"/>
                    <w:right w:w="0" w:type="dxa"/>
                  </w:tcMar>
                  <w:vAlign w:val="center"/>
                </w:tcPr>
                <w:p w14:paraId="566D2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2.4</w:t>
                  </w:r>
                </w:p>
              </w:tc>
            </w:tr>
            <w:tr w14:paraId="4AF15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6FBB65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w:t>
                  </w:r>
                </w:p>
              </w:tc>
              <w:tc>
                <w:tcPr>
                  <w:tcW w:w="1568" w:type="pct"/>
                  <w:tcBorders>
                    <w:tl2br w:val="nil"/>
                    <w:tr2bl w:val="nil"/>
                  </w:tcBorders>
                  <w:shd w:val="clear" w:color="auto" w:fill="auto"/>
                  <w:noWrap w:val="0"/>
                  <w:tcMar>
                    <w:top w:w="0" w:type="dxa"/>
                    <w:left w:w="0" w:type="dxa"/>
                    <w:bottom w:w="0" w:type="dxa"/>
                    <w:right w:w="0" w:type="dxa"/>
                  </w:tcMar>
                  <w:vAlign w:val="center"/>
                </w:tcPr>
                <w:p w14:paraId="7C250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BF4F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44</w:t>
                  </w:r>
                </w:p>
              </w:tc>
              <w:tc>
                <w:tcPr>
                  <w:tcW w:w="1131" w:type="pct"/>
                  <w:tcBorders>
                    <w:tl2br w:val="nil"/>
                    <w:tr2bl w:val="nil"/>
                  </w:tcBorders>
                  <w:shd w:val="clear" w:color="auto" w:fill="auto"/>
                  <w:noWrap w:val="0"/>
                  <w:tcMar>
                    <w:top w:w="0" w:type="dxa"/>
                    <w:left w:w="0" w:type="dxa"/>
                    <w:bottom w:w="0" w:type="dxa"/>
                    <w:right w:w="0" w:type="dxa"/>
                  </w:tcMar>
                  <w:vAlign w:val="center"/>
                </w:tcPr>
                <w:p w14:paraId="37173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35</w:t>
                  </w:r>
                </w:p>
              </w:tc>
              <w:tc>
                <w:tcPr>
                  <w:tcW w:w="430" w:type="pct"/>
                  <w:tcBorders>
                    <w:tl2br w:val="nil"/>
                    <w:tr2bl w:val="nil"/>
                  </w:tcBorders>
                  <w:shd w:val="clear" w:color="auto" w:fill="auto"/>
                  <w:noWrap w:val="0"/>
                  <w:tcMar>
                    <w:top w:w="0" w:type="dxa"/>
                    <w:left w:w="0" w:type="dxa"/>
                    <w:bottom w:w="0" w:type="dxa"/>
                    <w:right w:w="0" w:type="dxa"/>
                  </w:tcMar>
                  <w:vAlign w:val="center"/>
                </w:tcPr>
                <w:p w14:paraId="480FD9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190</w:t>
                  </w:r>
                </w:p>
              </w:tc>
              <w:tc>
                <w:tcPr>
                  <w:tcW w:w="537" w:type="pct"/>
                  <w:tcBorders>
                    <w:tl2br w:val="nil"/>
                    <w:tr2bl w:val="nil"/>
                  </w:tcBorders>
                  <w:shd w:val="clear" w:color="auto" w:fill="auto"/>
                  <w:noWrap w:val="0"/>
                  <w:tcMar>
                    <w:top w:w="0" w:type="dxa"/>
                    <w:left w:w="0" w:type="dxa"/>
                    <w:bottom w:w="0" w:type="dxa"/>
                    <w:right w:w="0" w:type="dxa"/>
                  </w:tcMar>
                  <w:vAlign w:val="center"/>
                </w:tcPr>
                <w:p w14:paraId="7EBCC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5AF8F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3D159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8</w:t>
                  </w:r>
                </w:p>
              </w:tc>
              <w:tc>
                <w:tcPr>
                  <w:tcW w:w="1568" w:type="pct"/>
                  <w:tcBorders>
                    <w:tl2br w:val="nil"/>
                    <w:tr2bl w:val="nil"/>
                  </w:tcBorders>
                  <w:shd w:val="clear" w:color="auto" w:fill="auto"/>
                  <w:noWrap w:val="0"/>
                  <w:tcMar>
                    <w:top w:w="0" w:type="dxa"/>
                    <w:left w:w="0" w:type="dxa"/>
                    <w:bottom w:w="0" w:type="dxa"/>
                    <w:right w:w="0" w:type="dxa"/>
                  </w:tcMar>
                  <w:vAlign w:val="center"/>
                </w:tcPr>
                <w:p w14:paraId="68B7D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 xml:space="preserve">砷(mg/kg) </w:t>
                  </w:r>
                </w:p>
              </w:tc>
              <w:tc>
                <w:tcPr>
                  <w:tcW w:w="1015" w:type="pct"/>
                  <w:tcBorders>
                    <w:tl2br w:val="nil"/>
                    <w:tr2bl w:val="nil"/>
                  </w:tcBorders>
                  <w:shd w:val="clear" w:color="auto" w:fill="auto"/>
                  <w:noWrap w:val="0"/>
                  <w:tcMar>
                    <w:top w:w="0" w:type="dxa"/>
                    <w:left w:w="0" w:type="dxa"/>
                    <w:bottom w:w="0" w:type="dxa"/>
                    <w:right w:w="0" w:type="dxa"/>
                  </w:tcMar>
                  <w:vAlign w:val="center"/>
                </w:tcPr>
                <w:p w14:paraId="7CBD8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9.46</w:t>
                  </w:r>
                </w:p>
              </w:tc>
              <w:tc>
                <w:tcPr>
                  <w:tcW w:w="1131" w:type="pct"/>
                  <w:tcBorders>
                    <w:tl2br w:val="nil"/>
                    <w:tr2bl w:val="nil"/>
                  </w:tcBorders>
                  <w:shd w:val="clear" w:color="auto" w:fill="auto"/>
                  <w:noWrap w:val="0"/>
                  <w:tcMar>
                    <w:top w:w="0" w:type="dxa"/>
                    <w:left w:w="0" w:type="dxa"/>
                    <w:bottom w:w="0" w:type="dxa"/>
                    <w:right w:w="0" w:type="dxa"/>
                  </w:tcMar>
                  <w:vAlign w:val="center"/>
                </w:tcPr>
                <w:p w14:paraId="32DD96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9.44</w:t>
                  </w:r>
                </w:p>
              </w:tc>
              <w:tc>
                <w:tcPr>
                  <w:tcW w:w="430" w:type="pct"/>
                  <w:tcBorders>
                    <w:tl2br w:val="nil"/>
                    <w:tr2bl w:val="nil"/>
                  </w:tcBorders>
                  <w:shd w:val="clear" w:color="auto" w:fill="auto"/>
                  <w:noWrap w:val="0"/>
                  <w:tcMar>
                    <w:top w:w="0" w:type="dxa"/>
                    <w:left w:w="0" w:type="dxa"/>
                    <w:bottom w:w="0" w:type="dxa"/>
                    <w:right w:w="0" w:type="dxa"/>
                  </w:tcMar>
                  <w:vAlign w:val="center"/>
                </w:tcPr>
                <w:p w14:paraId="3BCB57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25</w:t>
                  </w:r>
                </w:p>
              </w:tc>
              <w:tc>
                <w:tcPr>
                  <w:tcW w:w="537" w:type="pct"/>
                  <w:tcBorders>
                    <w:tl2br w:val="nil"/>
                    <w:tr2bl w:val="nil"/>
                  </w:tcBorders>
                  <w:shd w:val="clear" w:color="auto" w:fill="auto"/>
                  <w:noWrap w:val="0"/>
                  <w:tcMar>
                    <w:top w:w="0" w:type="dxa"/>
                    <w:left w:w="0" w:type="dxa"/>
                    <w:bottom w:w="0" w:type="dxa"/>
                    <w:right w:w="0" w:type="dxa"/>
                  </w:tcMar>
                  <w:vAlign w:val="center"/>
                </w:tcPr>
                <w:p w14:paraId="445E9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30</w:t>
                  </w:r>
                </w:p>
              </w:tc>
            </w:tr>
            <w:tr w14:paraId="27ECF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28555D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9" w:name="OLE_LINK10" w:colFirst="0" w:colLast="0"/>
                  <w:r>
                    <w:rPr>
                      <w:rFonts w:hint="default" w:ascii="Times New Roman" w:hAnsi="Times New Roman" w:eastAsia="宋体" w:cs="Times New Roman"/>
                      <w:b w:val="0"/>
                      <w:bCs w:val="0"/>
                      <w:sz w:val="21"/>
                      <w:szCs w:val="21"/>
                      <w:u w:val="none"/>
                      <w:vertAlign w:val="baseline"/>
                      <w:lang w:val="en-US" w:eastAsia="zh-CN"/>
                    </w:rPr>
                    <w:t>9</w:t>
                  </w:r>
                </w:p>
              </w:tc>
              <w:tc>
                <w:tcPr>
                  <w:tcW w:w="1568" w:type="pct"/>
                  <w:tcBorders>
                    <w:tl2br w:val="nil"/>
                    <w:tr2bl w:val="nil"/>
                  </w:tcBorders>
                  <w:shd w:val="clear" w:color="auto" w:fill="auto"/>
                  <w:noWrap w:val="0"/>
                  <w:tcMar>
                    <w:top w:w="0" w:type="dxa"/>
                    <w:left w:w="0" w:type="dxa"/>
                    <w:bottom w:w="0" w:type="dxa"/>
                    <w:right w:w="0" w:type="dxa"/>
                  </w:tcMar>
                  <w:vAlign w:val="center"/>
                </w:tcPr>
                <w:p w14:paraId="6E496C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 xml:space="preserve">锌(mg/kg) </w:t>
                  </w:r>
                </w:p>
              </w:tc>
              <w:tc>
                <w:tcPr>
                  <w:tcW w:w="1015" w:type="pct"/>
                  <w:tcBorders>
                    <w:tl2br w:val="nil"/>
                    <w:tr2bl w:val="nil"/>
                  </w:tcBorders>
                  <w:shd w:val="clear" w:color="auto" w:fill="auto"/>
                  <w:noWrap w:val="0"/>
                  <w:tcMar>
                    <w:top w:w="0" w:type="dxa"/>
                    <w:left w:w="0" w:type="dxa"/>
                    <w:bottom w:w="0" w:type="dxa"/>
                    <w:right w:w="0" w:type="dxa"/>
                  </w:tcMar>
                  <w:vAlign w:val="center"/>
                </w:tcPr>
                <w:p w14:paraId="79B313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46</w:t>
                  </w:r>
                </w:p>
              </w:tc>
              <w:tc>
                <w:tcPr>
                  <w:tcW w:w="1131" w:type="pct"/>
                  <w:tcBorders>
                    <w:tl2br w:val="nil"/>
                    <w:tr2bl w:val="nil"/>
                  </w:tcBorders>
                  <w:shd w:val="clear" w:color="auto" w:fill="auto"/>
                  <w:noWrap w:val="0"/>
                  <w:tcMar>
                    <w:top w:w="0" w:type="dxa"/>
                    <w:left w:w="0" w:type="dxa"/>
                    <w:bottom w:w="0" w:type="dxa"/>
                    <w:right w:w="0" w:type="dxa"/>
                  </w:tcMar>
                  <w:vAlign w:val="center"/>
                </w:tcPr>
                <w:p w14:paraId="3ADF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44</w:t>
                  </w:r>
                </w:p>
              </w:tc>
              <w:tc>
                <w:tcPr>
                  <w:tcW w:w="430" w:type="pct"/>
                  <w:tcBorders>
                    <w:tl2br w:val="nil"/>
                    <w:tr2bl w:val="nil"/>
                  </w:tcBorders>
                  <w:shd w:val="clear" w:color="auto" w:fill="auto"/>
                  <w:noWrap w:val="0"/>
                  <w:tcMar>
                    <w:top w:w="0" w:type="dxa"/>
                    <w:left w:w="0" w:type="dxa"/>
                    <w:bottom w:w="0" w:type="dxa"/>
                    <w:right w:w="0" w:type="dxa"/>
                  </w:tcMar>
                  <w:vAlign w:val="center"/>
                </w:tcPr>
                <w:p w14:paraId="7B109B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default" w:ascii="Times New Roman" w:hAnsi="Times New Roman" w:eastAsia="宋体" w:cs="Times New Roman"/>
                      <w:b w:val="0"/>
                      <w:bCs w:val="0"/>
                      <w:color w:val="FF0000"/>
                      <w:sz w:val="21"/>
                      <w:szCs w:val="21"/>
                      <w:u w:val="none"/>
                      <w:vertAlign w:val="baseline"/>
                      <w:lang w:val="en-US" w:eastAsia="zh-CN"/>
                    </w:rPr>
                    <w:t>300</w:t>
                  </w:r>
                </w:p>
              </w:tc>
              <w:tc>
                <w:tcPr>
                  <w:tcW w:w="537" w:type="pct"/>
                  <w:tcBorders>
                    <w:tl2br w:val="nil"/>
                    <w:tr2bl w:val="nil"/>
                  </w:tcBorders>
                  <w:shd w:val="clear" w:color="auto" w:fill="auto"/>
                  <w:noWrap w:val="0"/>
                  <w:tcMar>
                    <w:top w:w="0" w:type="dxa"/>
                    <w:left w:w="0" w:type="dxa"/>
                    <w:bottom w:w="0" w:type="dxa"/>
                    <w:right w:w="0" w:type="dxa"/>
                  </w:tcMar>
                  <w:vAlign w:val="center"/>
                </w:tcPr>
                <w:p w14:paraId="45DE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250</w:t>
                  </w:r>
                </w:p>
              </w:tc>
            </w:tr>
            <w:tr w14:paraId="55926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trPr>
              <w:tc>
                <w:tcPr>
                  <w:tcW w:w="316" w:type="pct"/>
                  <w:tcBorders>
                    <w:tl2br w:val="nil"/>
                    <w:tr2bl w:val="nil"/>
                  </w:tcBorders>
                  <w:noWrap w:val="0"/>
                  <w:tcMar>
                    <w:top w:w="0" w:type="dxa"/>
                    <w:left w:w="0" w:type="dxa"/>
                    <w:bottom w:w="0" w:type="dxa"/>
                    <w:right w:w="0" w:type="dxa"/>
                  </w:tcMar>
                  <w:vAlign w:val="center"/>
                </w:tcPr>
                <w:p w14:paraId="55878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1568" w:type="pct"/>
                  <w:tcBorders>
                    <w:tl2br w:val="nil"/>
                    <w:tr2bl w:val="nil"/>
                  </w:tcBorders>
                  <w:shd w:val="clear" w:color="auto" w:fill="auto"/>
                  <w:noWrap w:val="0"/>
                  <w:tcMar>
                    <w:top w:w="0" w:type="dxa"/>
                    <w:left w:w="0" w:type="dxa"/>
                    <w:bottom w:w="0" w:type="dxa"/>
                    <w:right w:w="0" w:type="dxa"/>
                  </w:tcMar>
                  <w:vAlign w:val="center"/>
                </w:tcPr>
                <w:p w14:paraId="3CF92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石油烃（</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6</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9</w:t>
                  </w:r>
                  <w:r>
                    <w:rPr>
                      <w:rFonts w:hint="default" w:ascii="Times New Roman" w:hAnsi="Times New Roman" w:eastAsia="宋体" w:cs="Times New Roman"/>
                      <w:b w:val="0"/>
                      <w:bCs w:val="0"/>
                      <w:sz w:val="21"/>
                      <w:szCs w:val="21"/>
                      <w:u w:val="none"/>
                      <w:vertAlign w:val="baseline"/>
                      <w:lang w:val="en-US" w:eastAsia="zh-CN"/>
                    </w:rPr>
                    <w:t>）(mg/kg)</w:t>
                  </w:r>
                </w:p>
              </w:tc>
              <w:tc>
                <w:tcPr>
                  <w:tcW w:w="1015" w:type="pct"/>
                  <w:tcBorders>
                    <w:tl2br w:val="nil"/>
                    <w:tr2bl w:val="nil"/>
                  </w:tcBorders>
                  <w:shd w:val="clear" w:color="auto" w:fill="auto"/>
                  <w:noWrap w:val="0"/>
                  <w:tcMar>
                    <w:top w:w="0" w:type="dxa"/>
                    <w:left w:w="0" w:type="dxa"/>
                    <w:bottom w:w="0" w:type="dxa"/>
                    <w:right w:w="0" w:type="dxa"/>
                  </w:tcMar>
                  <w:vAlign w:val="center"/>
                </w:tcPr>
                <w:p w14:paraId="2FAA5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9</w:t>
                  </w:r>
                </w:p>
              </w:tc>
              <w:tc>
                <w:tcPr>
                  <w:tcW w:w="1131" w:type="pct"/>
                  <w:tcBorders>
                    <w:tl2br w:val="nil"/>
                    <w:tr2bl w:val="nil"/>
                  </w:tcBorders>
                  <w:shd w:val="clear" w:color="auto" w:fill="auto"/>
                  <w:noWrap w:val="0"/>
                  <w:tcMar>
                    <w:top w:w="0" w:type="dxa"/>
                    <w:left w:w="0" w:type="dxa"/>
                    <w:bottom w:w="0" w:type="dxa"/>
                    <w:right w:w="0" w:type="dxa"/>
                  </w:tcMar>
                  <w:vAlign w:val="center"/>
                </w:tcPr>
                <w:p w14:paraId="67C0B2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9</w:t>
                  </w:r>
                </w:p>
              </w:tc>
              <w:tc>
                <w:tcPr>
                  <w:tcW w:w="430" w:type="pct"/>
                  <w:tcBorders>
                    <w:tl2br w:val="nil"/>
                    <w:tr2bl w:val="nil"/>
                  </w:tcBorders>
                  <w:shd w:val="clear" w:color="auto" w:fill="auto"/>
                  <w:noWrap w:val="0"/>
                  <w:tcMar>
                    <w:top w:w="0" w:type="dxa"/>
                    <w:left w:w="0" w:type="dxa"/>
                    <w:bottom w:w="0" w:type="dxa"/>
                    <w:right w:w="0" w:type="dxa"/>
                  </w:tcMar>
                  <w:vAlign w:val="center"/>
                </w:tcPr>
                <w:p w14:paraId="02A6F2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w:t>
                  </w:r>
                </w:p>
              </w:tc>
              <w:tc>
                <w:tcPr>
                  <w:tcW w:w="537" w:type="pct"/>
                  <w:tcBorders>
                    <w:tl2br w:val="nil"/>
                    <w:tr2bl w:val="nil"/>
                  </w:tcBorders>
                  <w:shd w:val="clear" w:color="auto" w:fill="auto"/>
                  <w:noWrap w:val="0"/>
                  <w:tcMar>
                    <w:top w:w="0" w:type="dxa"/>
                    <w:left w:w="0" w:type="dxa"/>
                    <w:bottom w:w="0" w:type="dxa"/>
                    <w:right w:w="0" w:type="dxa"/>
                  </w:tcMar>
                  <w:vAlign w:val="center"/>
                </w:tcPr>
                <w:p w14:paraId="36CE3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w:t>
                  </w:r>
                </w:p>
              </w:tc>
            </w:tr>
            <w:tr w14:paraId="6C651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20FB6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11</w:t>
                  </w:r>
                </w:p>
              </w:tc>
              <w:tc>
                <w:tcPr>
                  <w:tcW w:w="1568" w:type="pct"/>
                  <w:tcBorders>
                    <w:tl2br w:val="nil"/>
                    <w:tr2bl w:val="nil"/>
                  </w:tcBorders>
                  <w:shd w:val="clear" w:color="auto" w:fill="auto"/>
                  <w:noWrap w:val="0"/>
                  <w:tcMar>
                    <w:top w:w="0" w:type="dxa"/>
                    <w:left w:w="0" w:type="dxa"/>
                    <w:bottom w:w="0" w:type="dxa"/>
                    <w:right w:w="0" w:type="dxa"/>
                  </w:tcMar>
                  <w:vAlign w:val="center"/>
                </w:tcPr>
                <w:p w14:paraId="2FD53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石油烃（</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10</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40</w:t>
                  </w:r>
                  <w:r>
                    <w:rPr>
                      <w:rFonts w:hint="default" w:ascii="Times New Roman" w:hAnsi="Times New Roman" w:eastAsia="宋体" w:cs="Times New Roman"/>
                      <w:b w:val="0"/>
                      <w:bCs w:val="0"/>
                      <w:sz w:val="21"/>
                      <w:szCs w:val="21"/>
                      <w:u w:val="none"/>
                      <w:vertAlign w:val="baseline"/>
                      <w:lang w:val="en-US" w:eastAsia="zh-CN"/>
                    </w:rPr>
                    <w:t>）(mg/kg)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BE234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27</w:t>
                  </w:r>
                </w:p>
              </w:tc>
              <w:tc>
                <w:tcPr>
                  <w:tcW w:w="1131" w:type="pct"/>
                  <w:tcBorders>
                    <w:tl2br w:val="nil"/>
                    <w:tr2bl w:val="nil"/>
                  </w:tcBorders>
                  <w:shd w:val="clear" w:color="auto" w:fill="auto"/>
                  <w:noWrap w:val="0"/>
                  <w:tcMar>
                    <w:top w:w="0" w:type="dxa"/>
                    <w:left w:w="0" w:type="dxa"/>
                    <w:bottom w:w="0" w:type="dxa"/>
                    <w:right w:w="0" w:type="dxa"/>
                  </w:tcMar>
                  <w:vAlign w:val="center"/>
                </w:tcPr>
                <w:p w14:paraId="2FE4D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20</w:t>
                  </w:r>
                </w:p>
              </w:tc>
              <w:tc>
                <w:tcPr>
                  <w:tcW w:w="430" w:type="pct"/>
                  <w:tcBorders>
                    <w:tl2br w:val="nil"/>
                    <w:tr2bl w:val="nil"/>
                  </w:tcBorders>
                  <w:shd w:val="clear" w:color="auto" w:fill="auto"/>
                  <w:noWrap w:val="0"/>
                  <w:tcMar>
                    <w:top w:w="0" w:type="dxa"/>
                    <w:left w:w="0" w:type="dxa"/>
                    <w:bottom w:w="0" w:type="dxa"/>
                    <w:right w:w="0" w:type="dxa"/>
                  </w:tcMar>
                  <w:vAlign w:val="center"/>
                </w:tcPr>
                <w:p w14:paraId="19C3FC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500</w:t>
                  </w:r>
                </w:p>
              </w:tc>
              <w:tc>
                <w:tcPr>
                  <w:tcW w:w="537" w:type="pct"/>
                  <w:tcBorders>
                    <w:tl2br w:val="nil"/>
                    <w:tr2bl w:val="nil"/>
                  </w:tcBorders>
                  <w:shd w:val="clear" w:color="auto" w:fill="auto"/>
                  <w:noWrap w:val="0"/>
                  <w:tcMar>
                    <w:top w:w="0" w:type="dxa"/>
                    <w:left w:w="0" w:type="dxa"/>
                    <w:bottom w:w="0" w:type="dxa"/>
                    <w:right w:w="0" w:type="dxa"/>
                  </w:tcMar>
                  <w:vAlign w:val="center"/>
                </w:tcPr>
                <w:p w14:paraId="43705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500</w:t>
                  </w:r>
                </w:p>
              </w:tc>
            </w:tr>
            <w:bookmarkEnd w:id="19"/>
          </w:tbl>
          <w:p w14:paraId="1CD8507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00E15C3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269C82F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654FD4E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77AD738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04BFE838">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tc>
      </w:tr>
    </w:tbl>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default" w:ascii="Times New Roman" w:hAnsi="Times New Roman" w:eastAsia="宋体" w:cs="Times New Roman"/>
          <w:b/>
          <w:bCs/>
          <w:color w:val="auto"/>
          <w:spacing w:val="10"/>
          <w:w w:val="95"/>
          <w:sz w:val="32"/>
          <w:szCs w:val="22"/>
          <w:highlight w:val="none"/>
          <w:lang w:val="en-US" w:eastAsia="zh-CN" w:bidi="ar-SA"/>
        </w:rPr>
        <w:t>9.环境管理</w:t>
      </w:r>
      <w:bookmarkEnd w:id="17"/>
      <w:r>
        <w:rPr>
          <w:rFonts w:hint="default" w:ascii="Times New Roman" w:hAnsi="Times New Roman" w:eastAsia="宋体" w:cs="Times New Roman"/>
          <w:b/>
          <w:bCs/>
          <w:color w:val="auto"/>
          <w:spacing w:val="10"/>
          <w:w w:val="95"/>
          <w:sz w:val="32"/>
          <w:szCs w:val="22"/>
          <w:highlight w:val="none"/>
          <w:lang w:val="en-US" w:eastAsia="zh-CN" w:bidi="ar-SA"/>
        </w:rPr>
        <w:t>情况</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9.1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为贯彻执行相关环境保护法律法规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及时了解项目及周围环境质量、社会因子的变化情况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掌握环境保护措施实施效果</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保证项目所在区域良好的环境质量</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本项目环境管理的主要目标为监督和检查项目污染防治措施、生态影响恢复措施的落实情况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确保各项环境保护措施按照环评及批复要求进行落实</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把项目建设对周边环境的影响减小到最低程度</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确保环境保护设施建设达到设计要求</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1）施工期环境管理机构由</w:t>
            </w:r>
            <w:r>
              <w:rPr>
                <w:rFonts w:hint="default" w:ascii="Times New Roman" w:hAnsi="Times New Roman" w:eastAsia="宋体" w:cs="Times New Roman"/>
                <w:color w:val="auto"/>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z w:val="24"/>
                <w:szCs w:val="24"/>
                <w:highlight w:val="none"/>
              </w:rPr>
              <w:t>和施工单位联合组成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负责项目施工期间环境管理的组织、协调、监督和检查工作。在各个单项施工合同中列入环境保护的相关要求</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2）施工期环境管理机构工作人员监督、检查各项环保设施的落实情况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重点检查项目进站是否符合“三同时”原则。同时对施工期废气治理、污水处置、固废处置</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噪声排放等工作进行组织协调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通过现场调查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并根据建设单位提供的资料可知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在本项目的施工期间没有发生过环境污染事故</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本项目不涉及</w:t>
            </w:r>
            <w:r>
              <w:rPr>
                <w:rFonts w:hint="default" w:ascii="Times New Roman" w:hAnsi="Times New Roman" w:eastAsia="宋体" w:cs="Times New Roman"/>
                <w:color w:val="auto"/>
                <w:sz w:val="24"/>
                <w:szCs w:val="24"/>
                <w:highlight w:val="none"/>
                <w:lang w:eastAsia="zh-CN"/>
              </w:rPr>
              <w:t>石油</w:t>
            </w:r>
            <w:r>
              <w:rPr>
                <w:rFonts w:hint="default" w:ascii="Times New Roman" w:hAnsi="Times New Roman" w:eastAsia="宋体" w:cs="Times New Roman"/>
                <w:color w:val="auto"/>
                <w:sz w:val="24"/>
                <w:szCs w:val="24"/>
                <w:highlight w:val="none"/>
              </w:rPr>
              <w:t>开采</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z w:val="24"/>
                <w:szCs w:val="24"/>
                <w:highlight w:val="none"/>
              </w:rPr>
              <w:t>负责</w:t>
            </w:r>
            <w:r>
              <w:rPr>
                <w:rFonts w:hint="default" w:ascii="Times New Roman" w:hAnsi="Times New Roman" w:eastAsia="宋体" w:cs="Times New Roman"/>
                <w:color w:val="auto"/>
                <w:sz w:val="24"/>
                <w:szCs w:val="24"/>
                <w:highlight w:val="none"/>
                <w:lang w:eastAsia="zh-CN"/>
              </w:rPr>
              <w:t>井场</w:t>
            </w:r>
            <w:r>
              <w:rPr>
                <w:rFonts w:hint="default" w:ascii="Times New Roman" w:hAnsi="Times New Roman" w:eastAsia="宋体" w:cs="Times New Roman"/>
                <w:color w:val="auto"/>
                <w:sz w:val="24"/>
                <w:szCs w:val="24"/>
                <w:highlight w:val="none"/>
              </w:rPr>
              <w:t>关井期管理工作</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9.2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default"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强化</w:t>
            </w:r>
            <w:r>
              <w:rPr>
                <w:rFonts w:hint="default"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9.3</w:t>
            </w:r>
            <w:r>
              <w:rPr>
                <w:rFonts w:hint="default" w:ascii="Times New Roman" w:hAnsi="Times New Roman" w:eastAsia="宋体" w:cs="Times New Roman"/>
                <w:b/>
                <w:bCs/>
                <w:color w:val="auto"/>
                <w:sz w:val="24"/>
                <w:szCs w:val="24"/>
                <w:highlight w:val="none"/>
              </w:rPr>
              <w:t>监测计划及其落实情况</w:t>
            </w:r>
          </w:p>
          <w:p w14:paraId="562BD9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本项目为石油勘探项目，不涉及石油开采，环境影响报告表中未提出监测计划。</w:t>
            </w:r>
          </w:p>
          <w:p w14:paraId="6F0FC7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default" w:ascii="Times New Roman" w:hAnsi="Times New Roman" w:eastAsia="宋体" w:cs="Times New Roman"/>
                <w:b/>
                <w:bCs/>
                <w:color w:val="auto"/>
                <w:w w:val="100"/>
                <w:sz w:val="24"/>
                <w:szCs w:val="24"/>
                <w:highlight w:val="none"/>
                <w:vertAlign w:val="baseline"/>
                <w:lang w:val="en-US" w:eastAsia="zh-CN"/>
              </w:rPr>
              <w:t>9.4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lang w:val="en-US" w:eastAsia="zh-CN"/>
              </w:rPr>
            </w:pPr>
            <w:r>
              <w:rPr>
                <w:rFonts w:hint="default"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bidi="ar-SA"/>
              </w:rPr>
              <w:t>并于2023年1月11日取得了庆阳市生态环境局宁县分局备案文件。该应急预案修编日期为2026年1月11日，在本项目验收时间范围内。本项目已按该应急预案进行了应急演练。</w:t>
            </w:r>
            <w:r>
              <w:rPr>
                <w:rFonts w:hint="default" w:ascii="Times New Roman" w:hAnsi="Times New Roman" w:eastAsia="宋体" w:cs="Times New Roman"/>
                <w:color w:val="auto"/>
                <w:sz w:val="24"/>
                <w:szCs w:val="24"/>
                <w:highlight w:val="none"/>
                <w:lang w:val="en-US" w:eastAsia="zh-CN"/>
              </w:rPr>
              <w:t>环保管理机构与管理制度健全，环境保护相关档案资料齐备，保存完整，采取的环境管理措施到位，从现场调查的情况来看，环境保护工作取得了较好的效果，没有因环境管理失误对环境造成不良影响。</w:t>
            </w:r>
          </w:p>
          <w:p w14:paraId="73DAE3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9.6排污许可证</w:t>
            </w:r>
          </w:p>
          <w:p w14:paraId="469D8C7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E3073A1">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2AA1D0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20" w:name="_Toc30324"/>
    </w:p>
    <w:p w14:paraId="06C04114">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default" w:ascii="Times New Roman" w:hAnsi="Times New Roman" w:eastAsia="宋体" w:cs="Times New Roman"/>
          <w:b/>
          <w:bCs/>
          <w:color w:val="auto"/>
          <w:spacing w:val="10"/>
          <w:w w:val="95"/>
          <w:sz w:val="32"/>
          <w:szCs w:val="22"/>
          <w:highlight w:val="none"/>
          <w:lang w:val="en-US" w:eastAsia="zh-CN" w:bidi="ar-SA"/>
        </w:rPr>
        <w:t>10.调查结论与建议</w:t>
      </w:r>
      <w:bookmarkEnd w:id="20"/>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10.1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138835C3">
            <w:pPr>
              <w:pStyle w:val="49"/>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pacing w:val="0"/>
                <w:w w:val="100"/>
                <w:sz w:val="24"/>
                <w:szCs w:val="24"/>
                <w:highlight w:val="none"/>
                <w:lang w:eastAsia="zh-CN"/>
              </w:rPr>
              <w:t>泾河3402H（良平2H）</w:t>
            </w:r>
            <w:r>
              <w:rPr>
                <w:rFonts w:hint="default" w:ascii="Times New Roman" w:hAnsi="Times New Roman" w:eastAsia="宋体" w:cs="Times New Roman"/>
                <w:color w:val="auto"/>
                <w:spacing w:val="0"/>
                <w:w w:val="100"/>
                <w:sz w:val="24"/>
                <w:szCs w:val="24"/>
                <w:highlight w:val="none"/>
                <w:lang w:eastAsia="zh-CN"/>
              </w:rPr>
              <w:t>：甘肃省庆阳市</w:t>
            </w:r>
            <w:r>
              <w:rPr>
                <w:rFonts w:hint="default" w:ascii="Times New Roman" w:hAnsi="Times New Roman" w:cs="Times New Roman"/>
                <w:color w:val="auto"/>
                <w:spacing w:val="0"/>
                <w:w w:val="100"/>
                <w:sz w:val="24"/>
                <w:szCs w:val="24"/>
                <w:highlight w:val="none"/>
                <w:lang w:eastAsia="zh-CN"/>
              </w:rPr>
              <w:t>宁县早胜镇南庄村二组</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w:t>
            </w:r>
            <w:r>
              <w:rPr>
                <w:rFonts w:hint="default" w:ascii="Times New Roman" w:hAnsi="Times New Roman" w:cs="Times New Roman"/>
                <w:color w:val="auto"/>
                <w:spacing w:val="0"/>
                <w:w w:val="100"/>
                <w:sz w:val="24"/>
                <w:szCs w:val="24"/>
                <w:highlight w:val="none"/>
                <w:lang w:val="en-US" w:eastAsia="zh-CN"/>
              </w:rPr>
              <w:t>E107°47′38.782″，N35°22′38.788″</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建设1</w:t>
            </w:r>
            <w:r>
              <w:rPr>
                <w:rFonts w:hint="default" w:ascii="Times New Roman" w:hAnsi="Times New Roman" w:eastAsia="宋体" w:cs="Times New Roman"/>
                <w:color w:val="auto"/>
                <w:sz w:val="24"/>
                <w:szCs w:val="24"/>
                <w:lang w:val="en-US" w:eastAsia="zh-CN"/>
              </w:rPr>
              <w:t>口</w:t>
            </w:r>
            <w:r>
              <w:rPr>
                <w:rFonts w:hint="default" w:ascii="Times New Roman" w:hAnsi="Times New Roman"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default" w:ascii="Times New Roman" w:hAnsi="Times New Roman" w:cs="Times New Roman"/>
                <w:color w:val="auto"/>
                <w:sz w:val="24"/>
                <w:szCs w:val="24"/>
                <w:lang w:val="en-US" w:eastAsia="zh-CN"/>
              </w:rPr>
              <w:t>及进场道路，</w:t>
            </w:r>
            <w:r>
              <w:rPr>
                <w:rFonts w:hint="default" w:ascii="Times New Roman" w:hAnsi="Times New Roman" w:eastAsia="宋体" w:cs="Times New Roman"/>
                <w:color w:val="auto"/>
                <w:sz w:val="24"/>
                <w:szCs w:val="24"/>
              </w:rPr>
              <w:t>临时占地</w:t>
            </w:r>
            <w:r>
              <w:rPr>
                <w:rFonts w:hint="default" w:ascii="Times New Roman" w:hAnsi="Times New Roman" w:cs="Times New Roman"/>
                <w:color w:val="auto"/>
                <w:sz w:val="24"/>
                <w:szCs w:val="24"/>
                <w:lang w:val="en-US" w:eastAsia="zh-CN"/>
              </w:rPr>
              <w:t>面积7670m</w:t>
            </w:r>
            <w:r>
              <w:rPr>
                <w:rFonts w:hint="default" w:ascii="Times New Roman" w:hAnsi="Times New Roman" w:cs="Times New Roman"/>
                <w:color w:val="auto"/>
                <w:sz w:val="24"/>
                <w:szCs w:val="24"/>
                <w:vertAlign w:val="superscript"/>
                <w:lang w:val="en-US" w:eastAsia="zh-CN"/>
              </w:rPr>
              <w:t>2</w:t>
            </w:r>
            <w:r>
              <w:rPr>
                <w:rFonts w:hint="default" w:ascii="Times New Roman" w:hAnsi="Times New Roman" w:cs="Times New Roman"/>
                <w:color w:val="auto"/>
                <w:sz w:val="24"/>
                <w:szCs w:val="24"/>
                <w:vertAlign w:val="baseline"/>
                <w:lang w:eastAsia="zh-CN"/>
              </w:rPr>
              <w:t>，</w:t>
            </w:r>
            <w:r>
              <w:rPr>
                <w:rFonts w:hint="default" w:ascii="Times New Roman" w:hAnsi="Times New Roman" w:cs="Times New Roman"/>
                <w:color w:val="auto"/>
                <w:sz w:val="24"/>
                <w:szCs w:val="24"/>
                <w:lang w:val="en-US" w:eastAsia="zh-CN"/>
              </w:rPr>
              <w:t>占地类型为耕地</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钻井深度为2311m</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井型为</w:t>
            </w:r>
            <w:r>
              <w:rPr>
                <w:rFonts w:hint="default" w:ascii="Times New Roman" w:hAnsi="Times New Roman" w:cs="Times New Roman"/>
                <w:color w:val="auto"/>
                <w:sz w:val="24"/>
                <w:szCs w:val="24"/>
                <w:lang w:val="en-US" w:eastAsia="zh-CN"/>
              </w:rPr>
              <w:t>直井</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lang w:val="en-US" w:eastAsia="zh-CN"/>
              </w:rPr>
              <w:t>目的层位</w:t>
            </w:r>
            <w:r>
              <w:rPr>
                <w:rFonts w:hint="default" w:ascii="Times New Roman" w:hAnsi="Times New Roman" w:cs="Times New Roman"/>
                <w:color w:val="auto"/>
                <w:sz w:val="24"/>
                <w:szCs w:val="24"/>
                <w:lang w:val="en-US" w:eastAsia="zh-CN"/>
              </w:rPr>
              <w:t>为</w:t>
            </w:r>
            <w:r>
              <w:rPr>
                <w:rFonts w:hint="default" w:ascii="Times New Roman" w:hAnsi="Times New Roman" w:eastAsia="宋体" w:cs="Times New Roman"/>
                <w:color w:val="auto"/>
                <w:sz w:val="24"/>
                <w:szCs w:val="24"/>
              </w:rPr>
              <w:t>长72、长81储层</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rPr>
              <w:t>钻井结束后，进行了完井测试，工程实际建设内容与环评及审查意见内容一致。</w:t>
            </w:r>
          </w:p>
          <w:p w14:paraId="31E8417A">
            <w:pPr>
              <w:pStyle w:val="38"/>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default" w:ascii="Times New Roman" w:hAnsi="Times New Roman"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该项目实际总投资1000万元，环保投资为80.01万元，占工程实际总投资的8.001%。主要用于施工扬尘治理、废水处理、固体废物处理、噪声污染防治，以及施工迹地生态恢复等。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3、环境影响调查结论</w:t>
            </w:r>
          </w:p>
          <w:p w14:paraId="7BCDD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0A17801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b w:val="0"/>
                <w:bCs w:val="0"/>
                <w:color w:val="FF0000"/>
                <w:sz w:val="24"/>
                <w:szCs w:val="24"/>
                <w:highlight w:val="none"/>
                <w:lang w:val="en-US" w:eastAsia="zh-CN" w:bidi="ar-SA"/>
              </w:rPr>
              <w:t>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default"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采油一厂已编制</w:t>
            </w:r>
            <w:r>
              <w:rPr>
                <w:rFonts w:hint="default" w:ascii="Times New Roman" w:hAnsi="Times New Roman" w:eastAsia="宋体" w:cs="Times New Roman"/>
                <w:color w:val="auto"/>
                <w:sz w:val="24"/>
                <w:szCs w:val="24"/>
                <w:highlight w:val="none"/>
                <w:lang w:val="en-US" w:eastAsia="zh-CN"/>
              </w:rPr>
              <w:t>突发环境事件应急预案，并于2023年1月11日取得了庆阳市生态环境局宁县分局预案备案文件，并按照预案中相关应急措施进行定期演练。该应急预案修编日期为2026年1月11日，在本项目验收时间范围内。</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51001B60">
            <w:pPr>
              <w:pStyle w:val="7"/>
              <w:keepNext/>
              <w:keepLines/>
              <w:pageBreakBefore w:val="0"/>
              <w:widowControl/>
              <w:numPr>
                <w:ilvl w:val="0"/>
                <w:numId w:val="6"/>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7C61B57C">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10.2建议和要求</w:t>
            </w:r>
          </w:p>
          <w:p w14:paraId="6D31BA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（1）加强项目施工过程中各项目环保资料的档案管理。 </w:t>
            </w:r>
          </w:p>
          <w:p w14:paraId="1E96760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（2）转生产井应尽快办理探井转生产井等相关环保手续。 </w:t>
            </w:r>
          </w:p>
          <w:p w14:paraId="441BA6C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（3）加强井场生态恢复管理，做好植被恢复养护工作，保证植被成活率。</w:t>
            </w:r>
          </w:p>
          <w:p w14:paraId="3E5F72B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5A0C02E0">
            <w:pPr>
              <w:pStyle w:val="5"/>
              <w:widowControl w:val="0"/>
              <w:suppressLineNumbers w:val="0"/>
              <w:spacing w:before="0"/>
              <w:ind w:left="0" w:right="0"/>
              <w:jc w:val="both"/>
              <w:rPr>
                <w:rFonts w:hint="default" w:ascii="Times New Roman" w:hAnsi="Times New Roman" w:cs="Times New Roman"/>
                <w:color w:val="auto"/>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5A68BD4D">
      <w:pPr>
        <w:rPr>
          <w:rFonts w:hint="default" w:ascii="Times New Roman" w:hAnsi="Times New Roman" w:eastAsia="宋体" w:cs="Times New Roman"/>
          <w:color w:val="auto"/>
          <w:highlight w:val="none"/>
        </w:rPr>
      </w:pPr>
    </w:p>
    <w:p w14:paraId="17A97569">
      <w:pPr>
        <w:pStyle w:val="25"/>
        <w:rPr>
          <w:rFonts w:hint="default" w:ascii="Times New Roman" w:hAnsi="Times New Roman" w:eastAsia="宋体" w:cs="Times New Roman"/>
          <w:color w:val="auto"/>
          <w:highlight w:val="none"/>
        </w:rPr>
      </w:pPr>
    </w:p>
    <w:p w14:paraId="07AC7616">
      <w:pPr>
        <w:pStyle w:val="25"/>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69924">
    <w:pPr>
      <w:pStyle w:val="16"/>
      <w:framePr w:wrap="around" w:vAnchor="text" w:hAnchor="margin" w:xAlign="center" w:y="1"/>
      <w:rPr>
        <w:rStyle w:val="29"/>
      </w:rPr>
    </w:pPr>
    <w:r>
      <w:fldChar w:fldCharType="begin"/>
    </w:r>
    <w:r>
      <w:rPr>
        <w:rStyle w:val="29"/>
      </w:rPr>
      <w:instrText xml:space="preserve">PAGE  </w:instrText>
    </w:r>
    <w:r>
      <w:fldChar w:fldCharType="separate"/>
    </w:r>
    <w:r>
      <w:rPr>
        <w:rStyle w:val="29"/>
      </w:rPr>
      <w:t>26</w:t>
    </w:r>
    <w:r>
      <w:fldChar w:fldCharType="end"/>
    </w:r>
  </w:p>
  <w:p w14:paraId="2E6D5285">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5D4BB8">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15D4BB8">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8EDFE7">
                          <w:pPr>
                            <w:pStyle w:val="1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D8EDFE7">
                    <w:pPr>
                      <w:pStyle w:val="1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2FF0EA"/>
    <w:multiLevelType w:val="singleLevel"/>
    <w:tmpl w:val="CB2FF0EA"/>
    <w:lvl w:ilvl="0" w:tentative="0">
      <w:start w:val="4"/>
      <w:numFmt w:val="decimal"/>
      <w:suff w:val="nothing"/>
      <w:lvlText w:val="%1、"/>
      <w:lvlJc w:val="left"/>
    </w:lvl>
  </w:abstractNum>
  <w:abstractNum w:abstractNumId="1">
    <w:nsid w:val="D604CBF7"/>
    <w:multiLevelType w:val="singleLevel"/>
    <w:tmpl w:val="D604CBF7"/>
    <w:lvl w:ilvl="0" w:tentative="0">
      <w:start w:val="4"/>
      <w:numFmt w:val="decimal"/>
      <w:lvlText w:val="%1."/>
      <w:lvlJc w:val="left"/>
      <w:pPr>
        <w:tabs>
          <w:tab w:val="left" w:pos="312"/>
        </w:tabs>
      </w:pPr>
    </w:lvl>
  </w:abstractNum>
  <w:abstractNum w:abstractNumId="2">
    <w:nsid w:val="DC941652"/>
    <w:multiLevelType w:val="singleLevel"/>
    <w:tmpl w:val="DC941652"/>
    <w:lvl w:ilvl="0" w:tentative="0">
      <w:start w:val="1"/>
      <w:numFmt w:val="decimal"/>
      <w:suff w:val="nothing"/>
      <w:lvlText w:val="（%1）"/>
      <w:lvlJc w:val="left"/>
    </w:lvl>
  </w:abstractNum>
  <w:abstractNum w:abstractNumId="3">
    <w:nsid w:val="483546B3"/>
    <w:multiLevelType w:val="singleLevel"/>
    <w:tmpl w:val="483546B3"/>
    <w:lvl w:ilvl="0" w:tentative="0">
      <w:start w:val="1"/>
      <w:numFmt w:val="decimal"/>
      <w:suff w:val="nothing"/>
      <w:lvlText w:val="%1、"/>
      <w:lvlJc w:val="left"/>
    </w:lvl>
  </w:abstractNum>
  <w:abstractNum w:abstractNumId="4">
    <w:nsid w:val="4F5213C2"/>
    <w:multiLevelType w:val="singleLevel"/>
    <w:tmpl w:val="4F5213C2"/>
    <w:lvl w:ilvl="0" w:tentative="0">
      <w:start w:val="1"/>
      <w:numFmt w:val="decimal"/>
      <w:suff w:val="nothing"/>
      <w:lvlText w:val="%1、"/>
      <w:lvlJc w:val="left"/>
    </w:lvl>
  </w:abstractNum>
  <w:abstractNum w:abstractNumId="5">
    <w:nsid w:val="7A416AFF"/>
    <w:multiLevelType w:val="singleLevel"/>
    <w:tmpl w:val="7A416AFF"/>
    <w:lvl w:ilvl="0" w:tentative="0">
      <w:start w:val="6"/>
      <w:numFmt w:val="decimal"/>
      <w:suff w:val="nothing"/>
      <w:lvlText w:val="%1、"/>
      <w:lvlJc w:val="left"/>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0C3DA7"/>
    <w:rsid w:val="00135135"/>
    <w:rsid w:val="00150EAD"/>
    <w:rsid w:val="0018274C"/>
    <w:rsid w:val="001F1C09"/>
    <w:rsid w:val="00220FB0"/>
    <w:rsid w:val="00295C6D"/>
    <w:rsid w:val="002C65ED"/>
    <w:rsid w:val="003145A2"/>
    <w:rsid w:val="003752C8"/>
    <w:rsid w:val="00390482"/>
    <w:rsid w:val="003F1D0B"/>
    <w:rsid w:val="003F23CE"/>
    <w:rsid w:val="004C4EDD"/>
    <w:rsid w:val="0055266A"/>
    <w:rsid w:val="00563274"/>
    <w:rsid w:val="005714C6"/>
    <w:rsid w:val="005B47D0"/>
    <w:rsid w:val="005C088A"/>
    <w:rsid w:val="005F037B"/>
    <w:rsid w:val="0061443A"/>
    <w:rsid w:val="006911F9"/>
    <w:rsid w:val="0069744B"/>
    <w:rsid w:val="00724DE5"/>
    <w:rsid w:val="00732078"/>
    <w:rsid w:val="00733E26"/>
    <w:rsid w:val="007A1026"/>
    <w:rsid w:val="007B6B90"/>
    <w:rsid w:val="007D0F25"/>
    <w:rsid w:val="00803C8F"/>
    <w:rsid w:val="0086777B"/>
    <w:rsid w:val="008A4EAD"/>
    <w:rsid w:val="008B5614"/>
    <w:rsid w:val="00951517"/>
    <w:rsid w:val="009B5E85"/>
    <w:rsid w:val="009C2C3A"/>
    <w:rsid w:val="009D0EA3"/>
    <w:rsid w:val="00A66BF9"/>
    <w:rsid w:val="00A83AD0"/>
    <w:rsid w:val="00AA32B3"/>
    <w:rsid w:val="00AB755B"/>
    <w:rsid w:val="00AC3E2D"/>
    <w:rsid w:val="00B32474"/>
    <w:rsid w:val="00B36066"/>
    <w:rsid w:val="00B51FAF"/>
    <w:rsid w:val="00B52690"/>
    <w:rsid w:val="00B561ED"/>
    <w:rsid w:val="00BA1A55"/>
    <w:rsid w:val="00C91C98"/>
    <w:rsid w:val="00CC13C4"/>
    <w:rsid w:val="00CF3752"/>
    <w:rsid w:val="00D074CA"/>
    <w:rsid w:val="00D11846"/>
    <w:rsid w:val="00D17C72"/>
    <w:rsid w:val="00D74DF5"/>
    <w:rsid w:val="00DC19CB"/>
    <w:rsid w:val="00DF270A"/>
    <w:rsid w:val="00E645F8"/>
    <w:rsid w:val="00ED3BD8"/>
    <w:rsid w:val="00EF40AB"/>
    <w:rsid w:val="00EF7950"/>
    <w:rsid w:val="00F211EF"/>
    <w:rsid w:val="00F46D15"/>
    <w:rsid w:val="00F705B3"/>
    <w:rsid w:val="00F9135F"/>
    <w:rsid w:val="00FC02BF"/>
    <w:rsid w:val="00FF0E03"/>
    <w:rsid w:val="01017684"/>
    <w:rsid w:val="01062EEC"/>
    <w:rsid w:val="011138F0"/>
    <w:rsid w:val="01141165"/>
    <w:rsid w:val="011B7573"/>
    <w:rsid w:val="011C44BE"/>
    <w:rsid w:val="011E3D92"/>
    <w:rsid w:val="011F2AD1"/>
    <w:rsid w:val="01207B0A"/>
    <w:rsid w:val="01233A9E"/>
    <w:rsid w:val="01311D17"/>
    <w:rsid w:val="014D4677"/>
    <w:rsid w:val="01552C7E"/>
    <w:rsid w:val="016519C1"/>
    <w:rsid w:val="016D19EC"/>
    <w:rsid w:val="016D4D19"/>
    <w:rsid w:val="016F283F"/>
    <w:rsid w:val="01721FCC"/>
    <w:rsid w:val="017764CA"/>
    <w:rsid w:val="01787946"/>
    <w:rsid w:val="017936BE"/>
    <w:rsid w:val="0179546C"/>
    <w:rsid w:val="017A36FD"/>
    <w:rsid w:val="017E2131"/>
    <w:rsid w:val="01820EA5"/>
    <w:rsid w:val="0185764C"/>
    <w:rsid w:val="01877B89"/>
    <w:rsid w:val="018A7679"/>
    <w:rsid w:val="019127B6"/>
    <w:rsid w:val="019422A6"/>
    <w:rsid w:val="019C3DA1"/>
    <w:rsid w:val="019E4ED3"/>
    <w:rsid w:val="01A2062B"/>
    <w:rsid w:val="01A26771"/>
    <w:rsid w:val="01A544B3"/>
    <w:rsid w:val="01AB3280"/>
    <w:rsid w:val="01B110AA"/>
    <w:rsid w:val="01B46289"/>
    <w:rsid w:val="01B82438"/>
    <w:rsid w:val="01BB5A85"/>
    <w:rsid w:val="01BE06BB"/>
    <w:rsid w:val="01C901A1"/>
    <w:rsid w:val="01C963F3"/>
    <w:rsid w:val="01CE2522"/>
    <w:rsid w:val="01CF1530"/>
    <w:rsid w:val="01D9415D"/>
    <w:rsid w:val="01E07299"/>
    <w:rsid w:val="01E90844"/>
    <w:rsid w:val="01EA5991"/>
    <w:rsid w:val="01EC0334"/>
    <w:rsid w:val="01EF3980"/>
    <w:rsid w:val="01F01BD2"/>
    <w:rsid w:val="01F176F8"/>
    <w:rsid w:val="01F40F97"/>
    <w:rsid w:val="01F42D45"/>
    <w:rsid w:val="01F86CD9"/>
    <w:rsid w:val="01FF0067"/>
    <w:rsid w:val="020421DD"/>
    <w:rsid w:val="020B07BA"/>
    <w:rsid w:val="020F7B7E"/>
    <w:rsid w:val="02131F64"/>
    <w:rsid w:val="021921CC"/>
    <w:rsid w:val="021B4775"/>
    <w:rsid w:val="022A2C9E"/>
    <w:rsid w:val="022D5DEF"/>
    <w:rsid w:val="023868B8"/>
    <w:rsid w:val="023B6634"/>
    <w:rsid w:val="024141DC"/>
    <w:rsid w:val="024912E2"/>
    <w:rsid w:val="024C492F"/>
    <w:rsid w:val="025714DE"/>
    <w:rsid w:val="025727E8"/>
    <w:rsid w:val="025832D3"/>
    <w:rsid w:val="02587777"/>
    <w:rsid w:val="025A529E"/>
    <w:rsid w:val="025D7143"/>
    <w:rsid w:val="025F4662"/>
    <w:rsid w:val="026478F5"/>
    <w:rsid w:val="026532A6"/>
    <w:rsid w:val="026918FA"/>
    <w:rsid w:val="02734D1B"/>
    <w:rsid w:val="02757789"/>
    <w:rsid w:val="027A149C"/>
    <w:rsid w:val="028160FE"/>
    <w:rsid w:val="02830E67"/>
    <w:rsid w:val="028C11CF"/>
    <w:rsid w:val="028D6E3D"/>
    <w:rsid w:val="028E13EB"/>
    <w:rsid w:val="02935D81"/>
    <w:rsid w:val="02945FBB"/>
    <w:rsid w:val="029925B5"/>
    <w:rsid w:val="02994018"/>
    <w:rsid w:val="029B75CA"/>
    <w:rsid w:val="029F740E"/>
    <w:rsid w:val="02A4476B"/>
    <w:rsid w:val="02A705C7"/>
    <w:rsid w:val="02A76009"/>
    <w:rsid w:val="02A824AD"/>
    <w:rsid w:val="02AF4C2A"/>
    <w:rsid w:val="02BB22C4"/>
    <w:rsid w:val="02BF7CA2"/>
    <w:rsid w:val="02C2251F"/>
    <w:rsid w:val="02C31095"/>
    <w:rsid w:val="02C531E2"/>
    <w:rsid w:val="02C80459"/>
    <w:rsid w:val="02C83C80"/>
    <w:rsid w:val="02CA0054"/>
    <w:rsid w:val="02CB3234"/>
    <w:rsid w:val="02CC5BEF"/>
    <w:rsid w:val="02D47C5E"/>
    <w:rsid w:val="02D52B76"/>
    <w:rsid w:val="02DF21EF"/>
    <w:rsid w:val="02E05E32"/>
    <w:rsid w:val="02E73401"/>
    <w:rsid w:val="02ED7EC0"/>
    <w:rsid w:val="02EE3C38"/>
    <w:rsid w:val="02EF1E8A"/>
    <w:rsid w:val="02EF67D4"/>
    <w:rsid w:val="03012405"/>
    <w:rsid w:val="03065425"/>
    <w:rsid w:val="03086AA8"/>
    <w:rsid w:val="030F1A68"/>
    <w:rsid w:val="031420BC"/>
    <w:rsid w:val="031A4F39"/>
    <w:rsid w:val="03217B69"/>
    <w:rsid w:val="03237D85"/>
    <w:rsid w:val="03241A2B"/>
    <w:rsid w:val="03253AFD"/>
    <w:rsid w:val="0328143D"/>
    <w:rsid w:val="032A692E"/>
    <w:rsid w:val="032B4594"/>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33BCD"/>
    <w:rsid w:val="038C32FA"/>
    <w:rsid w:val="038D3AF2"/>
    <w:rsid w:val="03906A9D"/>
    <w:rsid w:val="03915D3E"/>
    <w:rsid w:val="03922815"/>
    <w:rsid w:val="03933BE9"/>
    <w:rsid w:val="03965E35"/>
    <w:rsid w:val="03977E2B"/>
    <w:rsid w:val="03996BF7"/>
    <w:rsid w:val="039B3DC0"/>
    <w:rsid w:val="039B791C"/>
    <w:rsid w:val="039C4493"/>
    <w:rsid w:val="039E740C"/>
    <w:rsid w:val="03A013D6"/>
    <w:rsid w:val="03A04F32"/>
    <w:rsid w:val="03AF01E2"/>
    <w:rsid w:val="03BD629B"/>
    <w:rsid w:val="03BE185C"/>
    <w:rsid w:val="03C926DB"/>
    <w:rsid w:val="03CC68AD"/>
    <w:rsid w:val="03CE7CF1"/>
    <w:rsid w:val="03CF3A69"/>
    <w:rsid w:val="03CF5817"/>
    <w:rsid w:val="03D270B5"/>
    <w:rsid w:val="03D66BA6"/>
    <w:rsid w:val="03E70DB3"/>
    <w:rsid w:val="03E92ECA"/>
    <w:rsid w:val="03EA2651"/>
    <w:rsid w:val="03F4702C"/>
    <w:rsid w:val="03F62DA4"/>
    <w:rsid w:val="03F711C3"/>
    <w:rsid w:val="04003C23"/>
    <w:rsid w:val="0405748B"/>
    <w:rsid w:val="040B1509"/>
    <w:rsid w:val="040B79B6"/>
    <w:rsid w:val="040D6D41"/>
    <w:rsid w:val="04114082"/>
    <w:rsid w:val="041616A2"/>
    <w:rsid w:val="041A1188"/>
    <w:rsid w:val="041D688F"/>
    <w:rsid w:val="04277401"/>
    <w:rsid w:val="042E2066"/>
    <w:rsid w:val="0431202E"/>
    <w:rsid w:val="04341766"/>
    <w:rsid w:val="04367644"/>
    <w:rsid w:val="043809FC"/>
    <w:rsid w:val="043833BC"/>
    <w:rsid w:val="04387860"/>
    <w:rsid w:val="043B6147"/>
    <w:rsid w:val="04433F31"/>
    <w:rsid w:val="04472DF8"/>
    <w:rsid w:val="04482E3E"/>
    <w:rsid w:val="044959C1"/>
    <w:rsid w:val="045126D0"/>
    <w:rsid w:val="045521C0"/>
    <w:rsid w:val="045A1585"/>
    <w:rsid w:val="046441B2"/>
    <w:rsid w:val="04644D0D"/>
    <w:rsid w:val="0467106F"/>
    <w:rsid w:val="04675A50"/>
    <w:rsid w:val="046C66E4"/>
    <w:rsid w:val="046E7887"/>
    <w:rsid w:val="047168CE"/>
    <w:rsid w:val="04722D72"/>
    <w:rsid w:val="0472717F"/>
    <w:rsid w:val="047A5783"/>
    <w:rsid w:val="04830723"/>
    <w:rsid w:val="04882551"/>
    <w:rsid w:val="048900BC"/>
    <w:rsid w:val="04891E6A"/>
    <w:rsid w:val="048C4069"/>
    <w:rsid w:val="048F1DD1"/>
    <w:rsid w:val="04926F71"/>
    <w:rsid w:val="049555F0"/>
    <w:rsid w:val="049820AD"/>
    <w:rsid w:val="049A7BD3"/>
    <w:rsid w:val="049F32D8"/>
    <w:rsid w:val="04A171B4"/>
    <w:rsid w:val="04A722F0"/>
    <w:rsid w:val="04A930A7"/>
    <w:rsid w:val="04B62533"/>
    <w:rsid w:val="04BA0275"/>
    <w:rsid w:val="04C256F2"/>
    <w:rsid w:val="04C64E6C"/>
    <w:rsid w:val="04C66C1A"/>
    <w:rsid w:val="04C904B8"/>
    <w:rsid w:val="04C9670A"/>
    <w:rsid w:val="04CE6D30"/>
    <w:rsid w:val="04D95235"/>
    <w:rsid w:val="04DA0918"/>
    <w:rsid w:val="04DA26C6"/>
    <w:rsid w:val="04E62E18"/>
    <w:rsid w:val="04E71D9A"/>
    <w:rsid w:val="04E90B5B"/>
    <w:rsid w:val="04ED76E2"/>
    <w:rsid w:val="04F45979"/>
    <w:rsid w:val="04F63670"/>
    <w:rsid w:val="04FA7776"/>
    <w:rsid w:val="04FC3176"/>
    <w:rsid w:val="0501370E"/>
    <w:rsid w:val="05065269"/>
    <w:rsid w:val="050D40FB"/>
    <w:rsid w:val="05141EB3"/>
    <w:rsid w:val="05160A69"/>
    <w:rsid w:val="05184F9C"/>
    <w:rsid w:val="051C6239"/>
    <w:rsid w:val="05203D0E"/>
    <w:rsid w:val="052878D5"/>
    <w:rsid w:val="052B2F21"/>
    <w:rsid w:val="052C3426"/>
    <w:rsid w:val="05391C88"/>
    <w:rsid w:val="053B7608"/>
    <w:rsid w:val="053C512E"/>
    <w:rsid w:val="05405671"/>
    <w:rsid w:val="05410997"/>
    <w:rsid w:val="05463C8E"/>
    <w:rsid w:val="05465FAD"/>
    <w:rsid w:val="054A57DE"/>
    <w:rsid w:val="05557F9E"/>
    <w:rsid w:val="05585FBD"/>
    <w:rsid w:val="055A508B"/>
    <w:rsid w:val="055C30DB"/>
    <w:rsid w:val="05616943"/>
    <w:rsid w:val="05647814"/>
    <w:rsid w:val="05663F59"/>
    <w:rsid w:val="05681A7F"/>
    <w:rsid w:val="056A3A4A"/>
    <w:rsid w:val="05720B50"/>
    <w:rsid w:val="05737CC1"/>
    <w:rsid w:val="05816FE5"/>
    <w:rsid w:val="05881725"/>
    <w:rsid w:val="058A40EC"/>
    <w:rsid w:val="058A5E9A"/>
    <w:rsid w:val="05936AC0"/>
    <w:rsid w:val="05972365"/>
    <w:rsid w:val="059E36F3"/>
    <w:rsid w:val="05A86320"/>
    <w:rsid w:val="05AB4B50"/>
    <w:rsid w:val="05AD7DDA"/>
    <w:rsid w:val="05B01454"/>
    <w:rsid w:val="05B2719F"/>
    <w:rsid w:val="05BD3240"/>
    <w:rsid w:val="05BE041F"/>
    <w:rsid w:val="05C0366A"/>
    <w:rsid w:val="05C23886"/>
    <w:rsid w:val="05C77E2B"/>
    <w:rsid w:val="05CA1F8A"/>
    <w:rsid w:val="05CD5D86"/>
    <w:rsid w:val="05CF1AFF"/>
    <w:rsid w:val="05CF7D50"/>
    <w:rsid w:val="05DB4D76"/>
    <w:rsid w:val="05DE7F94"/>
    <w:rsid w:val="05E337FC"/>
    <w:rsid w:val="05EB4740"/>
    <w:rsid w:val="05EC445F"/>
    <w:rsid w:val="05F31C91"/>
    <w:rsid w:val="05F72E03"/>
    <w:rsid w:val="05FA6846"/>
    <w:rsid w:val="06021ED4"/>
    <w:rsid w:val="06141C07"/>
    <w:rsid w:val="061614DB"/>
    <w:rsid w:val="0619597F"/>
    <w:rsid w:val="061B4DDA"/>
    <w:rsid w:val="061C3457"/>
    <w:rsid w:val="061D6AD0"/>
    <w:rsid w:val="06217102"/>
    <w:rsid w:val="062C51A3"/>
    <w:rsid w:val="062E2CC9"/>
    <w:rsid w:val="0633208D"/>
    <w:rsid w:val="0639082E"/>
    <w:rsid w:val="063D2F0C"/>
    <w:rsid w:val="063E0A32"/>
    <w:rsid w:val="06403946"/>
    <w:rsid w:val="06424B2E"/>
    <w:rsid w:val="06455476"/>
    <w:rsid w:val="06456265"/>
    <w:rsid w:val="064A12E8"/>
    <w:rsid w:val="064E5119"/>
    <w:rsid w:val="06500FD9"/>
    <w:rsid w:val="06514C09"/>
    <w:rsid w:val="06573980"/>
    <w:rsid w:val="066165AE"/>
    <w:rsid w:val="06622973"/>
    <w:rsid w:val="06654A60"/>
    <w:rsid w:val="0667220B"/>
    <w:rsid w:val="066C139F"/>
    <w:rsid w:val="066C1A43"/>
    <w:rsid w:val="067508F8"/>
    <w:rsid w:val="06765CEE"/>
    <w:rsid w:val="06787E06"/>
    <w:rsid w:val="067A57A2"/>
    <w:rsid w:val="067C6A3C"/>
    <w:rsid w:val="067D155B"/>
    <w:rsid w:val="06826B71"/>
    <w:rsid w:val="06840E03"/>
    <w:rsid w:val="068766B9"/>
    <w:rsid w:val="06894493"/>
    <w:rsid w:val="06906F40"/>
    <w:rsid w:val="06913258"/>
    <w:rsid w:val="06936FD0"/>
    <w:rsid w:val="0696261C"/>
    <w:rsid w:val="06986394"/>
    <w:rsid w:val="06A87807"/>
    <w:rsid w:val="06A905A2"/>
    <w:rsid w:val="06AE6F3C"/>
    <w:rsid w:val="06B01930"/>
    <w:rsid w:val="06B86A37"/>
    <w:rsid w:val="06B974A5"/>
    <w:rsid w:val="06BC30EF"/>
    <w:rsid w:val="06BC56C6"/>
    <w:rsid w:val="06BC6527"/>
    <w:rsid w:val="06C037F3"/>
    <w:rsid w:val="06C54CB0"/>
    <w:rsid w:val="06C855D6"/>
    <w:rsid w:val="06CB49BC"/>
    <w:rsid w:val="06CC5B3F"/>
    <w:rsid w:val="06CE0008"/>
    <w:rsid w:val="06D575E9"/>
    <w:rsid w:val="06DA075B"/>
    <w:rsid w:val="06DC1469"/>
    <w:rsid w:val="06E11AE9"/>
    <w:rsid w:val="06E6018A"/>
    <w:rsid w:val="06E65352"/>
    <w:rsid w:val="06EC7548"/>
    <w:rsid w:val="06EE2458"/>
    <w:rsid w:val="06F34474"/>
    <w:rsid w:val="06F37A6F"/>
    <w:rsid w:val="06FC2A3B"/>
    <w:rsid w:val="06FF0E81"/>
    <w:rsid w:val="07041C7C"/>
    <w:rsid w:val="07091C9D"/>
    <w:rsid w:val="070C28DE"/>
    <w:rsid w:val="070E58EA"/>
    <w:rsid w:val="07107F82"/>
    <w:rsid w:val="07124399"/>
    <w:rsid w:val="07135C73"/>
    <w:rsid w:val="07183108"/>
    <w:rsid w:val="071874D5"/>
    <w:rsid w:val="071D208A"/>
    <w:rsid w:val="071D689A"/>
    <w:rsid w:val="071E2D3E"/>
    <w:rsid w:val="071F2612"/>
    <w:rsid w:val="07252162"/>
    <w:rsid w:val="072639A0"/>
    <w:rsid w:val="072A2F74"/>
    <w:rsid w:val="0730481F"/>
    <w:rsid w:val="073360BD"/>
    <w:rsid w:val="07350087"/>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C75B8"/>
    <w:rsid w:val="075E40A2"/>
    <w:rsid w:val="076072C9"/>
    <w:rsid w:val="07660A33"/>
    <w:rsid w:val="07682C24"/>
    <w:rsid w:val="07703F7B"/>
    <w:rsid w:val="07723089"/>
    <w:rsid w:val="07762B7A"/>
    <w:rsid w:val="077A4DF6"/>
    <w:rsid w:val="077D65A4"/>
    <w:rsid w:val="077E1A2E"/>
    <w:rsid w:val="077F2189"/>
    <w:rsid w:val="078017C9"/>
    <w:rsid w:val="07837045"/>
    <w:rsid w:val="078608E3"/>
    <w:rsid w:val="078659B5"/>
    <w:rsid w:val="07866B35"/>
    <w:rsid w:val="07921036"/>
    <w:rsid w:val="07941252"/>
    <w:rsid w:val="07996868"/>
    <w:rsid w:val="079E79DA"/>
    <w:rsid w:val="07A1396F"/>
    <w:rsid w:val="07A33756"/>
    <w:rsid w:val="07A9580E"/>
    <w:rsid w:val="07A9641B"/>
    <w:rsid w:val="07AD2313"/>
    <w:rsid w:val="07AF7E3A"/>
    <w:rsid w:val="07B40FAC"/>
    <w:rsid w:val="07B45A00"/>
    <w:rsid w:val="07B76CEE"/>
    <w:rsid w:val="07BC0F3D"/>
    <w:rsid w:val="07C733D5"/>
    <w:rsid w:val="07C80EFB"/>
    <w:rsid w:val="07D05C2B"/>
    <w:rsid w:val="07D258D6"/>
    <w:rsid w:val="07D31C10"/>
    <w:rsid w:val="07DD46FE"/>
    <w:rsid w:val="07E04497"/>
    <w:rsid w:val="07E15CFA"/>
    <w:rsid w:val="07EA1643"/>
    <w:rsid w:val="07F41CF0"/>
    <w:rsid w:val="07F95559"/>
    <w:rsid w:val="07F97307"/>
    <w:rsid w:val="07FD6DFF"/>
    <w:rsid w:val="08005A0C"/>
    <w:rsid w:val="08030185"/>
    <w:rsid w:val="08053EFD"/>
    <w:rsid w:val="080C528C"/>
    <w:rsid w:val="08144660"/>
    <w:rsid w:val="0815082E"/>
    <w:rsid w:val="08163A15"/>
    <w:rsid w:val="081845DE"/>
    <w:rsid w:val="081D1247"/>
    <w:rsid w:val="081D5FCD"/>
    <w:rsid w:val="081F04AB"/>
    <w:rsid w:val="08337999"/>
    <w:rsid w:val="0836469C"/>
    <w:rsid w:val="08442237"/>
    <w:rsid w:val="0849203C"/>
    <w:rsid w:val="084B1D73"/>
    <w:rsid w:val="084E7652"/>
    <w:rsid w:val="084F0A5C"/>
    <w:rsid w:val="084F33CB"/>
    <w:rsid w:val="08513E84"/>
    <w:rsid w:val="08543A14"/>
    <w:rsid w:val="085637C4"/>
    <w:rsid w:val="0858402D"/>
    <w:rsid w:val="08601134"/>
    <w:rsid w:val="08607386"/>
    <w:rsid w:val="08640C24"/>
    <w:rsid w:val="08643561"/>
    <w:rsid w:val="0869448C"/>
    <w:rsid w:val="087370B9"/>
    <w:rsid w:val="08752E31"/>
    <w:rsid w:val="08760957"/>
    <w:rsid w:val="087A0447"/>
    <w:rsid w:val="087A532A"/>
    <w:rsid w:val="08803584"/>
    <w:rsid w:val="08843074"/>
    <w:rsid w:val="08852948"/>
    <w:rsid w:val="088C1F29"/>
    <w:rsid w:val="088E5CA1"/>
    <w:rsid w:val="08907D8B"/>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35DAA"/>
    <w:rsid w:val="08DB71DA"/>
    <w:rsid w:val="08DD4532"/>
    <w:rsid w:val="08E21B49"/>
    <w:rsid w:val="08E458C1"/>
    <w:rsid w:val="08E6788B"/>
    <w:rsid w:val="08EB30F3"/>
    <w:rsid w:val="08EC29C7"/>
    <w:rsid w:val="08F16230"/>
    <w:rsid w:val="08F55D20"/>
    <w:rsid w:val="08F655F4"/>
    <w:rsid w:val="08FF7E1C"/>
    <w:rsid w:val="090830A4"/>
    <w:rsid w:val="090C33A6"/>
    <w:rsid w:val="090F35C3"/>
    <w:rsid w:val="09181829"/>
    <w:rsid w:val="091C1203"/>
    <w:rsid w:val="091F0FEF"/>
    <w:rsid w:val="09202555"/>
    <w:rsid w:val="092C1798"/>
    <w:rsid w:val="092C7EAE"/>
    <w:rsid w:val="09304766"/>
    <w:rsid w:val="09306D58"/>
    <w:rsid w:val="093218B9"/>
    <w:rsid w:val="093C56FD"/>
    <w:rsid w:val="093D3223"/>
    <w:rsid w:val="093F256B"/>
    <w:rsid w:val="094432B3"/>
    <w:rsid w:val="094559F1"/>
    <w:rsid w:val="094B1DE4"/>
    <w:rsid w:val="095567BF"/>
    <w:rsid w:val="09616400"/>
    <w:rsid w:val="09644C54"/>
    <w:rsid w:val="0965366A"/>
    <w:rsid w:val="096668D7"/>
    <w:rsid w:val="09680BF5"/>
    <w:rsid w:val="096864F2"/>
    <w:rsid w:val="0969226A"/>
    <w:rsid w:val="096F5AD2"/>
    <w:rsid w:val="097B7030"/>
    <w:rsid w:val="098552F6"/>
    <w:rsid w:val="09896468"/>
    <w:rsid w:val="098A46BA"/>
    <w:rsid w:val="09903C9B"/>
    <w:rsid w:val="09975029"/>
    <w:rsid w:val="099834FE"/>
    <w:rsid w:val="099B1898"/>
    <w:rsid w:val="09A03EDE"/>
    <w:rsid w:val="09A15749"/>
    <w:rsid w:val="09A3577C"/>
    <w:rsid w:val="09B039F5"/>
    <w:rsid w:val="09B16EAB"/>
    <w:rsid w:val="09B63701"/>
    <w:rsid w:val="09B71227"/>
    <w:rsid w:val="09B76BD4"/>
    <w:rsid w:val="09B96D4E"/>
    <w:rsid w:val="09BA2AC6"/>
    <w:rsid w:val="09BE7F4B"/>
    <w:rsid w:val="09C0565C"/>
    <w:rsid w:val="09C3084B"/>
    <w:rsid w:val="09C35E1E"/>
    <w:rsid w:val="09C474A0"/>
    <w:rsid w:val="09C556F2"/>
    <w:rsid w:val="09C6146A"/>
    <w:rsid w:val="09C661EE"/>
    <w:rsid w:val="09C676BC"/>
    <w:rsid w:val="09C7187E"/>
    <w:rsid w:val="09CD0C44"/>
    <w:rsid w:val="09D122E9"/>
    <w:rsid w:val="09D27E0F"/>
    <w:rsid w:val="09D43B87"/>
    <w:rsid w:val="09D74664"/>
    <w:rsid w:val="09D91F81"/>
    <w:rsid w:val="09DE4A06"/>
    <w:rsid w:val="09E10052"/>
    <w:rsid w:val="09E23E62"/>
    <w:rsid w:val="09E35B78"/>
    <w:rsid w:val="09E85885"/>
    <w:rsid w:val="09EF451D"/>
    <w:rsid w:val="09F71624"/>
    <w:rsid w:val="0A037FC9"/>
    <w:rsid w:val="0A110938"/>
    <w:rsid w:val="0A124E0D"/>
    <w:rsid w:val="0A127C3E"/>
    <w:rsid w:val="0A163877"/>
    <w:rsid w:val="0A16615F"/>
    <w:rsid w:val="0A1A1394"/>
    <w:rsid w:val="0A252635"/>
    <w:rsid w:val="0A2763AD"/>
    <w:rsid w:val="0A2D4C39"/>
    <w:rsid w:val="0A312D88"/>
    <w:rsid w:val="0A375D4C"/>
    <w:rsid w:val="0A3C34DB"/>
    <w:rsid w:val="0A410AF1"/>
    <w:rsid w:val="0A4D4588"/>
    <w:rsid w:val="0A51055F"/>
    <w:rsid w:val="0A530F50"/>
    <w:rsid w:val="0A5C1147"/>
    <w:rsid w:val="0A5C2888"/>
    <w:rsid w:val="0A5E227D"/>
    <w:rsid w:val="0A640318"/>
    <w:rsid w:val="0A653A66"/>
    <w:rsid w:val="0A6F6E1B"/>
    <w:rsid w:val="0A7113D6"/>
    <w:rsid w:val="0A742C74"/>
    <w:rsid w:val="0A7809B7"/>
    <w:rsid w:val="0A7F72EB"/>
    <w:rsid w:val="0A8266DE"/>
    <w:rsid w:val="0A8729A8"/>
    <w:rsid w:val="0A876917"/>
    <w:rsid w:val="0A8A693C"/>
    <w:rsid w:val="0A8E01DA"/>
    <w:rsid w:val="0A93759F"/>
    <w:rsid w:val="0A9450C5"/>
    <w:rsid w:val="0A9B28F7"/>
    <w:rsid w:val="0A9D666F"/>
    <w:rsid w:val="0AA2576C"/>
    <w:rsid w:val="0AA7304A"/>
    <w:rsid w:val="0AB03BF9"/>
    <w:rsid w:val="0AB063A2"/>
    <w:rsid w:val="0AB21F41"/>
    <w:rsid w:val="0AB92811"/>
    <w:rsid w:val="0AB9662C"/>
    <w:rsid w:val="0ABB2680"/>
    <w:rsid w:val="0ABB6AF5"/>
    <w:rsid w:val="0ABC1909"/>
    <w:rsid w:val="0ABE4797"/>
    <w:rsid w:val="0ABE7666"/>
    <w:rsid w:val="0AC105A6"/>
    <w:rsid w:val="0AC44356"/>
    <w:rsid w:val="0AC7549A"/>
    <w:rsid w:val="0ACA305A"/>
    <w:rsid w:val="0ACD0F93"/>
    <w:rsid w:val="0AD24031"/>
    <w:rsid w:val="0AD33E3F"/>
    <w:rsid w:val="0AD45172"/>
    <w:rsid w:val="0AD461BB"/>
    <w:rsid w:val="0AD6392F"/>
    <w:rsid w:val="0ADB7197"/>
    <w:rsid w:val="0ADD6A6C"/>
    <w:rsid w:val="0AE0030A"/>
    <w:rsid w:val="0AE24082"/>
    <w:rsid w:val="0AE778EA"/>
    <w:rsid w:val="0AEA2F37"/>
    <w:rsid w:val="0AFB5144"/>
    <w:rsid w:val="0AFD318D"/>
    <w:rsid w:val="0AFD710E"/>
    <w:rsid w:val="0B0264D2"/>
    <w:rsid w:val="0B04049C"/>
    <w:rsid w:val="0B095AB3"/>
    <w:rsid w:val="0B0D50BA"/>
    <w:rsid w:val="0B152302"/>
    <w:rsid w:val="0B177818"/>
    <w:rsid w:val="0B1A2728"/>
    <w:rsid w:val="0B1C2641"/>
    <w:rsid w:val="0B1D50BA"/>
    <w:rsid w:val="0B1F0902"/>
    <w:rsid w:val="0B1F0E32"/>
    <w:rsid w:val="0B2379A7"/>
    <w:rsid w:val="0B2711C0"/>
    <w:rsid w:val="0B282BC9"/>
    <w:rsid w:val="0B291CB1"/>
    <w:rsid w:val="0B297F03"/>
    <w:rsid w:val="0B2B3F13"/>
    <w:rsid w:val="0B2D79F3"/>
    <w:rsid w:val="0B310B66"/>
    <w:rsid w:val="0B3568A8"/>
    <w:rsid w:val="0B3C11A9"/>
    <w:rsid w:val="0B3E2E09"/>
    <w:rsid w:val="0B3F3C9B"/>
    <w:rsid w:val="0B481FE1"/>
    <w:rsid w:val="0B494101"/>
    <w:rsid w:val="0B495EAF"/>
    <w:rsid w:val="0B4D1562"/>
    <w:rsid w:val="0B50723E"/>
    <w:rsid w:val="0B507DED"/>
    <w:rsid w:val="0B521208"/>
    <w:rsid w:val="0B560D41"/>
    <w:rsid w:val="0B5807E8"/>
    <w:rsid w:val="0B6131F9"/>
    <w:rsid w:val="0B617633"/>
    <w:rsid w:val="0B63653F"/>
    <w:rsid w:val="0B6576F5"/>
    <w:rsid w:val="0B670D6C"/>
    <w:rsid w:val="0B6727D9"/>
    <w:rsid w:val="0B732F2C"/>
    <w:rsid w:val="0B793428"/>
    <w:rsid w:val="0B7D1118"/>
    <w:rsid w:val="0B81537D"/>
    <w:rsid w:val="0B84338B"/>
    <w:rsid w:val="0B855E5B"/>
    <w:rsid w:val="0B8C6B1D"/>
    <w:rsid w:val="0B8E217B"/>
    <w:rsid w:val="0B8E7D66"/>
    <w:rsid w:val="0B8F6081"/>
    <w:rsid w:val="0B9C6927"/>
    <w:rsid w:val="0BA17A99"/>
    <w:rsid w:val="0BA650B0"/>
    <w:rsid w:val="0BB21CA6"/>
    <w:rsid w:val="0BB377CC"/>
    <w:rsid w:val="0BBC1554"/>
    <w:rsid w:val="0BC1319E"/>
    <w:rsid w:val="0BC63572"/>
    <w:rsid w:val="0BCD0578"/>
    <w:rsid w:val="0BD641F6"/>
    <w:rsid w:val="0BDA11FD"/>
    <w:rsid w:val="0BEA7692"/>
    <w:rsid w:val="0BEB51B8"/>
    <w:rsid w:val="0BEF4CA9"/>
    <w:rsid w:val="0BF0642E"/>
    <w:rsid w:val="0BF277E3"/>
    <w:rsid w:val="0BFA157F"/>
    <w:rsid w:val="0C000C64"/>
    <w:rsid w:val="0C0B585A"/>
    <w:rsid w:val="0C0F1E96"/>
    <w:rsid w:val="0C1507A5"/>
    <w:rsid w:val="0C191D25"/>
    <w:rsid w:val="0C2B3807"/>
    <w:rsid w:val="0C300E1D"/>
    <w:rsid w:val="0C3845C3"/>
    <w:rsid w:val="0C3B65EE"/>
    <w:rsid w:val="0C3C5A14"/>
    <w:rsid w:val="0C3F2232"/>
    <w:rsid w:val="0C3F62B8"/>
    <w:rsid w:val="0C403756"/>
    <w:rsid w:val="0C41302A"/>
    <w:rsid w:val="0C436DA2"/>
    <w:rsid w:val="0C441D60"/>
    <w:rsid w:val="0C48085D"/>
    <w:rsid w:val="0C4B7A88"/>
    <w:rsid w:val="0C4D7C21"/>
    <w:rsid w:val="0C4F3999"/>
    <w:rsid w:val="0C4F6BDA"/>
    <w:rsid w:val="0C50326D"/>
    <w:rsid w:val="0C547201"/>
    <w:rsid w:val="0C5E598A"/>
    <w:rsid w:val="0C603692"/>
    <w:rsid w:val="0C61547A"/>
    <w:rsid w:val="0C6A2581"/>
    <w:rsid w:val="0C6F4DCD"/>
    <w:rsid w:val="0C6F7B97"/>
    <w:rsid w:val="0C7043B9"/>
    <w:rsid w:val="0C711828"/>
    <w:rsid w:val="0C735804"/>
    <w:rsid w:val="0C743400"/>
    <w:rsid w:val="0C754648"/>
    <w:rsid w:val="0C776A4C"/>
    <w:rsid w:val="0C7D4058"/>
    <w:rsid w:val="0C7E3DA7"/>
    <w:rsid w:val="0C7F42EA"/>
    <w:rsid w:val="0C873133"/>
    <w:rsid w:val="0C8A2C23"/>
    <w:rsid w:val="0C8B0506"/>
    <w:rsid w:val="0C8D4945"/>
    <w:rsid w:val="0C945850"/>
    <w:rsid w:val="0C9950B0"/>
    <w:rsid w:val="0C9A5778"/>
    <w:rsid w:val="0C9D2956"/>
    <w:rsid w:val="0CA23AC9"/>
    <w:rsid w:val="0CA26789"/>
    <w:rsid w:val="0CA61B23"/>
    <w:rsid w:val="0CA63264"/>
    <w:rsid w:val="0CA830A9"/>
    <w:rsid w:val="0CAA1606"/>
    <w:rsid w:val="0CAA5073"/>
    <w:rsid w:val="0CAA5E52"/>
    <w:rsid w:val="0CAD0C97"/>
    <w:rsid w:val="0CB358A1"/>
    <w:rsid w:val="0CBD6B55"/>
    <w:rsid w:val="0CC04897"/>
    <w:rsid w:val="0CC04961"/>
    <w:rsid w:val="0CC2416B"/>
    <w:rsid w:val="0CC94EBC"/>
    <w:rsid w:val="0CCC6D98"/>
    <w:rsid w:val="0CD43E9E"/>
    <w:rsid w:val="0CD65E68"/>
    <w:rsid w:val="0CF42CB0"/>
    <w:rsid w:val="0CF85DDF"/>
    <w:rsid w:val="0CFD33F5"/>
    <w:rsid w:val="0CFF53BF"/>
    <w:rsid w:val="0D074274"/>
    <w:rsid w:val="0D0B5B12"/>
    <w:rsid w:val="0D0C0CD0"/>
    <w:rsid w:val="0D1D75F3"/>
    <w:rsid w:val="0D1D76A3"/>
    <w:rsid w:val="0D2210AE"/>
    <w:rsid w:val="0D22380E"/>
    <w:rsid w:val="0D232F82"/>
    <w:rsid w:val="0D2E1801"/>
    <w:rsid w:val="0D305579"/>
    <w:rsid w:val="0D3112F1"/>
    <w:rsid w:val="0D3861DB"/>
    <w:rsid w:val="0D3B691F"/>
    <w:rsid w:val="0D50069F"/>
    <w:rsid w:val="0D531267"/>
    <w:rsid w:val="0D5D2504"/>
    <w:rsid w:val="0D6C40D7"/>
    <w:rsid w:val="0D6E21C2"/>
    <w:rsid w:val="0D6E42F3"/>
    <w:rsid w:val="0D7116ED"/>
    <w:rsid w:val="0D783105"/>
    <w:rsid w:val="0D784215"/>
    <w:rsid w:val="0D7A6610"/>
    <w:rsid w:val="0D8238FA"/>
    <w:rsid w:val="0D8368AF"/>
    <w:rsid w:val="0D8609C6"/>
    <w:rsid w:val="0D8838E1"/>
    <w:rsid w:val="0D8E6B48"/>
    <w:rsid w:val="0D904269"/>
    <w:rsid w:val="0D9378B6"/>
    <w:rsid w:val="0D957AD2"/>
    <w:rsid w:val="0D965E01"/>
    <w:rsid w:val="0D9771BF"/>
    <w:rsid w:val="0D9C2C0E"/>
    <w:rsid w:val="0DA03D74"/>
    <w:rsid w:val="0DA16809"/>
    <w:rsid w:val="0DB333E3"/>
    <w:rsid w:val="0DB37F58"/>
    <w:rsid w:val="0DB461AA"/>
    <w:rsid w:val="0DB55A7E"/>
    <w:rsid w:val="0DB5782C"/>
    <w:rsid w:val="0DB92613"/>
    <w:rsid w:val="0DBF68FD"/>
    <w:rsid w:val="0DC022DF"/>
    <w:rsid w:val="0DC3019B"/>
    <w:rsid w:val="0DCC335C"/>
    <w:rsid w:val="0DCD445C"/>
    <w:rsid w:val="0DD73C46"/>
    <w:rsid w:val="0DD8076D"/>
    <w:rsid w:val="0DD85A87"/>
    <w:rsid w:val="0DDA1988"/>
    <w:rsid w:val="0DDD6D83"/>
    <w:rsid w:val="0DE545B5"/>
    <w:rsid w:val="0DE95727"/>
    <w:rsid w:val="0DEE408A"/>
    <w:rsid w:val="0DF02010"/>
    <w:rsid w:val="0DF53FDF"/>
    <w:rsid w:val="0DFC6334"/>
    <w:rsid w:val="0DFD060A"/>
    <w:rsid w:val="0DFD78B7"/>
    <w:rsid w:val="0DFE11D3"/>
    <w:rsid w:val="0E0013EF"/>
    <w:rsid w:val="0E074C7B"/>
    <w:rsid w:val="0E082052"/>
    <w:rsid w:val="0E082913"/>
    <w:rsid w:val="0E094EF4"/>
    <w:rsid w:val="0E0B7D94"/>
    <w:rsid w:val="0E1409F6"/>
    <w:rsid w:val="0E1434A7"/>
    <w:rsid w:val="0E1704E7"/>
    <w:rsid w:val="0E1F1149"/>
    <w:rsid w:val="0E2140D4"/>
    <w:rsid w:val="0E214EC1"/>
    <w:rsid w:val="0E26072A"/>
    <w:rsid w:val="0E285C93"/>
    <w:rsid w:val="0E294B7B"/>
    <w:rsid w:val="0E29660B"/>
    <w:rsid w:val="0E2B5D40"/>
    <w:rsid w:val="0E3015A8"/>
    <w:rsid w:val="0E337741"/>
    <w:rsid w:val="0E356BBF"/>
    <w:rsid w:val="0E3A7BBC"/>
    <w:rsid w:val="0E3C1CFB"/>
    <w:rsid w:val="0E3C6626"/>
    <w:rsid w:val="0E4137B5"/>
    <w:rsid w:val="0E43752E"/>
    <w:rsid w:val="0E470BD3"/>
    <w:rsid w:val="0E4911BF"/>
    <w:rsid w:val="0E4A0A8E"/>
    <w:rsid w:val="0E4B5CA1"/>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D0E68"/>
    <w:rsid w:val="0E6F05A5"/>
    <w:rsid w:val="0E7476E7"/>
    <w:rsid w:val="0E772D33"/>
    <w:rsid w:val="0E796AAB"/>
    <w:rsid w:val="0E7C0D4C"/>
    <w:rsid w:val="0E7C47EE"/>
    <w:rsid w:val="0E83792A"/>
    <w:rsid w:val="0E8813E4"/>
    <w:rsid w:val="0E9246B3"/>
    <w:rsid w:val="0E9733D5"/>
    <w:rsid w:val="0E984B63"/>
    <w:rsid w:val="0E9B1118"/>
    <w:rsid w:val="0E9B4435"/>
    <w:rsid w:val="0E9D6C3E"/>
    <w:rsid w:val="0E9F20E3"/>
    <w:rsid w:val="0EA02077"/>
    <w:rsid w:val="0EA07AC5"/>
    <w:rsid w:val="0EAA4EB7"/>
    <w:rsid w:val="0EAD7F26"/>
    <w:rsid w:val="0EAE1E0B"/>
    <w:rsid w:val="0EAE31C6"/>
    <w:rsid w:val="0EB66E30"/>
    <w:rsid w:val="0EB83A78"/>
    <w:rsid w:val="0EC51CF1"/>
    <w:rsid w:val="0ECA521F"/>
    <w:rsid w:val="0ECD6DF7"/>
    <w:rsid w:val="0ED140CD"/>
    <w:rsid w:val="0ED168E7"/>
    <w:rsid w:val="0ED21347"/>
    <w:rsid w:val="0ED37136"/>
    <w:rsid w:val="0ED77A52"/>
    <w:rsid w:val="0EDB1514"/>
    <w:rsid w:val="0EE303C9"/>
    <w:rsid w:val="0EE63E27"/>
    <w:rsid w:val="0EE978C9"/>
    <w:rsid w:val="0EEA1757"/>
    <w:rsid w:val="0EEA79A9"/>
    <w:rsid w:val="0EF3685E"/>
    <w:rsid w:val="0EF53A43"/>
    <w:rsid w:val="0EF95E3E"/>
    <w:rsid w:val="0F006F15"/>
    <w:rsid w:val="0F052A35"/>
    <w:rsid w:val="0F07055B"/>
    <w:rsid w:val="0F082129"/>
    <w:rsid w:val="0F087E2F"/>
    <w:rsid w:val="0F17111B"/>
    <w:rsid w:val="0F1802A8"/>
    <w:rsid w:val="0F1D38DB"/>
    <w:rsid w:val="0F1D7D7F"/>
    <w:rsid w:val="0F220EF1"/>
    <w:rsid w:val="0F233AE0"/>
    <w:rsid w:val="0F235963"/>
    <w:rsid w:val="0F2410E0"/>
    <w:rsid w:val="0F247CAD"/>
    <w:rsid w:val="0F2904D1"/>
    <w:rsid w:val="0F38025F"/>
    <w:rsid w:val="0F39623B"/>
    <w:rsid w:val="0F40288F"/>
    <w:rsid w:val="0F43251D"/>
    <w:rsid w:val="0F456EC4"/>
    <w:rsid w:val="0F4F244E"/>
    <w:rsid w:val="0F515A6B"/>
    <w:rsid w:val="0F5A2BFE"/>
    <w:rsid w:val="0F5B1EE7"/>
    <w:rsid w:val="0F60004F"/>
    <w:rsid w:val="0F607C6B"/>
    <w:rsid w:val="0F61431B"/>
    <w:rsid w:val="0F64150A"/>
    <w:rsid w:val="0F6E5418"/>
    <w:rsid w:val="0F7335C5"/>
    <w:rsid w:val="0F733988"/>
    <w:rsid w:val="0F744C35"/>
    <w:rsid w:val="0F751969"/>
    <w:rsid w:val="0F796797"/>
    <w:rsid w:val="0F7A6D8E"/>
    <w:rsid w:val="0F7C2CF7"/>
    <w:rsid w:val="0F824086"/>
    <w:rsid w:val="0F8704DA"/>
    <w:rsid w:val="0F887D75"/>
    <w:rsid w:val="0F895F66"/>
    <w:rsid w:val="0F8B4CE8"/>
    <w:rsid w:val="0F94421F"/>
    <w:rsid w:val="0F9451EE"/>
    <w:rsid w:val="0F9F0794"/>
    <w:rsid w:val="0F9F2542"/>
    <w:rsid w:val="0F9F379D"/>
    <w:rsid w:val="0FAB7138"/>
    <w:rsid w:val="0FAC4C5F"/>
    <w:rsid w:val="0FAE1B3D"/>
    <w:rsid w:val="0FB13B6D"/>
    <w:rsid w:val="0FB22C0A"/>
    <w:rsid w:val="0FBD6E6C"/>
    <w:rsid w:val="0FBF2BE4"/>
    <w:rsid w:val="0FC26FE7"/>
    <w:rsid w:val="0FC401FA"/>
    <w:rsid w:val="0FC66900"/>
    <w:rsid w:val="0FC7281C"/>
    <w:rsid w:val="0FC91CB4"/>
    <w:rsid w:val="0FD146C5"/>
    <w:rsid w:val="0FD7617F"/>
    <w:rsid w:val="0FD91EF8"/>
    <w:rsid w:val="0FDD306A"/>
    <w:rsid w:val="0FDF6DE2"/>
    <w:rsid w:val="0FE4264A"/>
    <w:rsid w:val="0FEA3AD6"/>
    <w:rsid w:val="0FEB6E16"/>
    <w:rsid w:val="0FEF5382"/>
    <w:rsid w:val="0FF00FEF"/>
    <w:rsid w:val="0FF95DC6"/>
    <w:rsid w:val="0FFA3C1C"/>
    <w:rsid w:val="10036F74"/>
    <w:rsid w:val="10051DAE"/>
    <w:rsid w:val="10060D14"/>
    <w:rsid w:val="10066A51"/>
    <w:rsid w:val="10072DFF"/>
    <w:rsid w:val="100B2C10"/>
    <w:rsid w:val="100D1BA1"/>
    <w:rsid w:val="10125409"/>
    <w:rsid w:val="102424ED"/>
    <w:rsid w:val="10264A11"/>
    <w:rsid w:val="10284558"/>
    <w:rsid w:val="102A7BD6"/>
    <w:rsid w:val="102B16F6"/>
    <w:rsid w:val="102E7C6A"/>
    <w:rsid w:val="10305890"/>
    <w:rsid w:val="1030763E"/>
    <w:rsid w:val="10307AD1"/>
    <w:rsid w:val="1033355D"/>
    <w:rsid w:val="1033613D"/>
    <w:rsid w:val="10374E70"/>
    <w:rsid w:val="104135F9"/>
    <w:rsid w:val="10417A9D"/>
    <w:rsid w:val="10456B0C"/>
    <w:rsid w:val="10463305"/>
    <w:rsid w:val="10525806"/>
    <w:rsid w:val="10545A22"/>
    <w:rsid w:val="105477D0"/>
    <w:rsid w:val="1055127B"/>
    <w:rsid w:val="10572E1C"/>
    <w:rsid w:val="105932D2"/>
    <w:rsid w:val="105C0433"/>
    <w:rsid w:val="105C48D7"/>
    <w:rsid w:val="105E41AB"/>
    <w:rsid w:val="10602F00"/>
    <w:rsid w:val="10616A49"/>
    <w:rsid w:val="10635C65"/>
    <w:rsid w:val="10667503"/>
    <w:rsid w:val="10691AB4"/>
    <w:rsid w:val="106C2D6C"/>
    <w:rsid w:val="106D2640"/>
    <w:rsid w:val="106F0166"/>
    <w:rsid w:val="10740D75"/>
    <w:rsid w:val="10747DE7"/>
    <w:rsid w:val="107C0612"/>
    <w:rsid w:val="107C4E2A"/>
    <w:rsid w:val="107E4317"/>
    <w:rsid w:val="10802373"/>
    <w:rsid w:val="10863711"/>
    <w:rsid w:val="10883147"/>
    <w:rsid w:val="10AA5642"/>
    <w:rsid w:val="10AE266F"/>
    <w:rsid w:val="10B206E1"/>
    <w:rsid w:val="10B45CF5"/>
    <w:rsid w:val="10BE6ECD"/>
    <w:rsid w:val="10C870A2"/>
    <w:rsid w:val="10CC3E81"/>
    <w:rsid w:val="10CD7582"/>
    <w:rsid w:val="10CF662A"/>
    <w:rsid w:val="10E87F18"/>
    <w:rsid w:val="10EA5F52"/>
    <w:rsid w:val="10ED1D02"/>
    <w:rsid w:val="10F33F66"/>
    <w:rsid w:val="10F36FE9"/>
    <w:rsid w:val="10F7015B"/>
    <w:rsid w:val="10FB3679"/>
    <w:rsid w:val="10FF1B4C"/>
    <w:rsid w:val="110237D8"/>
    <w:rsid w:val="11053860"/>
    <w:rsid w:val="1109680C"/>
    <w:rsid w:val="110A60E1"/>
    <w:rsid w:val="1111121D"/>
    <w:rsid w:val="111331E7"/>
    <w:rsid w:val="111C601E"/>
    <w:rsid w:val="111C620F"/>
    <w:rsid w:val="111F337A"/>
    <w:rsid w:val="112076B2"/>
    <w:rsid w:val="1122342A"/>
    <w:rsid w:val="11226A50"/>
    <w:rsid w:val="11287D75"/>
    <w:rsid w:val="112A0531"/>
    <w:rsid w:val="112E6D8A"/>
    <w:rsid w:val="11325E55"/>
    <w:rsid w:val="11351D18"/>
    <w:rsid w:val="113B273E"/>
    <w:rsid w:val="114010BC"/>
    <w:rsid w:val="11477335"/>
    <w:rsid w:val="11494E5B"/>
    <w:rsid w:val="114E3535"/>
    <w:rsid w:val="11544B02"/>
    <w:rsid w:val="115D26B4"/>
    <w:rsid w:val="11621A79"/>
    <w:rsid w:val="116B6410"/>
    <w:rsid w:val="1173399A"/>
    <w:rsid w:val="11744091"/>
    <w:rsid w:val="117A14B8"/>
    <w:rsid w:val="117C0C38"/>
    <w:rsid w:val="117C2CAF"/>
    <w:rsid w:val="117D32A8"/>
    <w:rsid w:val="11823EC9"/>
    <w:rsid w:val="11867E5D"/>
    <w:rsid w:val="118771A0"/>
    <w:rsid w:val="118E7D16"/>
    <w:rsid w:val="11904838"/>
    <w:rsid w:val="11943E08"/>
    <w:rsid w:val="1194410A"/>
    <w:rsid w:val="11977084"/>
    <w:rsid w:val="119B75C7"/>
    <w:rsid w:val="11A07ABC"/>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EF6EEC"/>
    <w:rsid w:val="11F13A88"/>
    <w:rsid w:val="11F31F18"/>
    <w:rsid w:val="11F35990"/>
    <w:rsid w:val="11F50B3F"/>
    <w:rsid w:val="11F612D3"/>
    <w:rsid w:val="11FC1ECD"/>
    <w:rsid w:val="12040D82"/>
    <w:rsid w:val="12086726"/>
    <w:rsid w:val="120A5069"/>
    <w:rsid w:val="1215227E"/>
    <w:rsid w:val="121960FF"/>
    <w:rsid w:val="121A313E"/>
    <w:rsid w:val="1220326C"/>
    <w:rsid w:val="122A6C3F"/>
    <w:rsid w:val="122F69BB"/>
    <w:rsid w:val="123526C4"/>
    <w:rsid w:val="12360E39"/>
    <w:rsid w:val="123A29F6"/>
    <w:rsid w:val="123C051C"/>
    <w:rsid w:val="123E414F"/>
    <w:rsid w:val="123F24AA"/>
    <w:rsid w:val="125735A8"/>
    <w:rsid w:val="125C296C"/>
    <w:rsid w:val="126A321F"/>
    <w:rsid w:val="126B0E01"/>
    <w:rsid w:val="12711EC4"/>
    <w:rsid w:val="12723F3D"/>
    <w:rsid w:val="12747CB6"/>
    <w:rsid w:val="127E6D86"/>
    <w:rsid w:val="12810624"/>
    <w:rsid w:val="128413AE"/>
    <w:rsid w:val="128D4230"/>
    <w:rsid w:val="128F15C7"/>
    <w:rsid w:val="128F2D41"/>
    <w:rsid w:val="12902616"/>
    <w:rsid w:val="1297339E"/>
    <w:rsid w:val="129B6D9C"/>
    <w:rsid w:val="129F0E57"/>
    <w:rsid w:val="129F5A65"/>
    <w:rsid w:val="12A12A75"/>
    <w:rsid w:val="12A62B0D"/>
    <w:rsid w:val="12AA451D"/>
    <w:rsid w:val="12B268AA"/>
    <w:rsid w:val="12B549BD"/>
    <w:rsid w:val="12BA7692"/>
    <w:rsid w:val="12BC3AF3"/>
    <w:rsid w:val="12C30BED"/>
    <w:rsid w:val="12C32F26"/>
    <w:rsid w:val="12C63CBE"/>
    <w:rsid w:val="12CD5618"/>
    <w:rsid w:val="12DA4CBE"/>
    <w:rsid w:val="12DC5736"/>
    <w:rsid w:val="12E82EF7"/>
    <w:rsid w:val="12E878DB"/>
    <w:rsid w:val="12EC0194"/>
    <w:rsid w:val="12ED6B8F"/>
    <w:rsid w:val="12F72695"/>
    <w:rsid w:val="12F9640D"/>
    <w:rsid w:val="12FA679C"/>
    <w:rsid w:val="13053004"/>
    <w:rsid w:val="130866EA"/>
    <w:rsid w:val="130B7721"/>
    <w:rsid w:val="130D3782"/>
    <w:rsid w:val="130E7841"/>
    <w:rsid w:val="13101299"/>
    <w:rsid w:val="13135EB3"/>
    <w:rsid w:val="13145B25"/>
    <w:rsid w:val="13191D25"/>
    <w:rsid w:val="132316DC"/>
    <w:rsid w:val="1324792E"/>
    <w:rsid w:val="13271457"/>
    <w:rsid w:val="13272FB7"/>
    <w:rsid w:val="132D2863"/>
    <w:rsid w:val="13321FC3"/>
    <w:rsid w:val="1336476B"/>
    <w:rsid w:val="133B6A25"/>
    <w:rsid w:val="133E02C4"/>
    <w:rsid w:val="133F6234"/>
    <w:rsid w:val="13405DEA"/>
    <w:rsid w:val="134566BC"/>
    <w:rsid w:val="134753CA"/>
    <w:rsid w:val="134C29E0"/>
    <w:rsid w:val="13580A0A"/>
    <w:rsid w:val="136617BC"/>
    <w:rsid w:val="136F66CF"/>
    <w:rsid w:val="137141F5"/>
    <w:rsid w:val="13727D5F"/>
    <w:rsid w:val="13734411"/>
    <w:rsid w:val="13741F37"/>
    <w:rsid w:val="137912FC"/>
    <w:rsid w:val="137B5074"/>
    <w:rsid w:val="137D5290"/>
    <w:rsid w:val="138008DC"/>
    <w:rsid w:val="13826402"/>
    <w:rsid w:val="13830CE4"/>
    <w:rsid w:val="13871C6A"/>
    <w:rsid w:val="13961EAE"/>
    <w:rsid w:val="13972590"/>
    <w:rsid w:val="139908A5"/>
    <w:rsid w:val="139F2458"/>
    <w:rsid w:val="13A42943"/>
    <w:rsid w:val="13A66595"/>
    <w:rsid w:val="13A84C2F"/>
    <w:rsid w:val="13AA7707"/>
    <w:rsid w:val="13AB3BAB"/>
    <w:rsid w:val="13AB53F8"/>
    <w:rsid w:val="13AC657F"/>
    <w:rsid w:val="13B80076"/>
    <w:rsid w:val="13BC5DB8"/>
    <w:rsid w:val="13C24A51"/>
    <w:rsid w:val="13C42478"/>
    <w:rsid w:val="13C800FB"/>
    <w:rsid w:val="13DE01AE"/>
    <w:rsid w:val="13DF2573"/>
    <w:rsid w:val="13E069FD"/>
    <w:rsid w:val="13E62E35"/>
    <w:rsid w:val="13E7095B"/>
    <w:rsid w:val="13EF16E6"/>
    <w:rsid w:val="13EF52EF"/>
    <w:rsid w:val="13F6294C"/>
    <w:rsid w:val="13F762F6"/>
    <w:rsid w:val="13F97987"/>
    <w:rsid w:val="13FA41EA"/>
    <w:rsid w:val="13FD2BF1"/>
    <w:rsid w:val="13FF3EF7"/>
    <w:rsid w:val="13FF5CA5"/>
    <w:rsid w:val="14025795"/>
    <w:rsid w:val="140421EF"/>
    <w:rsid w:val="14060DE1"/>
    <w:rsid w:val="14092680"/>
    <w:rsid w:val="14121CFA"/>
    <w:rsid w:val="14131A12"/>
    <w:rsid w:val="14173200"/>
    <w:rsid w:val="141860EE"/>
    <w:rsid w:val="141B5B83"/>
    <w:rsid w:val="141C7294"/>
    <w:rsid w:val="141F1EA3"/>
    <w:rsid w:val="14276FAA"/>
    <w:rsid w:val="14305E5E"/>
    <w:rsid w:val="14346B76"/>
    <w:rsid w:val="143811B7"/>
    <w:rsid w:val="14392305"/>
    <w:rsid w:val="14504752"/>
    <w:rsid w:val="14507177"/>
    <w:rsid w:val="145C4EA5"/>
    <w:rsid w:val="145D4214"/>
    <w:rsid w:val="148075AE"/>
    <w:rsid w:val="1485199D"/>
    <w:rsid w:val="14865B6C"/>
    <w:rsid w:val="148D60AB"/>
    <w:rsid w:val="14911599"/>
    <w:rsid w:val="14962841"/>
    <w:rsid w:val="14983A03"/>
    <w:rsid w:val="149A3C1F"/>
    <w:rsid w:val="14A405FA"/>
    <w:rsid w:val="14A762CF"/>
    <w:rsid w:val="14AE6EE2"/>
    <w:rsid w:val="14B75B71"/>
    <w:rsid w:val="14BD6EA8"/>
    <w:rsid w:val="14BE790E"/>
    <w:rsid w:val="14C06253"/>
    <w:rsid w:val="14C20ED8"/>
    <w:rsid w:val="14CB1B54"/>
    <w:rsid w:val="14CF129F"/>
    <w:rsid w:val="14D273DE"/>
    <w:rsid w:val="14D40EDF"/>
    <w:rsid w:val="14D82CC8"/>
    <w:rsid w:val="14DB04C0"/>
    <w:rsid w:val="14DF2DF6"/>
    <w:rsid w:val="14DF7B05"/>
    <w:rsid w:val="14E37E55"/>
    <w:rsid w:val="14E530ED"/>
    <w:rsid w:val="14E8498B"/>
    <w:rsid w:val="14EA425F"/>
    <w:rsid w:val="14EC447B"/>
    <w:rsid w:val="14F234C5"/>
    <w:rsid w:val="14F52F16"/>
    <w:rsid w:val="14F93F9F"/>
    <w:rsid w:val="14FF1472"/>
    <w:rsid w:val="15011746"/>
    <w:rsid w:val="15077134"/>
    <w:rsid w:val="150D6C7B"/>
    <w:rsid w:val="151439D2"/>
    <w:rsid w:val="15165CA2"/>
    <w:rsid w:val="15186E22"/>
    <w:rsid w:val="15194B44"/>
    <w:rsid w:val="151D77DE"/>
    <w:rsid w:val="15205ED3"/>
    <w:rsid w:val="152534C4"/>
    <w:rsid w:val="15265878"/>
    <w:rsid w:val="15284ADE"/>
    <w:rsid w:val="152D05F0"/>
    <w:rsid w:val="15365999"/>
    <w:rsid w:val="15373433"/>
    <w:rsid w:val="15393438"/>
    <w:rsid w:val="153A3F16"/>
    <w:rsid w:val="153B130E"/>
    <w:rsid w:val="15412BF0"/>
    <w:rsid w:val="154B54F4"/>
    <w:rsid w:val="154C6CC8"/>
    <w:rsid w:val="154D2A40"/>
    <w:rsid w:val="154E59C0"/>
    <w:rsid w:val="154F67B8"/>
    <w:rsid w:val="15510782"/>
    <w:rsid w:val="15567B46"/>
    <w:rsid w:val="155713D3"/>
    <w:rsid w:val="155D0ED5"/>
    <w:rsid w:val="155D7127"/>
    <w:rsid w:val="1568787A"/>
    <w:rsid w:val="156F3D9A"/>
    <w:rsid w:val="156F619B"/>
    <w:rsid w:val="15736F3C"/>
    <w:rsid w:val="157708C6"/>
    <w:rsid w:val="15774823"/>
    <w:rsid w:val="15791A87"/>
    <w:rsid w:val="157955E3"/>
    <w:rsid w:val="157E55BA"/>
    <w:rsid w:val="15804BC3"/>
    <w:rsid w:val="15810768"/>
    <w:rsid w:val="158346B4"/>
    <w:rsid w:val="158C3568"/>
    <w:rsid w:val="158F12AA"/>
    <w:rsid w:val="159266A5"/>
    <w:rsid w:val="159348F7"/>
    <w:rsid w:val="15962639"/>
    <w:rsid w:val="159A0CB4"/>
    <w:rsid w:val="15A303A4"/>
    <w:rsid w:val="15A308B2"/>
    <w:rsid w:val="15AB2B59"/>
    <w:rsid w:val="15B30AF5"/>
    <w:rsid w:val="15B34F99"/>
    <w:rsid w:val="15B8273A"/>
    <w:rsid w:val="15BA4298"/>
    <w:rsid w:val="15BD6FF9"/>
    <w:rsid w:val="15BF393E"/>
    <w:rsid w:val="15BF5ABC"/>
    <w:rsid w:val="15C54CCC"/>
    <w:rsid w:val="15C92400"/>
    <w:rsid w:val="15D114D0"/>
    <w:rsid w:val="15D373E9"/>
    <w:rsid w:val="15D53220"/>
    <w:rsid w:val="15D60A62"/>
    <w:rsid w:val="15DA2525"/>
    <w:rsid w:val="15DB2014"/>
    <w:rsid w:val="15DF7B3C"/>
    <w:rsid w:val="15E16E62"/>
    <w:rsid w:val="15E213DA"/>
    <w:rsid w:val="15E40C88"/>
    <w:rsid w:val="15E52CE0"/>
    <w:rsid w:val="15EC04AB"/>
    <w:rsid w:val="15F4066B"/>
    <w:rsid w:val="15F5110D"/>
    <w:rsid w:val="15FA4976"/>
    <w:rsid w:val="15FD578A"/>
    <w:rsid w:val="160948EA"/>
    <w:rsid w:val="16210154"/>
    <w:rsid w:val="16220333"/>
    <w:rsid w:val="16247C45"/>
    <w:rsid w:val="163065E9"/>
    <w:rsid w:val="16332694"/>
    <w:rsid w:val="1635775C"/>
    <w:rsid w:val="163A7468"/>
    <w:rsid w:val="16421F12"/>
    <w:rsid w:val="1642632E"/>
    <w:rsid w:val="16442095"/>
    <w:rsid w:val="164B3423"/>
    <w:rsid w:val="164B51D1"/>
    <w:rsid w:val="164E0880"/>
    <w:rsid w:val="165027E8"/>
    <w:rsid w:val="1651030E"/>
    <w:rsid w:val="165241DD"/>
    <w:rsid w:val="165453C2"/>
    <w:rsid w:val="16646293"/>
    <w:rsid w:val="16685D83"/>
    <w:rsid w:val="16714C9E"/>
    <w:rsid w:val="167C5922"/>
    <w:rsid w:val="167D1693"/>
    <w:rsid w:val="167F4E7B"/>
    <w:rsid w:val="16832BBD"/>
    <w:rsid w:val="168406E3"/>
    <w:rsid w:val="1684629D"/>
    <w:rsid w:val="168626AD"/>
    <w:rsid w:val="168C319F"/>
    <w:rsid w:val="168D7598"/>
    <w:rsid w:val="16924BAE"/>
    <w:rsid w:val="1694550C"/>
    <w:rsid w:val="1695644C"/>
    <w:rsid w:val="16A06066"/>
    <w:rsid w:val="16AA4468"/>
    <w:rsid w:val="16AA639C"/>
    <w:rsid w:val="16B20605"/>
    <w:rsid w:val="16BF34C9"/>
    <w:rsid w:val="16C136E5"/>
    <w:rsid w:val="16C44F84"/>
    <w:rsid w:val="16C564D6"/>
    <w:rsid w:val="16C94348"/>
    <w:rsid w:val="16CA259A"/>
    <w:rsid w:val="16CB4564"/>
    <w:rsid w:val="16CE195E"/>
    <w:rsid w:val="16D23900"/>
    <w:rsid w:val="16D36956"/>
    <w:rsid w:val="16D74CB7"/>
    <w:rsid w:val="16D7540A"/>
    <w:rsid w:val="16DC7FD2"/>
    <w:rsid w:val="16DF03E9"/>
    <w:rsid w:val="16E42F30"/>
    <w:rsid w:val="16E93570"/>
    <w:rsid w:val="16EE60F3"/>
    <w:rsid w:val="16EF08D9"/>
    <w:rsid w:val="16EF3DAF"/>
    <w:rsid w:val="16F2564D"/>
    <w:rsid w:val="16F46A71"/>
    <w:rsid w:val="16F7322A"/>
    <w:rsid w:val="16FA2DB5"/>
    <w:rsid w:val="16FE0496"/>
    <w:rsid w:val="16FE2244"/>
    <w:rsid w:val="17045380"/>
    <w:rsid w:val="17077F2B"/>
    <w:rsid w:val="170F26A3"/>
    <w:rsid w:val="17101F77"/>
    <w:rsid w:val="17147CB9"/>
    <w:rsid w:val="1715758D"/>
    <w:rsid w:val="171750B3"/>
    <w:rsid w:val="171B605C"/>
    <w:rsid w:val="171E736C"/>
    <w:rsid w:val="172120C7"/>
    <w:rsid w:val="17237EFC"/>
    <w:rsid w:val="172422A9"/>
    <w:rsid w:val="17255A22"/>
    <w:rsid w:val="172577D0"/>
    <w:rsid w:val="172D166A"/>
    <w:rsid w:val="172D48D7"/>
    <w:rsid w:val="173619DD"/>
    <w:rsid w:val="17367C2F"/>
    <w:rsid w:val="173B6FF4"/>
    <w:rsid w:val="173C3387"/>
    <w:rsid w:val="173E4D36"/>
    <w:rsid w:val="173F352B"/>
    <w:rsid w:val="17400AAE"/>
    <w:rsid w:val="1743129B"/>
    <w:rsid w:val="1743234C"/>
    <w:rsid w:val="17435EA8"/>
    <w:rsid w:val="17457E73"/>
    <w:rsid w:val="17467C1C"/>
    <w:rsid w:val="1747139D"/>
    <w:rsid w:val="174721C5"/>
    <w:rsid w:val="174F3B50"/>
    <w:rsid w:val="174F484D"/>
    <w:rsid w:val="174F6F43"/>
    <w:rsid w:val="17515291"/>
    <w:rsid w:val="175235D3"/>
    <w:rsid w:val="17555BDC"/>
    <w:rsid w:val="175759E5"/>
    <w:rsid w:val="175B69DC"/>
    <w:rsid w:val="175E0F34"/>
    <w:rsid w:val="175E6B6A"/>
    <w:rsid w:val="17604CAC"/>
    <w:rsid w:val="17667206"/>
    <w:rsid w:val="177249E0"/>
    <w:rsid w:val="1776002C"/>
    <w:rsid w:val="177C0BEB"/>
    <w:rsid w:val="177C13BA"/>
    <w:rsid w:val="177F14EE"/>
    <w:rsid w:val="178A7F7B"/>
    <w:rsid w:val="17946704"/>
    <w:rsid w:val="17981D0B"/>
    <w:rsid w:val="179E4A77"/>
    <w:rsid w:val="17A34B99"/>
    <w:rsid w:val="17A50911"/>
    <w:rsid w:val="17A5226F"/>
    <w:rsid w:val="17A74973"/>
    <w:rsid w:val="17A75B29"/>
    <w:rsid w:val="17AB40A1"/>
    <w:rsid w:val="17AD77C6"/>
    <w:rsid w:val="17B62B1E"/>
    <w:rsid w:val="17BD4979"/>
    <w:rsid w:val="17BF6981"/>
    <w:rsid w:val="17C52D61"/>
    <w:rsid w:val="17CA0378"/>
    <w:rsid w:val="17CA6173"/>
    <w:rsid w:val="17CE6C61"/>
    <w:rsid w:val="17D2722C"/>
    <w:rsid w:val="17D411F6"/>
    <w:rsid w:val="17D47866"/>
    <w:rsid w:val="17D52699"/>
    <w:rsid w:val="17D64F6F"/>
    <w:rsid w:val="17DB07D7"/>
    <w:rsid w:val="17DD3D91"/>
    <w:rsid w:val="17DD454F"/>
    <w:rsid w:val="17E21B65"/>
    <w:rsid w:val="17E50F1B"/>
    <w:rsid w:val="17E64F15"/>
    <w:rsid w:val="17F673BF"/>
    <w:rsid w:val="17F815B2"/>
    <w:rsid w:val="17FC7FF8"/>
    <w:rsid w:val="18005E60"/>
    <w:rsid w:val="180513B0"/>
    <w:rsid w:val="180875DD"/>
    <w:rsid w:val="18100480"/>
    <w:rsid w:val="18134AB0"/>
    <w:rsid w:val="181D0DEF"/>
    <w:rsid w:val="181D2B9D"/>
    <w:rsid w:val="181F387F"/>
    <w:rsid w:val="182201B4"/>
    <w:rsid w:val="18273EE7"/>
    <w:rsid w:val="182C1032"/>
    <w:rsid w:val="18302C42"/>
    <w:rsid w:val="18310418"/>
    <w:rsid w:val="183652F9"/>
    <w:rsid w:val="18371DC4"/>
    <w:rsid w:val="183D02EF"/>
    <w:rsid w:val="183D4FEE"/>
    <w:rsid w:val="18491BE4"/>
    <w:rsid w:val="184E4D3B"/>
    <w:rsid w:val="184E71FB"/>
    <w:rsid w:val="184F2B91"/>
    <w:rsid w:val="185C36C6"/>
    <w:rsid w:val="185D40D7"/>
    <w:rsid w:val="185F34CB"/>
    <w:rsid w:val="18694035"/>
    <w:rsid w:val="186C3648"/>
    <w:rsid w:val="18773C95"/>
    <w:rsid w:val="187E47B3"/>
    <w:rsid w:val="18860BB9"/>
    <w:rsid w:val="18884AFD"/>
    <w:rsid w:val="18890233"/>
    <w:rsid w:val="188A5978"/>
    <w:rsid w:val="188B5D59"/>
    <w:rsid w:val="188B7B07"/>
    <w:rsid w:val="189270E7"/>
    <w:rsid w:val="18934C0E"/>
    <w:rsid w:val="189746FE"/>
    <w:rsid w:val="189F35B2"/>
    <w:rsid w:val="18A84B5D"/>
    <w:rsid w:val="18A858F9"/>
    <w:rsid w:val="18A961DF"/>
    <w:rsid w:val="18AE1FE9"/>
    <w:rsid w:val="18B4763C"/>
    <w:rsid w:val="18B84674"/>
    <w:rsid w:val="18BA663E"/>
    <w:rsid w:val="18BC23B6"/>
    <w:rsid w:val="18BE588E"/>
    <w:rsid w:val="18CD6371"/>
    <w:rsid w:val="18D94D16"/>
    <w:rsid w:val="18DC02FF"/>
    <w:rsid w:val="18DE057F"/>
    <w:rsid w:val="18E25578"/>
    <w:rsid w:val="18E30F8A"/>
    <w:rsid w:val="18E45469"/>
    <w:rsid w:val="18E61C15"/>
    <w:rsid w:val="18E82CD9"/>
    <w:rsid w:val="18EB2C9C"/>
    <w:rsid w:val="18EE0096"/>
    <w:rsid w:val="18F25DD8"/>
    <w:rsid w:val="18FC27B3"/>
    <w:rsid w:val="19041CBE"/>
    <w:rsid w:val="19045B0B"/>
    <w:rsid w:val="1906204F"/>
    <w:rsid w:val="190A1374"/>
    <w:rsid w:val="191479B4"/>
    <w:rsid w:val="19157D18"/>
    <w:rsid w:val="191775ED"/>
    <w:rsid w:val="192455D8"/>
    <w:rsid w:val="192F4936"/>
    <w:rsid w:val="19332236"/>
    <w:rsid w:val="19382B57"/>
    <w:rsid w:val="1938516E"/>
    <w:rsid w:val="193B777F"/>
    <w:rsid w:val="193F3921"/>
    <w:rsid w:val="19434886"/>
    <w:rsid w:val="194C2D7E"/>
    <w:rsid w:val="19560D8E"/>
    <w:rsid w:val="195A6DE8"/>
    <w:rsid w:val="195B1BCF"/>
    <w:rsid w:val="195C76F5"/>
    <w:rsid w:val="195F55F7"/>
    <w:rsid w:val="19600F94"/>
    <w:rsid w:val="19611EE2"/>
    <w:rsid w:val="19650358"/>
    <w:rsid w:val="19662322"/>
    <w:rsid w:val="196770E8"/>
    <w:rsid w:val="19687E48"/>
    <w:rsid w:val="196933D6"/>
    <w:rsid w:val="196E7277"/>
    <w:rsid w:val="19713BDF"/>
    <w:rsid w:val="1976521A"/>
    <w:rsid w:val="19792055"/>
    <w:rsid w:val="197D7D98"/>
    <w:rsid w:val="197E3186"/>
    <w:rsid w:val="197E61E3"/>
    <w:rsid w:val="19800A63"/>
    <w:rsid w:val="19856C4C"/>
    <w:rsid w:val="1987566D"/>
    <w:rsid w:val="198C0AC2"/>
    <w:rsid w:val="19911EC9"/>
    <w:rsid w:val="19924070"/>
    <w:rsid w:val="199926F8"/>
    <w:rsid w:val="199B1FCC"/>
    <w:rsid w:val="199B52F9"/>
    <w:rsid w:val="199C3DB1"/>
    <w:rsid w:val="19A05834"/>
    <w:rsid w:val="19A10856"/>
    <w:rsid w:val="19A36A6E"/>
    <w:rsid w:val="19AE61A3"/>
    <w:rsid w:val="19B150A8"/>
    <w:rsid w:val="19BC1F42"/>
    <w:rsid w:val="19C332D1"/>
    <w:rsid w:val="19CA28B1"/>
    <w:rsid w:val="19CC487B"/>
    <w:rsid w:val="19D35C0A"/>
    <w:rsid w:val="19D76D7C"/>
    <w:rsid w:val="19D84FCE"/>
    <w:rsid w:val="19E971DB"/>
    <w:rsid w:val="19EB3DD4"/>
    <w:rsid w:val="19EB461F"/>
    <w:rsid w:val="19ED453B"/>
    <w:rsid w:val="19EE0797"/>
    <w:rsid w:val="19EF056A"/>
    <w:rsid w:val="19F4792E"/>
    <w:rsid w:val="19F50A8D"/>
    <w:rsid w:val="19F81246"/>
    <w:rsid w:val="1A04497A"/>
    <w:rsid w:val="1A0B5C7A"/>
    <w:rsid w:val="1A134258"/>
    <w:rsid w:val="1A18361C"/>
    <w:rsid w:val="1A19345F"/>
    <w:rsid w:val="1A1C3315"/>
    <w:rsid w:val="1A1C4F3F"/>
    <w:rsid w:val="1A1D3CEF"/>
    <w:rsid w:val="1A1F0E4F"/>
    <w:rsid w:val="1A25729D"/>
    <w:rsid w:val="1A2C5DF4"/>
    <w:rsid w:val="1A2E0437"/>
    <w:rsid w:val="1A341039"/>
    <w:rsid w:val="1A361CF4"/>
    <w:rsid w:val="1A385A6D"/>
    <w:rsid w:val="1A3B730B"/>
    <w:rsid w:val="1A425633"/>
    <w:rsid w:val="1A4408B5"/>
    <w:rsid w:val="1A4C0767"/>
    <w:rsid w:val="1A514D80"/>
    <w:rsid w:val="1A530AF8"/>
    <w:rsid w:val="1A544563"/>
    <w:rsid w:val="1A555ADC"/>
    <w:rsid w:val="1A56667A"/>
    <w:rsid w:val="1A5F749D"/>
    <w:rsid w:val="1A604FC3"/>
    <w:rsid w:val="1A642658"/>
    <w:rsid w:val="1A722B93"/>
    <w:rsid w:val="1A730B07"/>
    <w:rsid w:val="1A736AA5"/>
    <w:rsid w:val="1A742097"/>
    <w:rsid w:val="1A750A6F"/>
    <w:rsid w:val="1A76768A"/>
    <w:rsid w:val="1A772D4C"/>
    <w:rsid w:val="1A783ED9"/>
    <w:rsid w:val="1A7B1DFD"/>
    <w:rsid w:val="1A7C7171"/>
    <w:rsid w:val="1A807414"/>
    <w:rsid w:val="1A904AED"/>
    <w:rsid w:val="1A922E78"/>
    <w:rsid w:val="1A962E09"/>
    <w:rsid w:val="1A98475D"/>
    <w:rsid w:val="1A9A7C01"/>
    <w:rsid w:val="1A9B3BB2"/>
    <w:rsid w:val="1A9C0424"/>
    <w:rsid w:val="1A9D7FC6"/>
    <w:rsid w:val="1A9F105F"/>
    <w:rsid w:val="1AA11864"/>
    <w:rsid w:val="1AA749A0"/>
    <w:rsid w:val="1AA90718"/>
    <w:rsid w:val="1AA94F5A"/>
    <w:rsid w:val="1AA9696A"/>
    <w:rsid w:val="1AAC1FB7"/>
    <w:rsid w:val="1AB26E57"/>
    <w:rsid w:val="1AB64932"/>
    <w:rsid w:val="1ABC669E"/>
    <w:rsid w:val="1AC217DA"/>
    <w:rsid w:val="1AC45552"/>
    <w:rsid w:val="1AC60017"/>
    <w:rsid w:val="1AC63078"/>
    <w:rsid w:val="1AC6751C"/>
    <w:rsid w:val="1AC94917"/>
    <w:rsid w:val="1ACB068F"/>
    <w:rsid w:val="1AD02149"/>
    <w:rsid w:val="1AD5150D"/>
    <w:rsid w:val="1AD52AE7"/>
    <w:rsid w:val="1AD5775F"/>
    <w:rsid w:val="1AD6374C"/>
    <w:rsid w:val="1ADA2FC8"/>
    <w:rsid w:val="1ADA3D88"/>
    <w:rsid w:val="1ADC289C"/>
    <w:rsid w:val="1ADD03C2"/>
    <w:rsid w:val="1AE14356"/>
    <w:rsid w:val="1AE254F2"/>
    <w:rsid w:val="1AE41750"/>
    <w:rsid w:val="1AE9320B"/>
    <w:rsid w:val="1AEF729B"/>
    <w:rsid w:val="1AF009F4"/>
    <w:rsid w:val="1AF11DCA"/>
    <w:rsid w:val="1AF91C79"/>
    <w:rsid w:val="1AFA6510"/>
    <w:rsid w:val="1AFC1190"/>
    <w:rsid w:val="1AFF16D2"/>
    <w:rsid w:val="1B041DF3"/>
    <w:rsid w:val="1B086E06"/>
    <w:rsid w:val="1B176781"/>
    <w:rsid w:val="1B1868FB"/>
    <w:rsid w:val="1B23671D"/>
    <w:rsid w:val="1B280A3D"/>
    <w:rsid w:val="1B281F85"/>
    <w:rsid w:val="1B2B0976"/>
    <w:rsid w:val="1B315A15"/>
    <w:rsid w:val="1B364282"/>
    <w:rsid w:val="1B3A3A66"/>
    <w:rsid w:val="1B3E3557"/>
    <w:rsid w:val="1B451F52"/>
    <w:rsid w:val="1B4641B9"/>
    <w:rsid w:val="1B483D25"/>
    <w:rsid w:val="1B4D5548"/>
    <w:rsid w:val="1B4E306E"/>
    <w:rsid w:val="1B537AC3"/>
    <w:rsid w:val="1B542D7A"/>
    <w:rsid w:val="1B59213E"/>
    <w:rsid w:val="1B5D1FEF"/>
    <w:rsid w:val="1B5D46B2"/>
    <w:rsid w:val="1B612549"/>
    <w:rsid w:val="1B617245"/>
    <w:rsid w:val="1B650AE3"/>
    <w:rsid w:val="1B6C00C4"/>
    <w:rsid w:val="1B7173EF"/>
    <w:rsid w:val="1B7D6571"/>
    <w:rsid w:val="1B7F0679"/>
    <w:rsid w:val="1B940A75"/>
    <w:rsid w:val="1B950C9D"/>
    <w:rsid w:val="1B963ADC"/>
    <w:rsid w:val="1B972C67"/>
    <w:rsid w:val="1B993A23"/>
    <w:rsid w:val="1B9C5D53"/>
    <w:rsid w:val="1B9E2247"/>
    <w:rsid w:val="1B9E5DA3"/>
    <w:rsid w:val="1B9F3C67"/>
    <w:rsid w:val="1B9F5407"/>
    <w:rsid w:val="1BA64C58"/>
    <w:rsid w:val="1BA67CD5"/>
    <w:rsid w:val="1BAA0BEC"/>
    <w:rsid w:val="1BAB4AC5"/>
    <w:rsid w:val="1BAF1D5E"/>
    <w:rsid w:val="1BB51EC1"/>
    <w:rsid w:val="1BB61551"/>
    <w:rsid w:val="1BB6659D"/>
    <w:rsid w:val="1BB90E2F"/>
    <w:rsid w:val="1BBE4697"/>
    <w:rsid w:val="1BC507A4"/>
    <w:rsid w:val="1BD23C9F"/>
    <w:rsid w:val="1BDC68CC"/>
    <w:rsid w:val="1BE063BC"/>
    <w:rsid w:val="1BE31EF1"/>
    <w:rsid w:val="1BE73EBF"/>
    <w:rsid w:val="1BE7599C"/>
    <w:rsid w:val="1BE91714"/>
    <w:rsid w:val="1BEA548C"/>
    <w:rsid w:val="1BEF4851"/>
    <w:rsid w:val="1BF06CD1"/>
    <w:rsid w:val="1BF51F21"/>
    <w:rsid w:val="1C074B5F"/>
    <w:rsid w:val="1C093B64"/>
    <w:rsid w:val="1C131164"/>
    <w:rsid w:val="1C177AE5"/>
    <w:rsid w:val="1C1B3B19"/>
    <w:rsid w:val="1C1C4F1A"/>
    <w:rsid w:val="1C1D13BE"/>
    <w:rsid w:val="1C1E66A8"/>
    <w:rsid w:val="1C204A0A"/>
    <w:rsid w:val="1C224C26"/>
    <w:rsid w:val="1C297D63"/>
    <w:rsid w:val="1C2D08BF"/>
    <w:rsid w:val="1C2E35CB"/>
    <w:rsid w:val="1C2F6481"/>
    <w:rsid w:val="1C3109C5"/>
    <w:rsid w:val="1C314E69"/>
    <w:rsid w:val="1C32571D"/>
    <w:rsid w:val="1C34594F"/>
    <w:rsid w:val="1C387FA6"/>
    <w:rsid w:val="1C44694B"/>
    <w:rsid w:val="1C47468D"/>
    <w:rsid w:val="1C4A7CD9"/>
    <w:rsid w:val="1C4B004D"/>
    <w:rsid w:val="1C4C3A51"/>
    <w:rsid w:val="1C533032"/>
    <w:rsid w:val="1C5D5C5E"/>
    <w:rsid w:val="1C5F3784"/>
    <w:rsid w:val="1C6074FD"/>
    <w:rsid w:val="1C640D9B"/>
    <w:rsid w:val="1C676DC2"/>
    <w:rsid w:val="1C694603"/>
    <w:rsid w:val="1C6C7097"/>
    <w:rsid w:val="1C702409"/>
    <w:rsid w:val="1C716083"/>
    <w:rsid w:val="1C733ECC"/>
    <w:rsid w:val="1C744EE3"/>
    <w:rsid w:val="1C752FA8"/>
    <w:rsid w:val="1C7865F4"/>
    <w:rsid w:val="1C827473"/>
    <w:rsid w:val="1C876837"/>
    <w:rsid w:val="1C8A6328"/>
    <w:rsid w:val="1C906F2C"/>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D767C"/>
    <w:rsid w:val="1CBF06C7"/>
    <w:rsid w:val="1CC108CC"/>
    <w:rsid w:val="1CCC64DC"/>
    <w:rsid w:val="1CCC7664"/>
    <w:rsid w:val="1CDA364E"/>
    <w:rsid w:val="1CDF48C5"/>
    <w:rsid w:val="1CE41EDC"/>
    <w:rsid w:val="1CE912A0"/>
    <w:rsid w:val="1CEB326A"/>
    <w:rsid w:val="1CF3211F"/>
    <w:rsid w:val="1CF814E3"/>
    <w:rsid w:val="1CFC0D17"/>
    <w:rsid w:val="1CFC6388"/>
    <w:rsid w:val="1CFD4D4B"/>
    <w:rsid w:val="1CFF0AC4"/>
    <w:rsid w:val="1D0205B4"/>
    <w:rsid w:val="1D077918"/>
    <w:rsid w:val="1D0B56BA"/>
    <w:rsid w:val="1D0D0040"/>
    <w:rsid w:val="1D0D31E0"/>
    <w:rsid w:val="1D0E51AB"/>
    <w:rsid w:val="1D1207F7"/>
    <w:rsid w:val="1D1741B0"/>
    <w:rsid w:val="1D183933"/>
    <w:rsid w:val="1D1C3424"/>
    <w:rsid w:val="1D214EDE"/>
    <w:rsid w:val="1D237A52"/>
    <w:rsid w:val="1D2B18B9"/>
    <w:rsid w:val="1D3249F5"/>
    <w:rsid w:val="1D444728"/>
    <w:rsid w:val="1D4604A0"/>
    <w:rsid w:val="1D4D4C12"/>
    <w:rsid w:val="1D540E0F"/>
    <w:rsid w:val="1D556936"/>
    <w:rsid w:val="1D567998"/>
    <w:rsid w:val="1D57445C"/>
    <w:rsid w:val="1D5801D4"/>
    <w:rsid w:val="1D5A219E"/>
    <w:rsid w:val="1D5A6AB3"/>
    <w:rsid w:val="1D5E1C8E"/>
    <w:rsid w:val="1D5E5D84"/>
    <w:rsid w:val="1D600881"/>
    <w:rsid w:val="1D666D95"/>
    <w:rsid w:val="1D682B0D"/>
    <w:rsid w:val="1D69418F"/>
    <w:rsid w:val="1D70376F"/>
    <w:rsid w:val="1D756FD8"/>
    <w:rsid w:val="1D772D50"/>
    <w:rsid w:val="1D7768AC"/>
    <w:rsid w:val="1D7B1393"/>
    <w:rsid w:val="1D7D3896"/>
    <w:rsid w:val="1D7E40DE"/>
    <w:rsid w:val="1D862F93"/>
    <w:rsid w:val="1D910C13"/>
    <w:rsid w:val="1D94745E"/>
    <w:rsid w:val="1D965BCC"/>
    <w:rsid w:val="1D9C27B6"/>
    <w:rsid w:val="1D9C6312"/>
    <w:rsid w:val="1D9C78E8"/>
    <w:rsid w:val="1DAB29F9"/>
    <w:rsid w:val="1DAE343C"/>
    <w:rsid w:val="1DB1168D"/>
    <w:rsid w:val="1DB7139E"/>
    <w:rsid w:val="1DB93368"/>
    <w:rsid w:val="1DBA2700"/>
    <w:rsid w:val="1DBB5B2A"/>
    <w:rsid w:val="1DC52FAB"/>
    <w:rsid w:val="1DC65322"/>
    <w:rsid w:val="1DC85359"/>
    <w:rsid w:val="1DCE0BB5"/>
    <w:rsid w:val="1DD43CFE"/>
    <w:rsid w:val="1DD6628E"/>
    <w:rsid w:val="1DD663F1"/>
    <w:rsid w:val="1DD7559C"/>
    <w:rsid w:val="1DD91DFE"/>
    <w:rsid w:val="1DDA5495"/>
    <w:rsid w:val="1DDB32DF"/>
    <w:rsid w:val="1DE026A3"/>
    <w:rsid w:val="1DE1641B"/>
    <w:rsid w:val="1DE63A32"/>
    <w:rsid w:val="1DED4DC0"/>
    <w:rsid w:val="1DED6B6E"/>
    <w:rsid w:val="1DEF28E6"/>
    <w:rsid w:val="1DFD1C32"/>
    <w:rsid w:val="1E002D45"/>
    <w:rsid w:val="1E021574"/>
    <w:rsid w:val="1E094E90"/>
    <w:rsid w:val="1E0B0BB8"/>
    <w:rsid w:val="1E0D7210"/>
    <w:rsid w:val="1E0F6BD4"/>
    <w:rsid w:val="1E0F7CB7"/>
    <w:rsid w:val="1E1D56A5"/>
    <w:rsid w:val="1E2A6014"/>
    <w:rsid w:val="1E2D15D1"/>
    <w:rsid w:val="1E360515"/>
    <w:rsid w:val="1E3812B5"/>
    <w:rsid w:val="1E426EBA"/>
    <w:rsid w:val="1E463F1E"/>
    <w:rsid w:val="1E486A15"/>
    <w:rsid w:val="1E4E3AB1"/>
    <w:rsid w:val="1E4F7829"/>
    <w:rsid w:val="1E543091"/>
    <w:rsid w:val="1E55286D"/>
    <w:rsid w:val="1E5633AE"/>
    <w:rsid w:val="1E567848"/>
    <w:rsid w:val="1E570B35"/>
    <w:rsid w:val="1E574EB5"/>
    <w:rsid w:val="1E5D3CF4"/>
    <w:rsid w:val="1E5F23BD"/>
    <w:rsid w:val="1E6169F7"/>
    <w:rsid w:val="1E6432D4"/>
    <w:rsid w:val="1E6A1572"/>
    <w:rsid w:val="1E733517"/>
    <w:rsid w:val="1E757DC6"/>
    <w:rsid w:val="1E780C87"/>
    <w:rsid w:val="1E780D78"/>
    <w:rsid w:val="1E7E2BDD"/>
    <w:rsid w:val="1E845724"/>
    <w:rsid w:val="1E87192B"/>
    <w:rsid w:val="1E890F8D"/>
    <w:rsid w:val="1E8F6EB7"/>
    <w:rsid w:val="1E933BB9"/>
    <w:rsid w:val="1E935967"/>
    <w:rsid w:val="1E94348E"/>
    <w:rsid w:val="1E9516DF"/>
    <w:rsid w:val="1E997FFF"/>
    <w:rsid w:val="1E9B0CC0"/>
    <w:rsid w:val="1E9F430C"/>
    <w:rsid w:val="1E9F4582"/>
    <w:rsid w:val="1EA2204E"/>
    <w:rsid w:val="1EA638ED"/>
    <w:rsid w:val="1EA96F39"/>
    <w:rsid w:val="1EAC07D7"/>
    <w:rsid w:val="1EB64FA8"/>
    <w:rsid w:val="1EB8717C"/>
    <w:rsid w:val="1EBF49AE"/>
    <w:rsid w:val="1EC51899"/>
    <w:rsid w:val="1ECB1245"/>
    <w:rsid w:val="1ECC090F"/>
    <w:rsid w:val="1ECE05AB"/>
    <w:rsid w:val="1ED65854"/>
    <w:rsid w:val="1ED95739"/>
    <w:rsid w:val="1EE211AB"/>
    <w:rsid w:val="1EE7180F"/>
    <w:rsid w:val="1EED11DB"/>
    <w:rsid w:val="1EEE613B"/>
    <w:rsid w:val="1EF47B72"/>
    <w:rsid w:val="1EF53F2C"/>
    <w:rsid w:val="1EFD1E5A"/>
    <w:rsid w:val="1F0044AB"/>
    <w:rsid w:val="1F00584E"/>
    <w:rsid w:val="1F010B23"/>
    <w:rsid w:val="1F071861"/>
    <w:rsid w:val="1F0D396C"/>
    <w:rsid w:val="1F132604"/>
    <w:rsid w:val="1F1545CE"/>
    <w:rsid w:val="1F1B770B"/>
    <w:rsid w:val="1F1D7BFC"/>
    <w:rsid w:val="1F1F3C3A"/>
    <w:rsid w:val="1F226CEB"/>
    <w:rsid w:val="1F262338"/>
    <w:rsid w:val="1F302869"/>
    <w:rsid w:val="1F303DF5"/>
    <w:rsid w:val="1F360B38"/>
    <w:rsid w:val="1F3B03AF"/>
    <w:rsid w:val="1F3C45CD"/>
    <w:rsid w:val="1F3C7DAD"/>
    <w:rsid w:val="1F486752"/>
    <w:rsid w:val="1F494A91"/>
    <w:rsid w:val="1F4A1709"/>
    <w:rsid w:val="1F542AF0"/>
    <w:rsid w:val="1F552C1D"/>
    <w:rsid w:val="1F6317DE"/>
    <w:rsid w:val="1F681905"/>
    <w:rsid w:val="1F6B2440"/>
    <w:rsid w:val="1F6C7A7C"/>
    <w:rsid w:val="1F705CA9"/>
    <w:rsid w:val="1F707A57"/>
    <w:rsid w:val="1F731B56"/>
    <w:rsid w:val="1F74110F"/>
    <w:rsid w:val="1F7E0296"/>
    <w:rsid w:val="1F8034B0"/>
    <w:rsid w:val="1F834F63"/>
    <w:rsid w:val="1F844F28"/>
    <w:rsid w:val="1F8654CC"/>
    <w:rsid w:val="1F8B4890"/>
    <w:rsid w:val="1F8D0609"/>
    <w:rsid w:val="1F8E6EBD"/>
    <w:rsid w:val="1F95570F"/>
    <w:rsid w:val="1F9574BD"/>
    <w:rsid w:val="1F9A0F77"/>
    <w:rsid w:val="1F9B5D57"/>
    <w:rsid w:val="1F9C0172"/>
    <w:rsid w:val="1F9C4B80"/>
    <w:rsid w:val="1FA12306"/>
    <w:rsid w:val="1FA26029"/>
    <w:rsid w:val="1FA52E26"/>
    <w:rsid w:val="1FA53BA4"/>
    <w:rsid w:val="1FAB4F33"/>
    <w:rsid w:val="1FAD2A59"/>
    <w:rsid w:val="1FB12B7B"/>
    <w:rsid w:val="1FB21E1D"/>
    <w:rsid w:val="1FB56D07"/>
    <w:rsid w:val="1FB673BE"/>
    <w:rsid w:val="1FB7220A"/>
    <w:rsid w:val="1FBD0F97"/>
    <w:rsid w:val="1FC17307"/>
    <w:rsid w:val="1FCD088B"/>
    <w:rsid w:val="1FCF44DB"/>
    <w:rsid w:val="1FD60202"/>
    <w:rsid w:val="1FD61FB0"/>
    <w:rsid w:val="1FDA1374"/>
    <w:rsid w:val="1FDE7F6F"/>
    <w:rsid w:val="1FE346CD"/>
    <w:rsid w:val="1FEA7C53"/>
    <w:rsid w:val="1FEE7146"/>
    <w:rsid w:val="1FEF0EF4"/>
    <w:rsid w:val="1FF444BD"/>
    <w:rsid w:val="1FF45DCD"/>
    <w:rsid w:val="1FF563DD"/>
    <w:rsid w:val="1FFA64B0"/>
    <w:rsid w:val="1FFB2A6A"/>
    <w:rsid w:val="20025A91"/>
    <w:rsid w:val="20047D3E"/>
    <w:rsid w:val="2006231E"/>
    <w:rsid w:val="200D1749"/>
    <w:rsid w:val="201168B8"/>
    <w:rsid w:val="201B5C14"/>
    <w:rsid w:val="201C0736"/>
    <w:rsid w:val="202111B2"/>
    <w:rsid w:val="202645B9"/>
    <w:rsid w:val="202D1DEC"/>
    <w:rsid w:val="203171E6"/>
    <w:rsid w:val="20320885"/>
    <w:rsid w:val="20350095"/>
    <w:rsid w:val="20360CA0"/>
    <w:rsid w:val="20360F5B"/>
    <w:rsid w:val="20372E7D"/>
    <w:rsid w:val="203A38EA"/>
    <w:rsid w:val="204809D3"/>
    <w:rsid w:val="204C4020"/>
    <w:rsid w:val="20515ADA"/>
    <w:rsid w:val="205729C5"/>
    <w:rsid w:val="205904EB"/>
    <w:rsid w:val="206155F1"/>
    <w:rsid w:val="20623843"/>
    <w:rsid w:val="207812B9"/>
    <w:rsid w:val="207864EE"/>
    <w:rsid w:val="207E43F5"/>
    <w:rsid w:val="2080305E"/>
    <w:rsid w:val="20805409"/>
    <w:rsid w:val="20823EE5"/>
    <w:rsid w:val="20857532"/>
    <w:rsid w:val="208732AA"/>
    <w:rsid w:val="208C6B12"/>
    <w:rsid w:val="2091237A"/>
    <w:rsid w:val="20921043"/>
    <w:rsid w:val="209E1F77"/>
    <w:rsid w:val="20A06EA1"/>
    <w:rsid w:val="20A21BF5"/>
    <w:rsid w:val="20A26336"/>
    <w:rsid w:val="20A34B34"/>
    <w:rsid w:val="20A53730"/>
    <w:rsid w:val="20AC0F62"/>
    <w:rsid w:val="20B561E4"/>
    <w:rsid w:val="20BB33CA"/>
    <w:rsid w:val="20C462AC"/>
    <w:rsid w:val="20CB5604"/>
    <w:rsid w:val="20D364EF"/>
    <w:rsid w:val="20D5619C"/>
    <w:rsid w:val="20D9162C"/>
    <w:rsid w:val="20DB40B8"/>
    <w:rsid w:val="20E029BA"/>
    <w:rsid w:val="20E17432"/>
    <w:rsid w:val="20E23E58"/>
    <w:rsid w:val="20EC135F"/>
    <w:rsid w:val="20EF4387"/>
    <w:rsid w:val="20F003D8"/>
    <w:rsid w:val="20F128FE"/>
    <w:rsid w:val="20F52909"/>
    <w:rsid w:val="20F85D62"/>
    <w:rsid w:val="20FC2382"/>
    <w:rsid w:val="21093CBF"/>
    <w:rsid w:val="210A24B9"/>
    <w:rsid w:val="210A342D"/>
    <w:rsid w:val="210D26FB"/>
    <w:rsid w:val="210F7CE3"/>
    <w:rsid w:val="211333F9"/>
    <w:rsid w:val="21140BF4"/>
    <w:rsid w:val="2116462E"/>
    <w:rsid w:val="21186CA9"/>
    <w:rsid w:val="211D3C0E"/>
    <w:rsid w:val="211D438C"/>
    <w:rsid w:val="211F3ADE"/>
    <w:rsid w:val="211F7986"/>
    <w:rsid w:val="21246D4B"/>
    <w:rsid w:val="21262AC3"/>
    <w:rsid w:val="21276BA7"/>
    <w:rsid w:val="212E1977"/>
    <w:rsid w:val="21321B48"/>
    <w:rsid w:val="21350F58"/>
    <w:rsid w:val="213528A0"/>
    <w:rsid w:val="213571AA"/>
    <w:rsid w:val="213827F6"/>
    <w:rsid w:val="213D605E"/>
    <w:rsid w:val="213D7C44"/>
    <w:rsid w:val="213F4B2E"/>
    <w:rsid w:val="2149055F"/>
    <w:rsid w:val="21493A50"/>
    <w:rsid w:val="214C261A"/>
    <w:rsid w:val="215313DE"/>
    <w:rsid w:val="215533A8"/>
    <w:rsid w:val="215F4227"/>
    <w:rsid w:val="21600CBF"/>
    <w:rsid w:val="216A2189"/>
    <w:rsid w:val="216C24A0"/>
    <w:rsid w:val="216F2737"/>
    <w:rsid w:val="217823A6"/>
    <w:rsid w:val="21792FBB"/>
    <w:rsid w:val="217B07D6"/>
    <w:rsid w:val="217D1E03"/>
    <w:rsid w:val="21815F4B"/>
    <w:rsid w:val="21834CD3"/>
    <w:rsid w:val="21843601"/>
    <w:rsid w:val="2184648F"/>
    <w:rsid w:val="218A325D"/>
    <w:rsid w:val="218C4D46"/>
    <w:rsid w:val="218E56E9"/>
    <w:rsid w:val="219263AA"/>
    <w:rsid w:val="219A700D"/>
    <w:rsid w:val="219E4C9A"/>
    <w:rsid w:val="21A12149"/>
    <w:rsid w:val="21A67760"/>
    <w:rsid w:val="21AD4F92"/>
    <w:rsid w:val="21B87493"/>
    <w:rsid w:val="21C8332B"/>
    <w:rsid w:val="21DE514B"/>
    <w:rsid w:val="21E309B4"/>
    <w:rsid w:val="21E34462"/>
    <w:rsid w:val="21E45D3C"/>
    <w:rsid w:val="21F506E7"/>
    <w:rsid w:val="21F95279"/>
    <w:rsid w:val="21F97908"/>
    <w:rsid w:val="21FA6D32"/>
    <w:rsid w:val="21FA7AAB"/>
    <w:rsid w:val="21FC3824"/>
    <w:rsid w:val="21FE01EB"/>
    <w:rsid w:val="22056B7C"/>
    <w:rsid w:val="2208666C"/>
    <w:rsid w:val="220A5F40"/>
    <w:rsid w:val="220D3C83"/>
    <w:rsid w:val="22121299"/>
    <w:rsid w:val="22146DBF"/>
    <w:rsid w:val="221B014E"/>
    <w:rsid w:val="221C1825"/>
    <w:rsid w:val="221C2118"/>
    <w:rsid w:val="22205764"/>
    <w:rsid w:val="22223C83"/>
    <w:rsid w:val="22244B28"/>
    <w:rsid w:val="2228094B"/>
    <w:rsid w:val="22327245"/>
    <w:rsid w:val="22377E0A"/>
    <w:rsid w:val="223B259E"/>
    <w:rsid w:val="223B3EE7"/>
    <w:rsid w:val="223B434C"/>
    <w:rsid w:val="22407BB4"/>
    <w:rsid w:val="22476665"/>
    <w:rsid w:val="225549DB"/>
    <w:rsid w:val="22583A72"/>
    <w:rsid w:val="225A1C20"/>
    <w:rsid w:val="225C2233"/>
    <w:rsid w:val="225F478E"/>
    <w:rsid w:val="2265586D"/>
    <w:rsid w:val="226D3010"/>
    <w:rsid w:val="227117DF"/>
    <w:rsid w:val="22791E85"/>
    <w:rsid w:val="22795622"/>
    <w:rsid w:val="227C6712"/>
    <w:rsid w:val="22812619"/>
    <w:rsid w:val="22824E29"/>
    <w:rsid w:val="228F4698"/>
    <w:rsid w:val="22904FEA"/>
    <w:rsid w:val="22965A26"/>
    <w:rsid w:val="22967FAA"/>
    <w:rsid w:val="2297354C"/>
    <w:rsid w:val="2298179E"/>
    <w:rsid w:val="229972C4"/>
    <w:rsid w:val="22A00653"/>
    <w:rsid w:val="22AA5B91"/>
    <w:rsid w:val="22AC6FF8"/>
    <w:rsid w:val="22AF6AE8"/>
    <w:rsid w:val="22B20386"/>
    <w:rsid w:val="22B879B2"/>
    <w:rsid w:val="22B91715"/>
    <w:rsid w:val="22BD6838"/>
    <w:rsid w:val="22BD7457"/>
    <w:rsid w:val="22C02AA3"/>
    <w:rsid w:val="22C32593"/>
    <w:rsid w:val="22C35EAF"/>
    <w:rsid w:val="22C5455D"/>
    <w:rsid w:val="22C67236"/>
    <w:rsid w:val="22C81958"/>
    <w:rsid w:val="22C977AC"/>
    <w:rsid w:val="22CF641B"/>
    <w:rsid w:val="22D5147B"/>
    <w:rsid w:val="22D622C7"/>
    <w:rsid w:val="22D93A1C"/>
    <w:rsid w:val="22DD18A7"/>
    <w:rsid w:val="22DD5403"/>
    <w:rsid w:val="22DF0DA2"/>
    <w:rsid w:val="22DF73CD"/>
    <w:rsid w:val="22E20377"/>
    <w:rsid w:val="22E345E0"/>
    <w:rsid w:val="22E76282"/>
    <w:rsid w:val="22E95145"/>
    <w:rsid w:val="22EA7B20"/>
    <w:rsid w:val="22F56BF1"/>
    <w:rsid w:val="22F90E47"/>
    <w:rsid w:val="22FD7D58"/>
    <w:rsid w:val="22FF35CB"/>
    <w:rsid w:val="230F7587"/>
    <w:rsid w:val="231F749E"/>
    <w:rsid w:val="23251A24"/>
    <w:rsid w:val="232C67F1"/>
    <w:rsid w:val="23344139"/>
    <w:rsid w:val="23360FB7"/>
    <w:rsid w:val="23445482"/>
    <w:rsid w:val="234F36E4"/>
    <w:rsid w:val="234F5BD5"/>
    <w:rsid w:val="23566F63"/>
    <w:rsid w:val="23591114"/>
    <w:rsid w:val="235F246C"/>
    <w:rsid w:val="237415CC"/>
    <w:rsid w:val="238A4E8A"/>
    <w:rsid w:val="23900D85"/>
    <w:rsid w:val="239161EE"/>
    <w:rsid w:val="239A1BA6"/>
    <w:rsid w:val="23A44173"/>
    <w:rsid w:val="23A80837"/>
    <w:rsid w:val="23B9162F"/>
    <w:rsid w:val="23BC326A"/>
    <w:rsid w:val="23BF7921"/>
    <w:rsid w:val="23C17A60"/>
    <w:rsid w:val="23C232D7"/>
    <w:rsid w:val="23C6058D"/>
    <w:rsid w:val="23CB5BA3"/>
    <w:rsid w:val="23CF3667"/>
    <w:rsid w:val="23D021ED"/>
    <w:rsid w:val="23E30B60"/>
    <w:rsid w:val="23E443FD"/>
    <w:rsid w:val="23E629DD"/>
    <w:rsid w:val="23E66539"/>
    <w:rsid w:val="23EA026F"/>
    <w:rsid w:val="23EB61A9"/>
    <w:rsid w:val="23EF10D6"/>
    <w:rsid w:val="23F91D2C"/>
    <w:rsid w:val="23FA3D93"/>
    <w:rsid w:val="23FE3883"/>
    <w:rsid w:val="23FE7D27"/>
    <w:rsid w:val="24037BE3"/>
    <w:rsid w:val="24037E04"/>
    <w:rsid w:val="240939B7"/>
    <w:rsid w:val="240A129F"/>
    <w:rsid w:val="240C0129"/>
    <w:rsid w:val="240E52C2"/>
    <w:rsid w:val="24134E54"/>
    <w:rsid w:val="24135347"/>
    <w:rsid w:val="24170DE9"/>
    <w:rsid w:val="24174257"/>
    <w:rsid w:val="242034A3"/>
    <w:rsid w:val="24217571"/>
    <w:rsid w:val="24305A06"/>
    <w:rsid w:val="24305D97"/>
    <w:rsid w:val="2435126F"/>
    <w:rsid w:val="24373239"/>
    <w:rsid w:val="243A0DA5"/>
    <w:rsid w:val="243C0C36"/>
    <w:rsid w:val="24443260"/>
    <w:rsid w:val="24457704"/>
    <w:rsid w:val="244D480A"/>
    <w:rsid w:val="24596D0B"/>
    <w:rsid w:val="2460453E"/>
    <w:rsid w:val="246B4C91"/>
    <w:rsid w:val="246B5632"/>
    <w:rsid w:val="24765B0F"/>
    <w:rsid w:val="24771B4C"/>
    <w:rsid w:val="247731AD"/>
    <w:rsid w:val="247B3126"/>
    <w:rsid w:val="247C6E9E"/>
    <w:rsid w:val="247E0F32"/>
    <w:rsid w:val="247F2548"/>
    <w:rsid w:val="24860C2C"/>
    <w:rsid w:val="248719C1"/>
    <w:rsid w:val="248875F1"/>
    <w:rsid w:val="24903AB7"/>
    <w:rsid w:val="249145FE"/>
    <w:rsid w:val="249441E7"/>
    <w:rsid w:val="249621AB"/>
    <w:rsid w:val="249C2E52"/>
    <w:rsid w:val="249E485B"/>
    <w:rsid w:val="24A47A11"/>
    <w:rsid w:val="24A92405"/>
    <w:rsid w:val="24AD52A9"/>
    <w:rsid w:val="24AF7273"/>
    <w:rsid w:val="24B53FFA"/>
    <w:rsid w:val="24B61418"/>
    <w:rsid w:val="24B77ED6"/>
    <w:rsid w:val="24BA63DB"/>
    <w:rsid w:val="24BB5C18"/>
    <w:rsid w:val="24BC54EC"/>
    <w:rsid w:val="24C50802"/>
    <w:rsid w:val="24C820E3"/>
    <w:rsid w:val="24CF2D77"/>
    <w:rsid w:val="24D45713"/>
    <w:rsid w:val="24D601DD"/>
    <w:rsid w:val="24D64800"/>
    <w:rsid w:val="24E134A2"/>
    <w:rsid w:val="24E46F1D"/>
    <w:rsid w:val="24E64821"/>
    <w:rsid w:val="24E94533"/>
    <w:rsid w:val="24F5112A"/>
    <w:rsid w:val="24F715FB"/>
    <w:rsid w:val="24F820DF"/>
    <w:rsid w:val="24F9229C"/>
    <w:rsid w:val="24FC67A7"/>
    <w:rsid w:val="25007ACF"/>
    <w:rsid w:val="25050C41"/>
    <w:rsid w:val="25076767"/>
    <w:rsid w:val="25084F27"/>
    <w:rsid w:val="25090731"/>
    <w:rsid w:val="251315B0"/>
    <w:rsid w:val="25145328"/>
    <w:rsid w:val="251A5CCC"/>
    <w:rsid w:val="252C3B2C"/>
    <w:rsid w:val="252F3F10"/>
    <w:rsid w:val="25317C88"/>
    <w:rsid w:val="25367242"/>
    <w:rsid w:val="25386701"/>
    <w:rsid w:val="253908EB"/>
    <w:rsid w:val="25401FA2"/>
    <w:rsid w:val="25407ECB"/>
    <w:rsid w:val="25445C0D"/>
    <w:rsid w:val="25453733"/>
    <w:rsid w:val="25457506"/>
    <w:rsid w:val="25480598"/>
    <w:rsid w:val="254B640F"/>
    <w:rsid w:val="254D1A4E"/>
    <w:rsid w:val="2556149D"/>
    <w:rsid w:val="25592D3B"/>
    <w:rsid w:val="255F69BB"/>
    <w:rsid w:val="256471D1"/>
    <w:rsid w:val="25695674"/>
    <w:rsid w:val="256A4F48"/>
    <w:rsid w:val="257858B7"/>
    <w:rsid w:val="25827827"/>
    <w:rsid w:val="258D52E9"/>
    <w:rsid w:val="259049AF"/>
    <w:rsid w:val="2593624D"/>
    <w:rsid w:val="259721E1"/>
    <w:rsid w:val="25981AB5"/>
    <w:rsid w:val="259D70CC"/>
    <w:rsid w:val="259E0257"/>
    <w:rsid w:val="259F2E44"/>
    <w:rsid w:val="25A070B4"/>
    <w:rsid w:val="25A4045A"/>
    <w:rsid w:val="25A97777"/>
    <w:rsid w:val="25AB3597"/>
    <w:rsid w:val="25AD72C5"/>
    <w:rsid w:val="25B04D2A"/>
    <w:rsid w:val="25BB768E"/>
    <w:rsid w:val="25C12DBA"/>
    <w:rsid w:val="25C32FD6"/>
    <w:rsid w:val="25CA090D"/>
    <w:rsid w:val="25CC175F"/>
    <w:rsid w:val="25D54AB7"/>
    <w:rsid w:val="25DB7D8E"/>
    <w:rsid w:val="25DD571A"/>
    <w:rsid w:val="25DE0A93"/>
    <w:rsid w:val="25DE670F"/>
    <w:rsid w:val="25DF1492"/>
    <w:rsid w:val="25E62821"/>
    <w:rsid w:val="25F068FA"/>
    <w:rsid w:val="25FA451E"/>
    <w:rsid w:val="25FC2044"/>
    <w:rsid w:val="25FD5DBC"/>
    <w:rsid w:val="260809E9"/>
    <w:rsid w:val="2610765E"/>
    <w:rsid w:val="26127ABA"/>
    <w:rsid w:val="26242212"/>
    <w:rsid w:val="26247424"/>
    <w:rsid w:val="26265313"/>
    <w:rsid w:val="262B0C7D"/>
    <w:rsid w:val="262E41C8"/>
    <w:rsid w:val="26325420"/>
    <w:rsid w:val="2635407F"/>
    <w:rsid w:val="263D7F73"/>
    <w:rsid w:val="263F63D5"/>
    <w:rsid w:val="26416F3C"/>
    <w:rsid w:val="26435EC5"/>
    <w:rsid w:val="26437C73"/>
    <w:rsid w:val="264C2EC3"/>
    <w:rsid w:val="264D0AF2"/>
    <w:rsid w:val="264F6618"/>
    <w:rsid w:val="26546AF3"/>
    <w:rsid w:val="265754CC"/>
    <w:rsid w:val="265B0961"/>
    <w:rsid w:val="265B26B4"/>
    <w:rsid w:val="265F3C06"/>
    <w:rsid w:val="2663431E"/>
    <w:rsid w:val="266D7BE1"/>
    <w:rsid w:val="266F2816"/>
    <w:rsid w:val="26705B30"/>
    <w:rsid w:val="26745514"/>
    <w:rsid w:val="26747E2C"/>
    <w:rsid w:val="26795C3D"/>
    <w:rsid w:val="267B501B"/>
    <w:rsid w:val="267B565F"/>
    <w:rsid w:val="2685028B"/>
    <w:rsid w:val="268B161A"/>
    <w:rsid w:val="268D75FE"/>
    <w:rsid w:val="26937E02"/>
    <w:rsid w:val="26943F29"/>
    <w:rsid w:val="26955FF5"/>
    <w:rsid w:val="2697330D"/>
    <w:rsid w:val="26A56238"/>
    <w:rsid w:val="26A744B1"/>
    <w:rsid w:val="26AF70B6"/>
    <w:rsid w:val="26B66625"/>
    <w:rsid w:val="26BA3467"/>
    <w:rsid w:val="26BB02B7"/>
    <w:rsid w:val="26BC7A25"/>
    <w:rsid w:val="26C2328E"/>
    <w:rsid w:val="26C25711"/>
    <w:rsid w:val="26C27698"/>
    <w:rsid w:val="26C32B62"/>
    <w:rsid w:val="26C52DB4"/>
    <w:rsid w:val="26C64DE3"/>
    <w:rsid w:val="26CE55A7"/>
    <w:rsid w:val="26D134D1"/>
    <w:rsid w:val="26D66D39"/>
    <w:rsid w:val="26D7594A"/>
    <w:rsid w:val="26D7660D"/>
    <w:rsid w:val="26D954F6"/>
    <w:rsid w:val="26DC4945"/>
    <w:rsid w:val="26DD00C8"/>
    <w:rsid w:val="26EA27E4"/>
    <w:rsid w:val="26ED1D1A"/>
    <w:rsid w:val="26F15921"/>
    <w:rsid w:val="26FA353F"/>
    <w:rsid w:val="26FF27E9"/>
    <w:rsid w:val="26FF300F"/>
    <w:rsid w:val="27026CE4"/>
    <w:rsid w:val="270D0F81"/>
    <w:rsid w:val="271A22E4"/>
    <w:rsid w:val="271E248E"/>
    <w:rsid w:val="27207FB4"/>
    <w:rsid w:val="27231852"/>
    <w:rsid w:val="272B79BF"/>
    <w:rsid w:val="272C03B2"/>
    <w:rsid w:val="272C6959"/>
    <w:rsid w:val="272F714A"/>
    <w:rsid w:val="273677D8"/>
    <w:rsid w:val="27383550"/>
    <w:rsid w:val="273852FE"/>
    <w:rsid w:val="2739440D"/>
    <w:rsid w:val="27403119"/>
    <w:rsid w:val="274517C9"/>
    <w:rsid w:val="274A3283"/>
    <w:rsid w:val="274D3E6B"/>
    <w:rsid w:val="27547C5E"/>
    <w:rsid w:val="275639D6"/>
    <w:rsid w:val="275B2D9A"/>
    <w:rsid w:val="275B723E"/>
    <w:rsid w:val="276205CD"/>
    <w:rsid w:val="276775E3"/>
    <w:rsid w:val="276B2776"/>
    <w:rsid w:val="276C4FA7"/>
    <w:rsid w:val="27723BC9"/>
    <w:rsid w:val="2772641A"/>
    <w:rsid w:val="27743E5C"/>
    <w:rsid w:val="277976C4"/>
    <w:rsid w:val="277A7906"/>
    <w:rsid w:val="278505C3"/>
    <w:rsid w:val="2786250D"/>
    <w:rsid w:val="27897122"/>
    <w:rsid w:val="278C564A"/>
    <w:rsid w:val="27906EE8"/>
    <w:rsid w:val="27910EB2"/>
    <w:rsid w:val="27935170"/>
    <w:rsid w:val="27946C03"/>
    <w:rsid w:val="27952750"/>
    <w:rsid w:val="279F5CE9"/>
    <w:rsid w:val="27A04C51"/>
    <w:rsid w:val="27A873CE"/>
    <w:rsid w:val="27B34984"/>
    <w:rsid w:val="27B626C7"/>
    <w:rsid w:val="27B66DC9"/>
    <w:rsid w:val="27B70919"/>
    <w:rsid w:val="27C22E19"/>
    <w:rsid w:val="27C443CD"/>
    <w:rsid w:val="27CB7921"/>
    <w:rsid w:val="27CE17BE"/>
    <w:rsid w:val="27D112AE"/>
    <w:rsid w:val="27D50D9F"/>
    <w:rsid w:val="27D74B17"/>
    <w:rsid w:val="27E54A18"/>
    <w:rsid w:val="27EB6814"/>
    <w:rsid w:val="27EE3C0E"/>
    <w:rsid w:val="27F60D15"/>
    <w:rsid w:val="27FB6C3E"/>
    <w:rsid w:val="280451E0"/>
    <w:rsid w:val="28126D74"/>
    <w:rsid w:val="28137B19"/>
    <w:rsid w:val="281F2148"/>
    <w:rsid w:val="282B6C11"/>
    <w:rsid w:val="282D1124"/>
    <w:rsid w:val="282D4FFC"/>
    <w:rsid w:val="28327F9F"/>
    <w:rsid w:val="283427BA"/>
    <w:rsid w:val="2835183D"/>
    <w:rsid w:val="28360166"/>
    <w:rsid w:val="28364EC4"/>
    <w:rsid w:val="28397580"/>
    <w:rsid w:val="283C0E1E"/>
    <w:rsid w:val="283C1C24"/>
    <w:rsid w:val="283C2BCC"/>
    <w:rsid w:val="283F0379"/>
    <w:rsid w:val="283F090E"/>
    <w:rsid w:val="283F26BC"/>
    <w:rsid w:val="284319A6"/>
    <w:rsid w:val="284952E9"/>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C1498"/>
    <w:rsid w:val="286E0954"/>
    <w:rsid w:val="28702875"/>
    <w:rsid w:val="28702D10"/>
    <w:rsid w:val="287133B5"/>
    <w:rsid w:val="2874680A"/>
    <w:rsid w:val="28766458"/>
    <w:rsid w:val="28797CFA"/>
    <w:rsid w:val="28814A83"/>
    <w:rsid w:val="288B5901"/>
    <w:rsid w:val="288F719F"/>
    <w:rsid w:val="28902F18"/>
    <w:rsid w:val="28952684"/>
    <w:rsid w:val="28956780"/>
    <w:rsid w:val="289C0120"/>
    <w:rsid w:val="28A2234D"/>
    <w:rsid w:val="28A6182B"/>
    <w:rsid w:val="28B210E0"/>
    <w:rsid w:val="28B430AA"/>
    <w:rsid w:val="28B46FDB"/>
    <w:rsid w:val="28B92525"/>
    <w:rsid w:val="28B9421C"/>
    <w:rsid w:val="28C815A7"/>
    <w:rsid w:val="28CA0D49"/>
    <w:rsid w:val="28CB21A2"/>
    <w:rsid w:val="28D34CE1"/>
    <w:rsid w:val="28D63020"/>
    <w:rsid w:val="28DE0127"/>
    <w:rsid w:val="28E05C4D"/>
    <w:rsid w:val="28E13773"/>
    <w:rsid w:val="28E374EB"/>
    <w:rsid w:val="28E976B6"/>
    <w:rsid w:val="28EC1F83"/>
    <w:rsid w:val="28ED036A"/>
    <w:rsid w:val="28F243A6"/>
    <w:rsid w:val="28F72F97"/>
    <w:rsid w:val="28F96D0F"/>
    <w:rsid w:val="290556B4"/>
    <w:rsid w:val="29057462"/>
    <w:rsid w:val="290B246F"/>
    <w:rsid w:val="290F204E"/>
    <w:rsid w:val="291476A5"/>
    <w:rsid w:val="291678C1"/>
    <w:rsid w:val="29177195"/>
    <w:rsid w:val="291D29FD"/>
    <w:rsid w:val="2920604A"/>
    <w:rsid w:val="2927056E"/>
    <w:rsid w:val="2927562A"/>
    <w:rsid w:val="292D7811"/>
    <w:rsid w:val="29310257"/>
    <w:rsid w:val="29347D47"/>
    <w:rsid w:val="293C79BB"/>
    <w:rsid w:val="293D6BFB"/>
    <w:rsid w:val="294A0D31"/>
    <w:rsid w:val="294A57BC"/>
    <w:rsid w:val="294C6E3F"/>
    <w:rsid w:val="294E54E5"/>
    <w:rsid w:val="295B52D4"/>
    <w:rsid w:val="295E3EB9"/>
    <w:rsid w:val="296A19BB"/>
    <w:rsid w:val="296D5007"/>
    <w:rsid w:val="296F0D7F"/>
    <w:rsid w:val="297319E7"/>
    <w:rsid w:val="2973261D"/>
    <w:rsid w:val="29736589"/>
    <w:rsid w:val="2979112F"/>
    <w:rsid w:val="297B3BC8"/>
    <w:rsid w:val="297C64FE"/>
    <w:rsid w:val="297F5DA9"/>
    <w:rsid w:val="29826D04"/>
    <w:rsid w:val="298365D8"/>
    <w:rsid w:val="29851B11"/>
    <w:rsid w:val="298526FA"/>
    <w:rsid w:val="298760C9"/>
    <w:rsid w:val="29877D7E"/>
    <w:rsid w:val="2988000E"/>
    <w:rsid w:val="298A7967"/>
    <w:rsid w:val="298C36DF"/>
    <w:rsid w:val="298D7483"/>
    <w:rsid w:val="298F19EC"/>
    <w:rsid w:val="29936EB5"/>
    <w:rsid w:val="29952E6A"/>
    <w:rsid w:val="299D24FB"/>
    <w:rsid w:val="299D266E"/>
    <w:rsid w:val="299D58EC"/>
    <w:rsid w:val="29A44ECD"/>
    <w:rsid w:val="29A70519"/>
    <w:rsid w:val="29AA1DB7"/>
    <w:rsid w:val="29AC5B2F"/>
    <w:rsid w:val="29B43D6F"/>
    <w:rsid w:val="29BD2CE7"/>
    <w:rsid w:val="29BF5862"/>
    <w:rsid w:val="29C42B90"/>
    <w:rsid w:val="29C73B59"/>
    <w:rsid w:val="29C76E0D"/>
    <w:rsid w:val="29CC3360"/>
    <w:rsid w:val="29D05CC2"/>
    <w:rsid w:val="29D3130E"/>
    <w:rsid w:val="29D357B2"/>
    <w:rsid w:val="29D64538"/>
    <w:rsid w:val="29D67050"/>
    <w:rsid w:val="29D83866"/>
    <w:rsid w:val="29DD03DE"/>
    <w:rsid w:val="29DF5F05"/>
    <w:rsid w:val="29EF0399"/>
    <w:rsid w:val="29F234A6"/>
    <w:rsid w:val="29F251A1"/>
    <w:rsid w:val="29F4303F"/>
    <w:rsid w:val="29FF0355"/>
    <w:rsid w:val="2A004A26"/>
    <w:rsid w:val="2A027E45"/>
    <w:rsid w:val="2A0475B6"/>
    <w:rsid w:val="2A086595"/>
    <w:rsid w:val="2A147350"/>
    <w:rsid w:val="2A175CBD"/>
    <w:rsid w:val="2A1A518F"/>
    <w:rsid w:val="2A1C0F07"/>
    <w:rsid w:val="2A1D315E"/>
    <w:rsid w:val="2A1F4553"/>
    <w:rsid w:val="2A20021E"/>
    <w:rsid w:val="2A2102CB"/>
    <w:rsid w:val="2A2D44F5"/>
    <w:rsid w:val="2A335204"/>
    <w:rsid w:val="2A377AEF"/>
    <w:rsid w:val="2A3A138D"/>
    <w:rsid w:val="2A3C6EB3"/>
    <w:rsid w:val="2A454BC0"/>
    <w:rsid w:val="2A467D32"/>
    <w:rsid w:val="2A473AAA"/>
    <w:rsid w:val="2A495E14"/>
    <w:rsid w:val="2A50295E"/>
    <w:rsid w:val="2A506E67"/>
    <w:rsid w:val="2A5744DB"/>
    <w:rsid w:val="2A7001A7"/>
    <w:rsid w:val="2A706CFE"/>
    <w:rsid w:val="2A7155D3"/>
    <w:rsid w:val="2A781F85"/>
    <w:rsid w:val="2A7A5C2D"/>
    <w:rsid w:val="2A7A79DB"/>
    <w:rsid w:val="2A7B35CA"/>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D6003"/>
    <w:rsid w:val="2AAE58D7"/>
    <w:rsid w:val="2AB014B5"/>
    <w:rsid w:val="2AB23619"/>
    <w:rsid w:val="2AB50979"/>
    <w:rsid w:val="2AB52686"/>
    <w:rsid w:val="2ABC4498"/>
    <w:rsid w:val="2AC1385C"/>
    <w:rsid w:val="2AC84BEB"/>
    <w:rsid w:val="2ACA55EE"/>
    <w:rsid w:val="2ACB72CA"/>
    <w:rsid w:val="2ACD3FAF"/>
    <w:rsid w:val="2AD0584D"/>
    <w:rsid w:val="2AD301CB"/>
    <w:rsid w:val="2AD417E1"/>
    <w:rsid w:val="2ADC3D49"/>
    <w:rsid w:val="2AE8703B"/>
    <w:rsid w:val="2AEC2151"/>
    <w:rsid w:val="2AF43C32"/>
    <w:rsid w:val="2AF61758"/>
    <w:rsid w:val="2AFF1BE9"/>
    <w:rsid w:val="2B011EB4"/>
    <w:rsid w:val="2B035C23"/>
    <w:rsid w:val="2B057BED"/>
    <w:rsid w:val="2B0C6B03"/>
    <w:rsid w:val="2B0F45C8"/>
    <w:rsid w:val="2B147E30"/>
    <w:rsid w:val="2B1716CE"/>
    <w:rsid w:val="2B175DF1"/>
    <w:rsid w:val="2B1B2F6C"/>
    <w:rsid w:val="2B204A27"/>
    <w:rsid w:val="2B23372E"/>
    <w:rsid w:val="2B250F76"/>
    <w:rsid w:val="2B277B9B"/>
    <w:rsid w:val="2B2A1401"/>
    <w:rsid w:val="2B305FE6"/>
    <w:rsid w:val="2B312790"/>
    <w:rsid w:val="2B33475A"/>
    <w:rsid w:val="2B345DDC"/>
    <w:rsid w:val="2B346B58"/>
    <w:rsid w:val="2B382728"/>
    <w:rsid w:val="2B457FE9"/>
    <w:rsid w:val="2B4864E5"/>
    <w:rsid w:val="2B543A68"/>
    <w:rsid w:val="2B5D3585"/>
    <w:rsid w:val="2B606BD1"/>
    <w:rsid w:val="2B626DED"/>
    <w:rsid w:val="2B6B0F88"/>
    <w:rsid w:val="2B794137"/>
    <w:rsid w:val="2B795EE5"/>
    <w:rsid w:val="2B796202"/>
    <w:rsid w:val="2B7B1C5D"/>
    <w:rsid w:val="2B7D59D5"/>
    <w:rsid w:val="2B830B12"/>
    <w:rsid w:val="2B854D0B"/>
    <w:rsid w:val="2B870602"/>
    <w:rsid w:val="2B8925CC"/>
    <w:rsid w:val="2B8B2FAB"/>
    <w:rsid w:val="2B8B5887"/>
    <w:rsid w:val="2B8C3E6A"/>
    <w:rsid w:val="2B8E01D9"/>
    <w:rsid w:val="2B8F423A"/>
    <w:rsid w:val="2B953521"/>
    <w:rsid w:val="2B9E44D4"/>
    <w:rsid w:val="2B9E76FA"/>
    <w:rsid w:val="2BA50A88"/>
    <w:rsid w:val="2BA54203"/>
    <w:rsid w:val="2BAC05D7"/>
    <w:rsid w:val="2BAC1E16"/>
    <w:rsid w:val="2BB04CB3"/>
    <w:rsid w:val="2BB5313E"/>
    <w:rsid w:val="2BB94533"/>
    <w:rsid w:val="2BBB02AC"/>
    <w:rsid w:val="2BBB2FE0"/>
    <w:rsid w:val="2BBE7D9C"/>
    <w:rsid w:val="2BBF5FEE"/>
    <w:rsid w:val="2BC2788C"/>
    <w:rsid w:val="2BC7343E"/>
    <w:rsid w:val="2BC774F5"/>
    <w:rsid w:val="2BCF6549"/>
    <w:rsid w:val="2BD01731"/>
    <w:rsid w:val="2BD17ACF"/>
    <w:rsid w:val="2BD43465"/>
    <w:rsid w:val="2BD54053"/>
    <w:rsid w:val="2BD64C41"/>
    <w:rsid w:val="2BDE46D5"/>
    <w:rsid w:val="2BDF043E"/>
    <w:rsid w:val="2BE07D12"/>
    <w:rsid w:val="2BE14CC4"/>
    <w:rsid w:val="2BEA3551"/>
    <w:rsid w:val="2BEB4F7F"/>
    <w:rsid w:val="2BEE071B"/>
    <w:rsid w:val="2BEF7575"/>
    <w:rsid w:val="2C002162"/>
    <w:rsid w:val="2C024294"/>
    <w:rsid w:val="2C0A4AEB"/>
    <w:rsid w:val="2C0C162B"/>
    <w:rsid w:val="2C131E96"/>
    <w:rsid w:val="2C1B4054"/>
    <w:rsid w:val="2C21558C"/>
    <w:rsid w:val="2C2718A6"/>
    <w:rsid w:val="2C2E0A7D"/>
    <w:rsid w:val="2C332538"/>
    <w:rsid w:val="2C36476D"/>
    <w:rsid w:val="2C367115"/>
    <w:rsid w:val="2C3818FC"/>
    <w:rsid w:val="2C387E60"/>
    <w:rsid w:val="2C421441"/>
    <w:rsid w:val="2C477D91"/>
    <w:rsid w:val="2C482B06"/>
    <w:rsid w:val="2C4E1120"/>
    <w:rsid w:val="2C4F3433"/>
    <w:rsid w:val="2C5512FE"/>
    <w:rsid w:val="2C5524AE"/>
    <w:rsid w:val="2C55747C"/>
    <w:rsid w:val="2C5A3F68"/>
    <w:rsid w:val="2C5F1931"/>
    <w:rsid w:val="2C6426F1"/>
    <w:rsid w:val="2C655676"/>
    <w:rsid w:val="2C69617F"/>
    <w:rsid w:val="2C6B3A80"/>
    <w:rsid w:val="2C7078A2"/>
    <w:rsid w:val="2C7566AC"/>
    <w:rsid w:val="2C795B5C"/>
    <w:rsid w:val="2C7E592F"/>
    <w:rsid w:val="2C840A51"/>
    <w:rsid w:val="2C872AF6"/>
    <w:rsid w:val="2C892158"/>
    <w:rsid w:val="2C902915"/>
    <w:rsid w:val="2C9103E2"/>
    <w:rsid w:val="2C937E38"/>
    <w:rsid w:val="2C950AFD"/>
    <w:rsid w:val="2C9A25B7"/>
    <w:rsid w:val="2C9F197B"/>
    <w:rsid w:val="2C9F5E1F"/>
    <w:rsid w:val="2CA177F3"/>
    <w:rsid w:val="2CA23219"/>
    <w:rsid w:val="2CA43435"/>
    <w:rsid w:val="2CAE7DF9"/>
    <w:rsid w:val="2CB035A7"/>
    <w:rsid w:val="2CB96525"/>
    <w:rsid w:val="2CC06FA9"/>
    <w:rsid w:val="2CC82C80"/>
    <w:rsid w:val="2CC85EE2"/>
    <w:rsid w:val="2CC86312"/>
    <w:rsid w:val="2CCA30B3"/>
    <w:rsid w:val="2CCD0296"/>
    <w:rsid w:val="2CD71115"/>
    <w:rsid w:val="2CDF4518"/>
    <w:rsid w:val="2CE42EE2"/>
    <w:rsid w:val="2CE51A84"/>
    <w:rsid w:val="2CE5527B"/>
    <w:rsid w:val="2CE57671"/>
    <w:rsid w:val="2CE81ECD"/>
    <w:rsid w:val="2CEF2903"/>
    <w:rsid w:val="2CF23945"/>
    <w:rsid w:val="2CF9763D"/>
    <w:rsid w:val="2D0619FA"/>
    <w:rsid w:val="2D0D2D89"/>
    <w:rsid w:val="2D0F08AF"/>
    <w:rsid w:val="2D0F2929"/>
    <w:rsid w:val="2D1811A5"/>
    <w:rsid w:val="2D1839CC"/>
    <w:rsid w:val="2D1C4D7A"/>
    <w:rsid w:val="2D26573B"/>
    <w:rsid w:val="2D2F0F51"/>
    <w:rsid w:val="2D3447B9"/>
    <w:rsid w:val="2D3C197F"/>
    <w:rsid w:val="2D3E73E6"/>
    <w:rsid w:val="2D3F0F76"/>
    <w:rsid w:val="2D410C84"/>
    <w:rsid w:val="2D430559"/>
    <w:rsid w:val="2D480265"/>
    <w:rsid w:val="2D497191"/>
    <w:rsid w:val="2D556FA6"/>
    <w:rsid w:val="2D5803B1"/>
    <w:rsid w:val="2D611894"/>
    <w:rsid w:val="2D616C31"/>
    <w:rsid w:val="2D643EE1"/>
    <w:rsid w:val="2D6D7992"/>
    <w:rsid w:val="2D6F3B2A"/>
    <w:rsid w:val="2D713318"/>
    <w:rsid w:val="2D7368E3"/>
    <w:rsid w:val="2D7573F8"/>
    <w:rsid w:val="2D8079C9"/>
    <w:rsid w:val="2D8748E9"/>
    <w:rsid w:val="2D8C0151"/>
    <w:rsid w:val="2D925950"/>
    <w:rsid w:val="2D960FD0"/>
    <w:rsid w:val="2D97116D"/>
    <w:rsid w:val="2D9E7E85"/>
    <w:rsid w:val="2DA336ED"/>
    <w:rsid w:val="2DAD00C8"/>
    <w:rsid w:val="2DB24B20"/>
    <w:rsid w:val="2DB32EFA"/>
    <w:rsid w:val="2DB66F59"/>
    <w:rsid w:val="2DB6777A"/>
    <w:rsid w:val="2DB73DD3"/>
    <w:rsid w:val="2DB80F46"/>
    <w:rsid w:val="2DBB01DC"/>
    <w:rsid w:val="2DBB4593"/>
    <w:rsid w:val="2DCA5054"/>
    <w:rsid w:val="2DCE15AF"/>
    <w:rsid w:val="2DCF4360"/>
    <w:rsid w:val="2DCF6290"/>
    <w:rsid w:val="2DD00881"/>
    <w:rsid w:val="2DDA60A5"/>
    <w:rsid w:val="2DE41E90"/>
    <w:rsid w:val="2DE53D06"/>
    <w:rsid w:val="2DEE2BBA"/>
    <w:rsid w:val="2DF301D1"/>
    <w:rsid w:val="2DF83A39"/>
    <w:rsid w:val="2DFD143F"/>
    <w:rsid w:val="2E011250"/>
    <w:rsid w:val="2E0308AA"/>
    <w:rsid w:val="2E0C7AA4"/>
    <w:rsid w:val="2E0E500A"/>
    <w:rsid w:val="2E110657"/>
    <w:rsid w:val="2E1805A9"/>
    <w:rsid w:val="2E2228F5"/>
    <w:rsid w:val="2E2A5352"/>
    <w:rsid w:val="2E2B70A7"/>
    <w:rsid w:val="2E2B796A"/>
    <w:rsid w:val="2E2C34EF"/>
    <w:rsid w:val="2E2E2FB7"/>
    <w:rsid w:val="2E2F6D2F"/>
    <w:rsid w:val="2E3005EA"/>
    <w:rsid w:val="2E3031D3"/>
    <w:rsid w:val="2E312AA7"/>
    <w:rsid w:val="2E345428"/>
    <w:rsid w:val="2E4346F5"/>
    <w:rsid w:val="2E4F2F2D"/>
    <w:rsid w:val="2E525FE5"/>
    <w:rsid w:val="2E5271BF"/>
    <w:rsid w:val="2E532A1D"/>
    <w:rsid w:val="2E554EA6"/>
    <w:rsid w:val="2E5829A2"/>
    <w:rsid w:val="2E5B0F11"/>
    <w:rsid w:val="2E5D2D71"/>
    <w:rsid w:val="2E600977"/>
    <w:rsid w:val="2E6102A1"/>
    <w:rsid w:val="2E6115DE"/>
    <w:rsid w:val="2E612931"/>
    <w:rsid w:val="2E62715D"/>
    <w:rsid w:val="2E64054F"/>
    <w:rsid w:val="2E666BF4"/>
    <w:rsid w:val="2E67471B"/>
    <w:rsid w:val="2E6764C9"/>
    <w:rsid w:val="2E6D573D"/>
    <w:rsid w:val="2E7110F5"/>
    <w:rsid w:val="2E753E92"/>
    <w:rsid w:val="2E756E38"/>
    <w:rsid w:val="2E7635F8"/>
    <w:rsid w:val="2E782484"/>
    <w:rsid w:val="2E831A73"/>
    <w:rsid w:val="2E873CCA"/>
    <w:rsid w:val="2E8C71AC"/>
    <w:rsid w:val="2E8E1CA7"/>
    <w:rsid w:val="2E9508AA"/>
    <w:rsid w:val="2E982D28"/>
    <w:rsid w:val="2E9F5C62"/>
    <w:rsid w:val="2EA15E7F"/>
    <w:rsid w:val="2EA27501"/>
    <w:rsid w:val="2EA65F06"/>
    <w:rsid w:val="2EAC037F"/>
    <w:rsid w:val="2EAC3D49"/>
    <w:rsid w:val="2EAD65D1"/>
    <w:rsid w:val="2EB21E3A"/>
    <w:rsid w:val="2EB23BE8"/>
    <w:rsid w:val="2EB77450"/>
    <w:rsid w:val="2EBF4557"/>
    <w:rsid w:val="2EC35DF5"/>
    <w:rsid w:val="2ED527E6"/>
    <w:rsid w:val="2EDC0C65"/>
    <w:rsid w:val="2EE43FBD"/>
    <w:rsid w:val="2EE93382"/>
    <w:rsid w:val="2EEA0214"/>
    <w:rsid w:val="2EF37D5C"/>
    <w:rsid w:val="2EF91817"/>
    <w:rsid w:val="2EFA10EB"/>
    <w:rsid w:val="2F012479"/>
    <w:rsid w:val="2F0F2DE8"/>
    <w:rsid w:val="2F101F2F"/>
    <w:rsid w:val="2F11739B"/>
    <w:rsid w:val="2F1D79A9"/>
    <w:rsid w:val="2F1E74CF"/>
    <w:rsid w:val="2F234AE5"/>
    <w:rsid w:val="2F263FE7"/>
    <w:rsid w:val="2F2B1BEC"/>
    <w:rsid w:val="2F2B4739"/>
    <w:rsid w:val="2F2D7712"/>
    <w:rsid w:val="2F324D29"/>
    <w:rsid w:val="2F326AD7"/>
    <w:rsid w:val="2F367926"/>
    <w:rsid w:val="2F3F11F4"/>
    <w:rsid w:val="2F3F643D"/>
    <w:rsid w:val="2F560A17"/>
    <w:rsid w:val="2F594288"/>
    <w:rsid w:val="2F5E167A"/>
    <w:rsid w:val="2F642A08"/>
    <w:rsid w:val="2F652935"/>
    <w:rsid w:val="2F6D7B0F"/>
    <w:rsid w:val="2F7471EA"/>
    <w:rsid w:val="2F7D3007"/>
    <w:rsid w:val="2F7E3ACA"/>
    <w:rsid w:val="2F8135BA"/>
    <w:rsid w:val="2F863502"/>
    <w:rsid w:val="2F8867B5"/>
    <w:rsid w:val="2F8A6913"/>
    <w:rsid w:val="2F8B61E7"/>
    <w:rsid w:val="2F954ADA"/>
    <w:rsid w:val="2F955AF6"/>
    <w:rsid w:val="2F990904"/>
    <w:rsid w:val="2FAC6889"/>
    <w:rsid w:val="2FAD694E"/>
    <w:rsid w:val="2FAD7DDA"/>
    <w:rsid w:val="2FAF126E"/>
    <w:rsid w:val="2FAF59F5"/>
    <w:rsid w:val="2FB50EED"/>
    <w:rsid w:val="2FB76FDC"/>
    <w:rsid w:val="2FB971F8"/>
    <w:rsid w:val="2FBC2844"/>
    <w:rsid w:val="2FBD0A96"/>
    <w:rsid w:val="2FC736C3"/>
    <w:rsid w:val="2FC82F97"/>
    <w:rsid w:val="2FC83556"/>
    <w:rsid w:val="2FCA4F61"/>
    <w:rsid w:val="2FCF2577"/>
    <w:rsid w:val="2FD02AD6"/>
    <w:rsid w:val="2FD14693"/>
    <w:rsid w:val="2FD55B5A"/>
    <w:rsid w:val="2FDB2DCE"/>
    <w:rsid w:val="2FDB75E9"/>
    <w:rsid w:val="2FDC44EE"/>
    <w:rsid w:val="2FDC74FE"/>
    <w:rsid w:val="2FE140FD"/>
    <w:rsid w:val="2FE34275"/>
    <w:rsid w:val="2FE86794"/>
    <w:rsid w:val="2FEC3129"/>
    <w:rsid w:val="2FF206FB"/>
    <w:rsid w:val="2FF52573"/>
    <w:rsid w:val="2FFB4CA4"/>
    <w:rsid w:val="2FFD0E93"/>
    <w:rsid w:val="300246FB"/>
    <w:rsid w:val="300264A9"/>
    <w:rsid w:val="30054147"/>
    <w:rsid w:val="30077F63"/>
    <w:rsid w:val="300C7328"/>
    <w:rsid w:val="300F5CEA"/>
    <w:rsid w:val="3011287F"/>
    <w:rsid w:val="301B57BD"/>
    <w:rsid w:val="301D7787"/>
    <w:rsid w:val="301F4C22"/>
    <w:rsid w:val="30201025"/>
    <w:rsid w:val="30277371"/>
    <w:rsid w:val="302854B8"/>
    <w:rsid w:val="302B69D3"/>
    <w:rsid w:val="30354AD0"/>
    <w:rsid w:val="303555CC"/>
    <w:rsid w:val="30367A2C"/>
    <w:rsid w:val="303845C1"/>
    <w:rsid w:val="30406FD1"/>
    <w:rsid w:val="304545E8"/>
    <w:rsid w:val="304940D8"/>
    <w:rsid w:val="304A079B"/>
    <w:rsid w:val="304F36B8"/>
    <w:rsid w:val="30534F57"/>
    <w:rsid w:val="305B205D"/>
    <w:rsid w:val="30601421"/>
    <w:rsid w:val="30645601"/>
    <w:rsid w:val="30696F43"/>
    <w:rsid w:val="306A59F8"/>
    <w:rsid w:val="306C6018"/>
    <w:rsid w:val="30724DD6"/>
    <w:rsid w:val="307432A1"/>
    <w:rsid w:val="307853BE"/>
    <w:rsid w:val="307F5D4C"/>
    <w:rsid w:val="308415B4"/>
    <w:rsid w:val="308C66BA"/>
    <w:rsid w:val="3091372F"/>
    <w:rsid w:val="30961104"/>
    <w:rsid w:val="30986B93"/>
    <w:rsid w:val="309A4933"/>
    <w:rsid w:val="309D2676"/>
    <w:rsid w:val="309F63EE"/>
    <w:rsid w:val="30A12E33"/>
    <w:rsid w:val="30A21A3A"/>
    <w:rsid w:val="30A7115A"/>
    <w:rsid w:val="30AB4D93"/>
    <w:rsid w:val="30B11567"/>
    <w:rsid w:val="30B26121"/>
    <w:rsid w:val="30B57283"/>
    <w:rsid w:val="30B579BF"/>
    <w:rsid w:val="30B65658"/>
    <w:rsid w:val="30BA6D84"/>
    <w:rsid w:val="30BB3295"/>
    <w:rsid w:val="30C9346B"/>
    <w:rsid w:val="30CB0F91"/>
    <w:rsid w:val="30D4653A"/>
    <w:rsid w:val="30D77936"/>
    <w:rsid w:val="30DB7D9F"/>
    <w:rsid w:val="30DD6F16"/>
    <w:rsid w:val="30E6401D"/>
    <w:rsid w:val="30E83A79"/>
    <w:rsid w:val="30EB33E1"/>
    <w:rsid w:val="30EE1123"/>
    <w:rsid w:val="30F32296"/>
    <w:rsid w:val="30F46739"/>
    <w:rsid w:val="30F73B34"/>
    <w:rsid w:val="30F878AC"/>
    <w:rsid w:val="30FA6C7D"/>
    <w:rsid w:val="31012C04"/>
    <w:rsid w:val="31046251"/>
    <w:rsid w:val="3106021B"/>
    <w:rsid w:val="31093867"/>
    <w:rsid w:val="31122E9F"/>
    <w:rsid w:val="3115220C"/>
    <w:rsid w:val="311D12C6"/>
    <w:rsid w:val="311F308B"/>
    <w:rsid w:val="311F5076"/>
    <w:rsid w:val="312143D9"/>
    <w:rsid w:val="31214EC7"/>
    <w:rsid w:val="3129746C"/>
    <w:rsid w:val="312B1A2F"/>
    <w:rsid w:val="312E32CE"/>
    <w:rsid w:val="31322DBE"/>
    <w:rsid w:val="31327262"/>
    <w:rsid w:val="313A6116"/>
    <w:rsid w:val="313C538A"/>
    <w:rsid w:val="313F54DB"/>
    <w:rsid w:val="314851F1"/>
    <w:rsid w:val="314A45AB"/>
    <w:rsid w:val="314D409C"/>
    <w:rsid w:val="314F5689"/>
    <w:rsid w:val="3153289F"/>
    <w:rsid w:val="31552F50"/>
    <w:rsid w:val="315A7776"/>
    <w:rsid w:val="315F16D9"/>
    <w:rsid w:val="316230CA"/>
    <w:rsid w:val="316A6035"/>
    <w:rsid w:val="316B4522"/>
    <w:rsid w:val="317038E6"/>
    <w:rsid w:val="31795DFB"/>
    <w:rsid w:val="317C6D20"/>
    <w:rsid w:val="317C7BCE"/>
    <w:rsid w:val="317D6336"/>
    <w:rsid w:val="317F3B29"/>
    <w:rsid w:val="3180757A"/>
    <w:rsid w:val="31854FEF"/>
    <w:rsid w:val="318555E4"/>
    <w:rsid w:val="318850D4"/>
    <w:rsid w:val="318B6972"/>
    <w:rsid w:val="318C4058"/>
    <w:rsid w:val="318E6273"/>
    <w:rsid w:val="31905D36"/>
    <w:rsid w:val="319121DA"/>
    <w:rsid w:val="31921AAF"/>
    <w:rsid w:val="31923445"/>
    <w:rsid w:val="3192385D"/>
    <w:rsid w:val="319424A5"/>
    <w:rsid w:val="31943A79"/>
    <w:rsid w:val="31A56340"/>
    <w:rsid w:val="31A57A34"/>
    <w:rsid w:val="31A677D0"/>
    <w:rsid w:val="31A812D2"/>
    <w:rsid w:val="31B03453"/>
    <w:rsid w:val="31B0789C"/>
    <w:rsid w:val="31B41A25"/>
    <w:rsid w:val="31B41DD4"/>
    <w:rsid w:val="31B61C41"/>
    <w:rsid w:val="31B71C9E"/>
    <w:rsid w:val="31B732C3"/>
    <w:rsid w:val="31BA2267"/>
    <w:rsid w:val="31BC58DA"/>
    <w:rsid w:val="31BD2FCF"/>
    <w:rsid w:val="31CD0D39"/>
    <w:rsid w:val="31CF1812"/>
    <w:rsid w:val="31D16A7B"/>
    <w:rsid w:val="31D52836"/>
    <w:rsid w:val="31D64091"/>
    <w:rsid w:val="31D75713"/>
    <w:rsid w:val="31DD1110"/>
    <w:rsid w:val="31E0281A"/>
    <w:rsid w:val="31E85B72"/>
    <w:rsid w:val="31EB11BF"/>
    <w:rsid w:val="31EF25F4"/>
    <w:rsid w:val="31F14BB1"/>
    <w:rsid w:val="31F255AF"/>
    <w:rsid w:val="31F77B64"/>
    <w:rsid w:val="31FB3AF8"/>
    <w:rsid w:val="320039CE"/>
    <w:rsid w:val="320A5AE9"/>
    <w:rsid w:val="320B4BD2"/>
    <w:rsid w:val="320C7AB3"/>
    <w:rsid w:val="320F30FF"/>
    <w:rsid w:val="320F75A3"/>
    <w:rsid w:val="321150C9"/>
    <w:rsid w:val="32123AF0"/>
    <w:rsid w:val="321C75CA"/>
    <w:rsid w:val="321D1D06"/>
    <w:rsid w:val="321D3A6E"/>
    <w:rsid w:val="322070BA"/>
    <w:rsid w:val="322A6600"/>
    <w:rsid w:val="322F4F27"/>
    <w:rsid w:val="32342B66"/>
    <w:rsid w:val="32385168"/>
    <w:rsid w:val="323B0398"/>
    <w:rsid w:val="323E1390"/>
    <w:rsid w:val="323E39E4"/>
    <w:rsid w:val="323E5792"/>
    <w:rsid w:val="323F2A7F"/>
    <w:rsid w:val="3244289A"/>
    <w:rsid w:val="324E07EA"/>
    <w:rsid w:val="324E3047"/>
    <w:rsid w:val="325161E5"/>
    <w:rsid w:val="32523F5D"/>
    <w:rsid w:val="32566454"/>
    <w:rsid w:val="325B6344"/>
    <w:rsid w:val="32655415"/>
    <w:rsid w:val="326920C0"/>
    <w:rsid w:val="326B4842"/>
    <w:rsid w:val="326D1CBA"/>
    <w:rsid w:val="3271024F"/>
    <w:rsid w:val="32715B68"/>
    <w:rsid w:val="32733DB8"/>
    <w:rsid w:val="32751A7E"/>
    <w:rsid w:val="327A0EC0"/>
    <w:rsid w:val="327A6AF2"/>
    <w:rsid w:val="327D518A"/>
    <w:rsid w:val="32801871"/>
    <w:rsid w:val="328062C5"/>
    <w:rsid w:val="3281224F"/>
    <w:rsid w:val="32851613"/>
    <w:rsid w:val="328C4750"/>
    <w:rsid w:val="329027F6"/>
    <w:rsid w:val="32A93554"/>
    <w:rsid w:val="32B1215D"/>
    <w:rsid w:val="32B334A9"/>
    <w:rsid w:val="32BA306B"/>
    <w:rsid w:val="32BD4CD7"/>
    <w:rsid w:val="32CC40EF"/>
    <w:rsid w:val="32CE04BE"/>
    <w:rsid w:val="32CE3007"/>
    <w:rsid w:val="32D3412D"/>
    <w:rsid w:val="32D61E6F"/>
    <w:rsid w:val="32DB5E9A"/>
    <w:rsid w:val="32DD31FD"/>
    <w:rsid w:val="32E23B47"/>
    <w:rsid w:val="32E4458C"/>
    <w:rsid w:val="32E73282"/>
    <w:rsid w:val="32E91BA2"/>
    <w:rsid w:val="32F01183"/>
    <w:rsid w:val="32F04CDF"/>
    <w:rsid w:val="32F4552B"/>
    <w:rsid w:val="32F6606D"/>
    <w:rsid w:val="32FA0DA8"/>
    <w:rsid w:val="32FD22FD"/>
    <w:rsid w:val="330662B0"/>
    <w:rsid w:val="330B38C7"/>
    <w:rsid w:val="330F60CC"/>
    <w:rsid w:val="331309CD"/>
    <w:rsid w:val="33176749"/>
    <w:rsid w:val="33184235"/>
    <w:rsid w:val="331D184C"/>
    <w:rsid w:val="331D35FA"/>
    <w:rsid w:val="3320382D"/>
    <w:rsid w:val="33235DEF"/>
    <w:rsid w:val="3329614A"/>
    <w:rsid w:val="332B5D17"/>
    <w:rsid w:val="332C31B3"/>
    <w:rsid w:val="332E1CAB"/>
    <w:rsid w:val="33304B60"/>
    <w:rsid w:val="33310A59"/>
    <w:rsid w:val="33332E1D"/>
    <w:rsid w:val="33361796"/>
    <w:rsid w:val="33370B5F"/>
    <w:rsid w:val="33387FEF"/>
    <w:rsid w:val="333A024F"/>
    <w:rsid w:val="334A3B6B"/>
    <w:rsid w:val="334D2131"/>
    <w:rsid w:val="334D51BC"/>
    <w:rsid w:val="334F16BF"/>
    <w:rsid w:val="33550FE6"/>
    <w:rsid w:val="335F00B6"/>
    <w:rsid w:val="33604E27"/>
    <w:rsid w:val="3361798A"/>
    <w:rsid w:val="3362265F"/>
    <w:rsid w:val="336631F3"/>
    <w:rsid w:val="3369683F"/>
    <w:rsid w:val="336970F4"/>
    <w:rsid w:val="3371013C"/>
    <w:rsid w:val="337376BE"/>
    <w:rsid w:val="33746DD8"/>
    <w:rsid w:val="337C47C4"/>
    <w:rsid w:val="337F36C7"/>
    <w:rsid w:val="33884F17"/>
    <w:rsid w:val="338B0EAB"/>
    <w:rsid w:val="338C61BF"/>
    <w:rsid w:val="33923FE8"/>
    <w:rsid w:val="33927790"/>
    <w:rsid w:val="33962A97"/>
    <w:rsid w:val="339E0BDF"/>
    <w:rsid w:val="33A022D5"/>
    <w:rsid w:val="33A37FA3"/>
    <w:rsid w:val="33A855B9"/>
    <w:rsid w:val="33AB6E58"/>
    <w:rsid w:val="33AE06F6"/>
    <w:rsid w:val="33B27D57"/>
    <w:rsid w:val="33B421B0"/>
    <w:rsid w:val="33B7001B"/>
    <w:rsid w:val="33BC29FD"/>
    <w:rsid w:val="33BC2E13"/>
    <w:rsid w:val="33C0280E"/>
    <w:rsid w:val="33CF0D98"/>
    <w:rsid w:val="33D20888"/>
    <w:rsid w:val="33D24B7B"/>
    <w:rsid w:val="33E16D1D"/>
    <w:rsid w:val="33EF4F96"/>
    <w:rsid w:val="33F47E32"/>
    <w:rsid w:val="33FC5905"/>
    <w:rsid w:val="33FE56CA"/>
    <w:rsid w:val="34012F1B"/>
    <w:rsid w:val="340622E0"/>
    <w:rsid w:val="340E1496"/>
    <w:rsid w:val="340F0DC0"/>
    <w:rsid w:val="340F7177"/>
    <w:rsid w:val="340F73E6"/>
    <w:rsid w:val="34100FE1"/>
    <w:rsid w:val="341472E4"/>
    <w:rsid w:val="341D307C"/>
    <w:rsid w:val="342509B8"/>
    <w:rsid w:val="342750AF"/>
    <w:rsid w:val="342F7A89"/>
    <w:rsid w:val="34343FC0"/>
    <w:rsid w:val="34403A44"/>
    <w:rsid w:val="34404ADF"/>
    <w:rsid w:val="344057F2"/>
    <w:rsid w:val="344B50C9"/>
    <w:rsid w:val="344C4197"/>
    <w:rsid w:val="344D7F0F"/>
    <w:rsid w:val="345029CF"/>
    <w:rsid w:val="34510295"/>
    <w:rsid w:val="34533777"/>
    <w:rsid w:val="34550433"/>
    <w:rsid w:val="345614B9"/>
    <w:rsid w:val="34580D8D"/>
    <w:rsid w:val="34602FDD"/>
    <w:rsid w:val="346333F2"/>
    <w:rsid w:val="34645984"/>
    <w:rsid w:val="3467447F"/>
    <w:rsid w:val="346D5797"/>
    <w:rsid w:val="346F257B"/>
    <w:rsid w:val="346F4329"/>
    <w:rsid w:val="34703567"/>
    <w:rsid w:val="347656B7"/>
    <w:rsid w:val="34767465"/>
    <w:rsid w:val="34802092"/>
    <w:rsid w:val="34806536"/>
    <w:rsid w:val="34822315"/>
    <w:rsid w:val="34873421"/>
    <w:rsid w:val="34897199"/>
    <w:rsid w:val="348A4CBF"/>
    <w:rsid w:val="348B300C"/>
    <w:rsid w:val="348C0A37"/>
    <w:rsid w:val="348E2A01"/>
    <w:rsid w:val="34906BAC"/>
    <w:rsid w:val="3491429F"/>
    <w:rsid w:val="34951ECC"/>
    <w:rsid w:val="3498562E"/>
    <w:rsid w:val="349A049B"/>
    <w:rsid w:val="349B2A17"/>
    <w:rsid w:val="34A46DF0"/>
    <w:rsid w:val="34AA2C62"/>
    <w:rsid w:val="34AA710F"/>
    <w:rsid w:val="34AE6BFF"/>
    <w:rsid w:val="34AF2977"/>
    <w:rsid w:val="34AF4725"/>
    <w:rsid w:val="34B75D0C"/>
    <w:rsid w:val="34C14383"/>
    <w:rsid w:val="34C93A39"/>
    <w:rsid w:val="34CA0ED9"/>
    <w:rsid w:val="34D10434"/>
    <w:rsid w:val="34D126EC"/>
    <w:rsid w:val="34D33A74"/>
    <w:rsid w:val="34D616D8"/>
    <w:rsid w:val="34DF325D"/>
    <w:rsid w:val="34EE16F2"/>
    <w:rsid w:val="34EF03DE"/>
    <w:rsid w:val="34FB3318"/>
    <w:rsid w:val="350031D3"/>
    <w:rsid w:val="35004C19"/>
    <w:rsid w:val="350727B3"/>
    <w:rsid w:val="350C3202"/>
    <w:rsid w:val="350E769E"/>
    <w:rsid w:val="351647A5"/>
    <w:rsid w:val="351A58A5"/>
    <w:rsid w:val="351A5A93"/>
    <w:rsid w:val="351D5B33"/>
    <w:rsid w:val="351E5219"/>
    <w:rsid w:val="352123AA"/>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56C57"/>
    <w:rsid w:val="35672121"/>
    <w:rsid w:val="356C2617"/>
    <w:rsid w:val="356E638F"/>
    <w:rsid w:val="357207F2"/>
    <w:rsid w:val="357240D1"/>
    <w:rsid w:val="357339A5"/>
    <w:rsid w:val="35760FBE"/>
    <w:rsid w:val="357A11D7"/>
    <w:rsid w:val="35825CA7"/>
    <w:rsid w:val="35833D31"/>
    <w:rsid w:val="358B6F41"/>
    <w:rsid w:val="35926521"/>
    <w:rsid w:val="35951755"/>
    <w:rsid w:val="359A7184"/>
    <w:rsid w:val="35A63D7A"/>
    <w:rsid w:val="35B50461"/>
    <w:rsid w:val="35B53FBD"/>
    <w:rsid w:val="35B91D00"/>
    <w:rsid w:val="35BC76F1"/>
    <w:rsid w:val="35C10BB4"/>
    <w:rsid w:val="35C773D6"/>
    <w:rsid w:val="35CB1A33"/>
    <w:rsid w:val="35CC2F71"/>
    <w:rsid w:val="35CF507F"/>
    <w:rsid w:val="35D27816"/>
    <w:rsid w:val="35D30F8E"/>
    <w:rsid w:val="35DB75A1"/>
    <w:rsid w:val="35E87EEF"/>
    <w:rsid w:val="35E93C67"/>
    <w:rsid w:val="35EA2894"/>
    <w:rsid w:val="35ED3757"/>
    <w:rsid w:val="35EF4C65"/>
    <w:rsid w:val="35F25212"/>
    <w:rsid w:val="35F9034E"/>
    <w:rsid w:val="35FA7C22"/>
    <w:rsid w:val="35FF59AC"/>
    <w:rsid w:val="360413AA"/>
    <w:rsid w:val="360867E3"/>
    <w:rsid w:val="360B2D37"/>
    <w:rsid w:val="36145188"/>
    <w:rsid w:val="36254EC5"/>
    <w:rsid w:val="36302B76"/>
    <w:rsid w:val="36315D3A"/>
    <w:rsid w:val="363825A6"/>
    <w:rsid w:val="36394BEF"/>
    <w:rsid w:val="363B0967"/>
    <w:rsid w:val="3644567E"/>
    <w:rsid w:val="36485C43"/>
    <w:rsid w:val="364A2958"/>
    <w:rsid w:val="364C4922"/>
    <w:rsid w:val="364C66D0"/>
    <w:rsid w:val="36506E04"/>
    <w:rsid w:val="36507921"/>
    <w:rsid w:val="36545E50"/>
    <w:rsid w:val="365A6A30"/>
    <w:rsid w:val="365E6403"/>
    <w:rsid w:val="36624145"/>
    <w:rsid w:val="36637533"/>
    <w:rsid w:val="366559E4"/>
    <w:rsid w:val="36681030"/>
    <w:rsid w:val="366E2AEA"/>
    <w:rsid w:val="36730100"/>
    <w:rsid w:val="367714D5"/>
    <w:rsid w:val="36794FEB"/>
    <w:rsid w:val="367D0F7F"/>
    <w:rsid w:val="3681393B"/>
    <w:rsid w:val="3681419A"/>
    <w:rsid w:val="368A3DF1"/>
    <w:rsid w:val="369260AD"/>
    <w:rsid w:val="36943E69"/>
    <w:rsid w:val="36944BFA"/>
    <w:rsid w:val="369D33CF"/>
    <w:rsid w:val="36AC3612"/>
    <w:rsid w:val="36B06652"/>
    <w:rsid w:val="36B424C7"/>
    <w:rsid w:val="36B6623F"/>
    <w:rsid w:val="36BD5820"/>
    <w:rsid w:val="36C13DB6"/>
    <w:rsid w:val="36C1747C"/>
    <w:rsid w:val="36C47130"/>
    <w:rsid w:val="36C62A73"/>
    <w:rsid w:val="36C7044C"/>
    <w:rsid w:val="36C73FA8"/>
    <w:rsid w:val="36CE0556"/>
    <w:rsid w:val="36D32BC4"/>
    <w:rsid w:val="36DA111C"/>
    <w:rsid w:val="36DA6785"/>
    <w:rsid w:val="36DB5CA6"/>
    <w:rsid w:val="36DF7544"/>
    <w:rsid w:val="36E034DA"/>
    <w:rsid w:val="36E27034"/>
    <w:rsid w:val="36EB4B1F"/>
    <w:rsid w:val="36EE608B"/>
    <w:rsid w:val="36EE7787"/>
    <w:rsid w:val="36F154C9"/>
    <w:rsid w:val="36FB00F6"/>
    <w:rsid w:val="36FF4A43"/>
    <w:rsid w:val="3700570C"/>
    <w:rsid w:val="370E61FA"/>
    <w:rsid w:val="37123663"/>
    <w:rsid w:val="37125486"/>
    <w:rsid w:val="3715740A"/>
    <w:rsid w:val="37180CA8"/>
    <w:rsid w:val="371A67CE"/>
    <w:rsid w:val="3720190B"/>
    <w:rsid w:val="37213AEB"/>
    <w:rsid w:val="37215DAE"/>
    <w:rsid w:val="372907BF"/>
    <w:rsid w:val="372E3A42"/>
    <w:rsid w:val="37305FF2"/>
    <w:rsid w:val="37332FDB"/>
    <w:rsid w:val="3736112E"/>
    <w:rsid w:val="37375D11"/>
    <w:rsid w:val="37376A33"/>
    <w:rsid w:val="3741225E"/>
    <w:rsid w:val="37422246"/>
    <w:rsid w:val="3746278E"/>
    <w:rsid w:val="3747231F"/>
    <w:rsid w:val="3747333B"/>
    <w:rsid w:val="375110FC"/>
    <w:rsid w:val="37533A8E"/>
    <w:rsid w:val="375907F6"/>
    <w:rsid w:val="375B6998"/>
    <w:rsid w:val="375D05C6"/>
    <w:rsid w:val="37647A49"/>
    <w:rsid w:val="37672E6A"/>
    <w:rsid w:val="376B0DD8"/>
    <w:rsid w:val="376D0FF4"/>
    <w:rsid w:val="37757EA8"/>
    <w:rsid w:val="377D4444"/>
    <w:rsid w:val="377D6D5D"/>
    <w:rsid w:val="3783605E"/>
    <w:rsid w:val="378B3228"/>
    <w:rsid w:val="378E6F99"/>
    <w:rsid w:val="379245B6"/>
    <w:rsid w:val="3793032E"/>
    <w:rsid w:val="379320DC"/>
    <w:rsid w:val="37971BCD"/>
    <w:rsid w:val="379C71E3"/>
    <w:rsid w:val="37B55BE7"/>
    <w:rsid w:val="37B564F7"/>
    <w:rsid w:val="37C910AC"/>
    <w:rsid w:val="37CB5D1A"/>
    <w:rsid w:val="37CD1A92"/>
    <w:rsid w:val="37CE4EB3"/>
    <w:rsid w:val="37D22C05"/>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C7BE8"/>
    <w:rsid w:val="37FF59C4"/>
    <w:rsid w:val="38006422"/>
    <w:rsid w:val="3802643A"/>
    <w:rsid w:val="38033FE9"/>
    <w:rsid w:val="380B25BB"/>
    <w:rsid w:val="3817332C"/>
    <w:rsid w:val="381C0324"/>
    <w:rsid w:val="381C20D2"/>
    <w:rsid w:val="38203594"/>
    <w:rsid w:val="382221C6"/>
    <w:rsid w:val="382316B2"/>
    <w:rsid w:val="38297F3C"/>
    <w:rsid w:val="382A6ED2"/>
    <w:rsid w:val="38312021"/>
    <w:rsid w:val="38325D99"/>
    <w:rsid w:val="383523CC"/>
    <w:rsid w:val="383733B0"/>
    <w:rsid w:val="3838582C"/>
    <w:rsid w:val="383B0AEE"/>
    <w:rsid w:val="38451629"/>
    <w:rsid w:val="384821C3"/>
    <w:rsid w:val="384B18C4"/>
    <w:rsid w:val="38500D2A"/>
    <w:rsid w:val="38544223"/>
    <w:rsid w:val="38637D01"/>
    <w:rsid w:val="38675D29"/>
    <w:rsid w:val="3872263A"/>
    <w:rsid w:val="3873074E"/>
    <w:rsid w:val="38765C86"/>
    <w:rsid w:val="387D5D44"/>
    <w:rsid w:val="388008B3"/>
    <w:rsid w:val="388163D9"/>
    <w:rsid w:val="3886639C"/>
    <w:rsid w:val="38896D41"/>
    <w:rsid w:val="388A20A7"/>
    <w:rsid w:val="38944A2F"/>
    <w:rsid w:val="389731AD"/>
    <w:rsid w:val="389B4F29"/>
    <w:rsid w:val="389D6705"/>
    <w:rsid w:val="389E359A"/>
    <w:rsid w:val="38A01134"/>
    <w:rsid w:val="38A071A7"/>
    <w:rsid w:val="38A27F14"/>
    <w:rsid w:val="38A46EEC"/>
    <w:rsid w:val="38A816A5"/>
    <w:rsid w:val="38B465B8"/>
    <w:rsid w:val="38B467AE"/>
    <w:rsid w:val="38B8629F"/>
    <w:rsid w:val="38BB18EB"/>
    <w:rsid w:val="38BB5D8F"/>
    <w:rsid w:val="38BD38B5"/>
    <w:rsid w:val="38C033A5"/>
    <w:rsid w:val="38C641BE"/>
    <w:rsid w:val="38C70290"/>
    <w:rsid w:val="38C74734"/>
    <w:rsid w:val="38C8225A"/>
    <w:rsid w:val="38C84008"/>
    <w:rsid w:val="38D004F4"/>
    <w:rsid w:val="38D11671"/>
    <w:rsid w:val="38D64977"/>
    <w:rsid w:val="38D7229A"/>
    <w:rsid w:val="38E17D08"/>
    <w:rsid w:val="38ED3A6E"/>
    <w:rsid w:val="38EE78A6"/>
    <w:rsid w:val="38F4784B"/>
    <w:rsid w:val="38F8669B"/>
    <w:rsid w:val="38FB357D"/>
    <w:rsid w:val="390037A2"/>
    <w:rsid w:val="3905525C"/>
    <w:rsid w:val="39055B44"/>
    <w:rsid w:val="39065067"/>
    <w:rsid w:val="390F0F9B"/>
    <w:rsid w:val="391240D5"/>
    <w:rsid w:val="391330CA"/>
    <w:rsid w:val="391A2595"/>
    <w:rsid w:val="391B05DB"/>
    <w:rsid w:val="391E5C96"/>
    <w:rsid w:val="391F00CC"/>
    <w:rsid w:val="391F2C90"/>
    <w:rsid w:val="39241B86"/>
    <w:rsid w:val="39264A36"/>
    <w:rsid w:val="393D1448"/>
    <w:rsid w:val="39462890"/>
    <w:rsid w:val="394C2E8B"/>
    <w:rsid w:val="394E5839"/>
    <w:rsid w:val="39537D75"/>
    <w:rsid w:val="395435A5"/>
    <w:rsid w:val="39621846"/>
    <w:rsid w:val="39661562"/>
    <w:rsid w:val="3969383E"/>
    <w:rsid w:val="396E2827"/>
    <w:rsid w:val="3971644D"/>
    <w:rsid w:val="397A3554"/>
    <w:rsid w:val="397D21FC"/>
    <w:rsid w:val="39815F30"/>
    <w:rsid w:val="39817A85"/>
    <w:rsid w:val="39873EC3"/>
    <w:rsid w:val="398E5251"/>
    <w:rsid w:val="398E6E86"/>
    <w:rsid w:val="39987E7E"/>
    <w:rsid w:val="399C227B"/>
    <w:rsid w:val="39A14F85"/>
    <w:rsid w:val="39A32CCC"/>
    <w:rsid w:val="39A71E6F"/>
    <w:rsid w:val="39A84565"/>
    <w:rsid w:val="39AC2F99"/>
    <w:rsid w:val="39B822CE"/>
    <w:rsid w:val="39BB5C8D"/>
    <w:rsid w:val="39C24EFB"/>
    <w:rsid w:val="39C40C73"/>
    <w:rsid w:val="39C4792F"/>
    <w:rsid w:val="39D95CDA"/>
    <w:rsid w:val="39D97287"/>
    <w:rsid w:val="39DD05F6"/>
    <w:rsid w:val="39DF6CCE"/>
    <w:rsid w:val="39E23AB6"/>
    <w:rsid w:val="39EA1700"/>
    <w:rsid w:val="39EB1601"/>
    <w:rsid w:val="39F2758E"/>
    <w:rsid w:val="39F3557E"/>
    <w:rsid w:val="39FD13E3"/>
    <w:rsid w:val="39FE2691"/>
    <w:rsid w:val="3A0349B2"/>
    <w:rsid w:val="3A053765"/>
    <w:rsid w:val="3A0D261A"/>
    <w:rsid w:val="3A133241"/>
    <w:rsid w:val="3A15327D"/>
    <w:rsid w:val="3A155D7D"/>
    <w:rsid w:val="3A1F5EA9"/>
    <w:rsid w:val="3A201FBE"/>
    <w:rsid w:val="3A2160C5"/>
    <w:rsid w:val="3A217E73"/>
    <w:rsid w:val="3A255109"/>
    <w:rsid w:val="3A26309A"/>
    <w:rsid w:val="3A2762EE"/>
    <w:rsid w:val="3A2E0608"/>
    <w:rsid w:val="3A2F07E2"/>
    <w:rsid w:val="3A3144F9"/>
    <w:rsid w:val="3A325BDD"/>
    <w:rsid w:val="3A347BA7"/>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B3A28"/>
    <w:rsid w:val="3A89770A"/>
    <w:rsid w:val="3A8B353F"/>
    <w:rsid w:val="3A901C97"/>
    <w:rsid w:val="3A916E4E"/>
    <w:rsid w:val="3A9643BE"/>
    <w:rsid w:val="3A9B5E78"/>
    <w:rsid w:val="3A9C574C"/>
    <w:rsid w:val="3A9D6889"/>
    <w:rsid w:val="3AA0348E"/>
    <w:rsid w:val="3AA20FB4"/>
    <w:rsid w:val="3AA661B2"/>
    <w:rsid w:val="3AAA60BB"/>
    <w:rsid w:val="3AAC1E33"/>
    <w:rsid w:val="3AAD713E"/>
    <w:rsid w:val="3AAE452D"/>
    <w:rsid w:val="3AB17449"/>
    <w:rsid w:val="3ABB0191"/>
    <w:rsid w:val="3ABC2963"/>
    <w:rsid w:val="3ABC7B9C"/>
    <w:rsid w:val="3ABE1B66"/>
    <w:rsid w:val="3AC62888"/>
    <w:rsid w:val="3AC75726"/>
    <w:rsid w:val="3AC75E21"/>
    <w:rsid w:val="3AC76C6D"/>
    <w:rsid w:val="3AC96ADB"/>
    <w:rsid w:val="3ACD1B62"/>
    <w:rsid w:val="3AD01F1E"/>
    <w:rsid w:val="3AD15AFF"/>
    <w:rsid w:val="3AD46C94"/>
    <w:rsid w:val="3AD60179"/>
    <w:rsid w:val="3AD924FC"/>
    <w:rsid w:val="3ADD6169"/>
    <w:rsid w:val="3ADE5C5A"/>
    <w:rsid w:val="3ADF7F71"/>
    <w:rsid w:val="3AE02C12"/>
    <w:rsid w:val="3AE157E3"/>
    <w:rsid w:val="3AE315CD"/>
    <w:rsid w:val="3AE3337B"/>
    <w:rsid w:val="3AE6618E"/>
    <w:rsid w:val="3AE8273F"/>
    <w:rsid w:val="3AE945BB"/>
    <w:rsid w:val="3AEC31E6"/>
    <w:rsid w:val="3AEE244B"/>
    <w:rsid w:val="3AFC1070"/>
    <w:rsid w:val="3AFC4F2B"/>
    <w:rsid w:val="3B027CA5"/>
    <w:rsid w:val="3B0A0908"/>
    <w:rsid w:val="3B0A6B5A"/>
    <w:rsid w:val="3B184F27"/>
    <w:rsid w:val="3B1A3241"/>
    <w:rsid w:val="3B1B0D67"/>
    <w:rsid w:val="3B1D4ADF"/>
    <w:rsid w:val="3B21462B"/>
    <w:rsid w:val="3B2220F5"/>
    <w:rsid w:val="3B31058A"/>
    <w:rsid w:val="3B312338"/>
    <w:rsid w:val="3B331C0C"/>
    <w:rsid w:val="3B3977BC"/>
    <w:rsid w:val="3B3A5A9B"/>
    <w:rsid w:val="3B3A743F"/>
    <w:rsid w:val="3B3E6803"/>
    <w:rsid w:val="3B3F2CA7"/>
    <w:rsid w:val="3B3F6576"/>
    <w:rsid w:val="3B401561"/>
    <w:rsid w:val="3B415017"/>
    <w:rsid w:val="3B4B164C"/>
    <w:rsid w:val="3B4C1CE5"/>
    <w:rsid w:val="3B51577D"/>
    <w:rsid w:val="3B561D9F"/>
    <w:rsid w:val="3B567D5C"/>
    <w:rsid w:val="3B6224F2"/>
    <w:rsid w:val="3B6B3A9C"/>
    <w:rsid w:val="3B6E70E8"/>
    <w:rsid w:val="3B714E2B"/>
    <w:rsid w:val="3B762441"/>
    <w:rsid w:val="3B7A5A8D"/>
    <w:rsid w:val="3B7D557D"/>
    <w:rsid w:val="3B7E4EA7"/>
    <w:rsid w:val="3B801C20"/>
    <w:rsid w:val="3B8406BA"/>
    <w:rsid w:val="3B8B3833"/>
    <w:rsid w:val="3B8C756F"/>
    <w:rsid w:val="3B9649FE"/>
    <w:rsid w:val="3B964F65"/>
    <w:rsid w:val="3B9F3746"/>
    <w:rsid w:val="3BA823FC"/>
    <w:rsid w:val="3BB84807"/>
    <w:rsid w:val="3BBC611C"/>
    <w:rsid w:val="3BC02A4E"/>
    <w:rsid w:val="3BC211E2"/>
    <w:rsid w:val="3BC36985"/>
    <w:rsid w:val="3BC466D9"/>
    <w:rsid w:val="3BC62A80"/>
    <w:rsid w:val="3BD43D6B"/>
    <w:rsid w:val="3BD80A06"/>
    <w:rsid w:val="3BE3642D"/>
    <w:rsid w:val="3BF205FF"/>
    <w:rsid w:val="3BF631F7"/>
    <w:rsid w:val="3BFA6BCE"/>
    <w:rsid w:val="3BFE0815"/>
    <w:rsid w:val="3BFE66BE"/>
    <w:rsid w:val="3C004876"/>
    <w:rsid w:val="3C0B19F1"/>
    <w:rsid w:val="3C131A3E"/>
    <w:rsid w:val="3C171A5F"/>
    <w:rsid w:val="3C175980"/>
    <w:rsid w:val="3C222894"/>
    <w:rsid w:val="3C2B3D1A"/>
    <w:rsid w:val="3C2B6D87"/>
    <w:rsid w:val="3C2B7832"/>
    <w:rsid w:val="3C2C4053"/>
    <w:rsid w:val="3C326368"/>
    <w:rsid w:val="3C344673"/>
    <w:rsid w:val="3C395948"/>
    <w:rsid w:val="3C434910"/>
    <w:rsid w:val="3C487939"/>
    <w:rsid w:val="3C4936B2"/>
    <w:rsid w:val="3C4B1FA8"/>
    <w:rsid w:val="3C574020"/>
    <w:rsid w:val="3C597D99"/>
    <w:rsid w:val="3C5A45CF"/>
    <w:rsid w:val="3C5A763B"/>
    <w:rsid w:val="3C667DC0"/>
    <w:rsid w:val="3C68787F"/>
    <w:rsid w:val="3C6B187A"/>
    <w:rsid w:val="3C6B4DFB"/>
    <w:rsid w:val="3C6F3118"/>
    <w:rsid w:val="3C7544A7"/>
    <w:rsid w:val="3C7603D2"/>
    <w:rsid w:val="3C7655B7"/>
    <w:rsid w:val="3C7E77FF"/>
    <w:rsid w:val="3C81292C"/>
    <w:rsid w:val="3C88242C"/>
    <w:rsid w:val="3C8B6976"/>
    <w:rsid w:val="3C8C2BC5"/>
    <w:rsid w:val="3C8F1A03"/>
    <w:rsid w:val="3C8F2821"/>
    <w:rsid w:val="3C9012E0"/>
    <w:rsid w:val="3C90587B"/>
    <w:rsid w:val="3C9E57AB"/>
    <w:rsid w:val="3CA50080"/>
    <w:rsid w:val="3CAF79B9"/>
    <w:rsid w:val="3CB63D30"/>
    <w:rsid w:val="3CBB4F2E"/>
    <w:rsid w:val="3CBC3E83"/>
    <w:rsid w:val="3CC176EC"/>
    <w:rsid w:val="3CC86A29"/>
    <w:rsid w:val="3CC86AD6"/>
    <w:rsid w:val="3CC96E22"/>
    <w:rsid w:val="3CCA65A0"/>
    <w:rsid w:val="3CCB40C7"/>
    <w:rsid w:val="3CCE6982"/>
    <w:rsid w:val="3CCF005B"/>
    <w:rsid w:val="3CD967E3"/>
    <w:rsid w:val="3CE35102"/>
    <w:rsid w:val="3CE60F00"/>
    <w:rsid w:val="3CFD25D6"/>
    <w:rsid w:val="3D037D04"/>
    <w:rsid w:val="3D0715A3"/>
    <w:rsid w:val="3D145A6E"/>
    <w:rsid w:val="3D1D50D0"/>
    <w:rsid w:val="3D1E4B3E"/>
    <w:rsid w:val="3D1E4D90"/>
    <w:rsid w:val="3D2832C7"/>
    <w:rsid w:val="3D2A1DC6"/>
    <w:rsid w:val="3D2E2FD3"/>
    <w:rsid w:val="3D2E4D81"/>
    <w:rsid w:val="3D336B96"/>
    <w:rsid w:val="3D3561A5"/>
    <w:rsid w:val="3D356E4E"/>
    <w:rsid w:val="3D363C36"/>
    <w:rsid w:val="3D394B53"/>
    <w:rsid w:val="3D3B749E"/>
    <w:rsid w:val="3D3E0322"/>
    <w:rsid w:val="3D3E0D3C"/>
    <w:rsid w:val="3D4124DC"/>
    <w:rsid w:val="3D42082D"/>
    <w:rsid w:val="3D483969"/>
    <w:rsid w:val="3D4A148F"/>
    <w:rsid w:val="3D4F2F4A"/>
    <w:rsid w:val="3D524314"/>
    <w:rsid w:val="3D5567B2"/>
    <w:rsid w:val="3D566086"/>
    <w:rsid w:val="3D5B369C"/>
    <w:rsid w:val="3D5D11C3"/>
    <w:rsid w:val="3D5D5666"/>
    <w:rsid w:val="3D6632CE"/>
    <w:rsid w:val="3D6658FE"/>
    <w:rsid w:val="3D6A386C"/>
    <w:rsid w:val="3D6C7658"/>
    <w:rsid w:val="3D7A7FC6"/>
    <w:rsid w:val="3D7F382F"/>
    <w:rsid w:val="3D7F5D88"/>
    <w:rsid w:val="3D8250CD"/>
    <w:rsid w:val="3D864BBD"/>
    <w:rsid w:val="3D89020A"/>
    <w:rsid w:val="3D8B040A"/>
    <w:rsid w:val="3D8C5F4C"/>
    <w:rsid w:val="3D8E3A72"/>
    <w:rsid w:val="3D912D0A"/>
    <w:rsid w:val="3D954E00"/>
    <w:rsid w:val="3D962EE1"/>
    <w:rsid w:val="3D9B65E3"/>
    <w:rsid w:val="3D9B78AE"/>
    <w:rsid w:val="3D9D0F5C"/>
    <w:rsid w:val="3D9D1F07"/>
    <w:rsid w:val="3DA52B6A"/>
    <w:rsid w:val="3DA9265A"/>
    <w:rsid w:val="3DB1624F"/>
    <w:rsid w:val="3DB35286"/>
    <w:rsid w:val="3DB8289D"/>
    <w:rsid w:val="3DBC05DF"/>
    <w:rsid w:val="3DBF40D8"/>
    <w:rsid w:val="3DC27020"/>
    <w:rsid w:val="3DCC6348"/>
    <w:rsid w:val="3DD31485"/>
    <w:rsid w:val="3DD441F1"/>
    <w:rsid w:val="3DD6576A"/>
    <w:rsid w:val="3DD86A9B"/>
    <w:rsid w:val="3DDF607B"/>
    <w:rsid w:val="3DE1178C"/>
    <w:rsid w:val="3DE15BC8"/>
    <w:rsid w:val="3DE37306"/>
    <w:rsid w:val="3DE47B36"/>
    <w:rsid w:val="3DE47EA4"/>
    <w:rsid w:val="3DE93370"/>
    <w:rsid w:val="3DEB0EC4"/>
    <w:rsid w:val="3DEB4836"/>
    <w:rsid w:val="3DF5589F"/>
    <w:rsid w:val="3DFA2EB5"/>
    <w:rsid w:val="3DFA4C63"/>
    <w:rsid w:val="3DFD1787"/>
    <w:rsid w:val="3E00245E"/>
    <w:rsid w:val="3E02162D"/>
    <w:rsid w:val="3E062D99"/>
    <w:rsid w:val="3E067AAC"/>
    <w:rsid w:val="3E104F52"/>
    <w:rsid w:val="3E172AA3"/>
    <w:rsid w:val="3E1C457E"/>
    <w:rsid w:val="3E1F552D"/>
    <w:rsid w:val="3E237209"/>
    <w:rsid w:val="3E253286"/>
    <w:rsid w:val="3E29379B"/>
    <w:rsid w:val="3E315B3B"/>
    <w:rsid w:val="3E344619"/>
    <w:rsid w:val="3E3839DE"/>
    <w:rsid w:val="3E3D2DA2"/>
    <w:rsid w:val="3E407E8E"/>
    <w:rsid w:val="3E4504D0"/>
    <w:rsid w:val="3E453D00"/>
    <w:rsid w:val="3E467EA9"/>
    <w:rsid w:val="3E4D4B98"/>
    <w:rsid w:val="3E5129D7"/>
    <w:rsid w:val="3E54320C"/>
    <w:rsid w:val="3E5A3954"/>
    <w:rsid w:val="3E5C147A"/>
    <w:rsid w:val="3E5C591E"/>
    <w:rsid w:val="3E5D51F2"/>
    <w:rsid w:val="3E5E3444"/>
    <w:rsid w:val="3E5F234B"/>
    <w:rsid w:val="3E5F3272"/>
    <w:rsid w:val="3E60767B"/>
    <w:rsid w:val="3E6B3DB3"/>
    <w:rsid w:val="3E6D088E"/>
    <w:rsid w:val="3E7210B7"/>
    <w:rsid w:val="3E722E0A"/>
    <w:rsid w:val="3E755785"/>
    <w:rsid w:val="3E7C747A"/>
    <w:rsid w:val="3E822812"/>
    <w:rsid w:val="3E8310FD"/>
    <w:rsid w:val="3E833300"/>
    <w:rsid w:val="3E845132"/>
    <w:rsid w:val="3E860BED"/>
    <w:rsid w:val="3E86299B"/>
    <w:rsid w:val="3E8B6203"/>
    <w:rsid w:val="3E8D1F7B"/>
    <w:rsid w:val="3E906080"/>
    <w:rsid w:val="3E95498C"/>
    <w:rsid w:val="3E962118"/>
    <w:rsid w:val="3E9B1F29"/>
    <w:rsid w:val="3EA01CAF"/>
    <w:rsid w:val="3EA13331"/>
    <w:rsid w:val="3EA6303D"/>
    <w:rsid w:val="3EA80B63"/>
    <w:rsid w:val="3EA90D87"/>
    <w:rsid w:val="3EAD642E"/>
    <w:rsid w:val="3EB4020B"/>
    <w:rsid w:val="3EB47508"/>
    <w:rsid w:val="3EB56AD2"/>
    <w:rsid w:val="3EB56CCB"/>
    <w:rsid w:val="3EB56DDC"/>
    <w:rsid w:val="3EBC016B"/>
    <w:rsid w:val="3EBE3EE3"/>
    <w:rsid w:val="3EC800FA"/>
    <w:rsid w:val="3ECD05CA"/>
    <w:rsid w:val="3ECD2378"/>
    <w:rsid w:val="3ED41958"/>
    <w:rsid w:val="3EDA6843"/>
    <w:rsid w:val="3EEB139D"/>
    <w:rsid w:val="3EED43A1"/>
    <w:rsid w:val="3EF15791"/>
    <w:rsid w:val="3EF17834"/>
    <w:rsid w:val="3EF525B1"/>
    <w:rsid w:val="3EF67B21"/>
    <w:rsid w:val="3EF75647"/>
    <w:rsid w:val="3EF814B4"/>
    <w:rsid w:val="3EF9316D"/>
    <w:rsid w:val="3EFD65C9"/>
    <w:rsid w:val="3EFF5CC0"/>
    <w:rsid w:val="3F051C53"/>
    <w:rsid w:val="3F075CC4"/>
    <w:rsid w:val="3F0A7362"/>
    <w:rsid w:val="3F0F2990"/>
    <w:rsid w:val="3F134B07"/>
    <w:rsid w:val="3F161F71"/>
    <w:rsid w:val="3F171845"/>
    <w:rsid w:val="3F2006FA"/>
    <w:rsid w:val="3F20694C"/>
    <w:rsid w:val="3F214472"/>
    <w:rsid w:val="3F2261CC"/>
    <w:rsid w:val="3F2327AF"/>
    <w:rsid w:val="3F30369F"/>
    <w:rsid w:val="3F3146B5"/>
    <w:rsid w:val="3F3B7691"/>
    <w:rsid w:val="3F453306"/>
    <w:rsid w:val="3F4C7741"/>
    <w:rsid w:val="3F566811"/>
    <w:rsid w:val="3F586A17"/>
    <w:rsid w:val="3F5D7549"/>
    <w:rsid w:val="3F625FCB"/>
    <w:rsid w:val="3F634A8A"/>
    <w:rsid w:val="3F652489"/>
    <w:rsid w:val="3F676329"/>
    <w:rsid w:val="3F685210"/>
    <w:rsid w:val="3F6853D5"/>
    <w:rsid w:val="3F6902F3"/>
    <w:rsid w:val="3F697D51"/>
    <w:rsid w:val="3F6D3AA2"/>
    <w:rsid w:val="3F6D76B7"/>
    <w:rsid w:val="3F6F1681"/>
    <w:rsid w:val="3F6F51DD"/>
    <w:rsid w:val="3F715648"/>
    <w:rsid w:val="3F797E42"/>
    <w:rsid w:val="3F7A098E"/>
    <w:rsid w:val="3F7D5B12"/>
    <w:rsid w:val="3F7D5B4C"/>
    <w:rsid w:val="3F87756C"/>
    <w:rsid w:val="3F89502B"/>
    <w:rsid w:val="3F8D11FB"/>
    <w:rsid w:val="3F93536F"/>
    <w:rsid w:val="3F991855"/>
    <w:rsid w:val="3F9D61EE"/>
    <w:rsid w:val="3FA078CF"/>
    <w:rsid w:val="3FA64167"/>
    <w:rsid w:val="3FA7706D"/>
    <w:rsid w:val="3FAF7BD7"/>
    <w:rsid w:val="3FB11EA9"/>
    <w:rsid w:val="3FB35A12"/>
    <w:rsid w:val="3FB613E3"/>
    <w:rsid w:val="3FBD419A"/>
    <w:rsid w:val="3FBF580A"/>
    <w:rsid w:val="3FC217B1"/>
    <w:rsid w:val="3FC64050"/>
    <w:rsid w:val="3FCB2D5B"/>
    <w:rsid w:val="3FCD55F4"/>
    <w:rsid w:val="3FCE45FA"/>
    <w:rsid w:val="3FD35E75"/>
    <w:rsid w:val="3FD575AC"/>
    <w:rsid w:val="3FD85478"/>
    <w:rsid w:val="3FDA2F9E"/>
    <w:rsid w:val="3FE038B8"/>
    <w:rsid w:val="3FE94F8F"/>
    <w:rsid w:val="3FF343DB"/>
    <w:rsid w:val="3FF7787D"/>
    <w:rsid w:val="3FFC1167"/>
    <w:rsid w:val="3FFE3A45"/>
    <w:rsid w:val="400627B6"/>
    <w:rsid w:val="400718BA"/>
    <w:rsid w:val="40095632"/>
    <w:rsid w:val="40104C12"/>
    <w:rsid w:val="4020600A"/>
    <w:rsid w:val="402204A1"/>
    <w:rsid w:val="402814CD"/>
    <w:rsid w:val="40296E63"/>
    <w:rsid w:val="402B37FA"/>
    <w:rsid w:val="402E6E46"/>
    <w:rsid w:val="40316936"/>
    <w:rsid w:val="403322C1"/>
    <w:rsid w:val="403A3A3D"/>
    <w:rsid w:val="403B7942"/>
    <w:rsid w:val="403D352D"/>
    <w:rsid w:val="403F3B8A"/>
    <w:rsid w:val="40460634"/>
    <w:rsid w:val="40466196"/>
    <w:rsid w:val="404E74E8"/>
    <w:rsid w:val="4052541B"/>
    <w:rsid w:val="40572841"/>
    <w:rsid w:val="4057639D"/>
    <w:rsid w:val="405A7913"/>
    <w:rsid w:val="405B6095"/>
    <w:rsid w:val="40657FDE"/>
    <w:rsid w:val="40661095"/>
    <w:rsid w:val="406805AA"/>
    <w:rsid w:val="4068695F"/>
    <w:rsid w:val="40692574"/>
    <w:rsid w:val="407C4056"/>
    <w:rsid w:val="407D76F5"/>
    <w:rsid w:val="40806076"/>
    <w:rsid w:val="40864ED4"/>
    <w:rsid w:val="4092048B"/>
    <w:rsid w:val="409A0980"/>
    <w:rsid w:val="409C64A6"/>
    <w:rsid w:val="409F15FF"/>
    <w:rsid w:val="409F22FD"/>
    <w:rsid w:val="40A315E2"/>
    <w:rsid w:val="40AA0BC3"/>
    <w:rsid w:val="40AE417A"/>
    <w:rsid w:val="40B21825"/>
    <w:rsid w:val="40B51316"/>
    <w:rsid w:val="40B76E3C"/>
    <w:rsid w:val="40BB2DD0"/>
    <w:rsid w:val="40BC6B48"/>
    <w:rsid w:val="40BE01CA"/>
    <w:rsid w:val="40C14999"/>
    <w:rsid w:val="40C17CBA"/>
    <w:rsid w:val="40C34FB5"/>
    <w:rsid w:val="40CB28E7"/>
    <w:rsid w:val="40DB6278"/>
    <w:rsid w:val="40DF6392"/>
    <w:rsid w:val="40E13EB9"/>
    <w:rsid w:val="40E25413"/>
    <w:rsid w:val="40E37C31"/>
    <w:rsid w:val="40E65973"/>
    <w:rsid w:val="40E85247"/>
    <w:rsid w:val="40E8793D"/>
    <w:rsid w:val="40EB11DB"/>
    <w:rsid w:val="40ED7946"/>
    <w:rsid w:val="4100242A"/>
    <w:rsid w:val="410127AD"/>
    <w:rsid w:val="41036525"/>
    <w:rsid w:val="41075C9E"/>
    <w:rsid w:val="410773D1"/>
    <w:rsid w:val="4110479E"/>
    <w:rsid w:val="41114A04"/>
    <w:rsid w:val="411676E2"/>
    <w:rsid w:val="41195D48"/>
    <w:rsid w:val="411A2C84"/>
    <w:rsid w:val="411B4114"/>
    <w:rsid w:val="411E6EBB"/>
    <w:rsid w:val="412344D1"/>
    <w:rsid w:val="412546ED"/>
    <w:rsid w:val="41261227"/>
    <w:rsid w:val="41285F8B"/>
    <w:rsid w:val="41297E4A"/>
    <w:rsid w:val="412C782A"/>
    <w:rsid w:val="412D5350"/>
    <w:rsid w:val="412D6CD6"/>
    <w:rsid w:val="41320BB8"/>
    <w:rsid w:val="413761CE"/>
    <w:rsid w:val="41384420"/>
    <w:rsid w:val="413B4DE9"/>
    <w:rsid w:val="414601C0"/>
    <w:rsid w:val="41467F5B"/>
    <w:rsid w:val="41517290"/>
    <w:rsid w:val="4157154C"/>
    <w:rsid w:val="41604778"/>
    <w:rsid w:val="41614FF9"/>
    <w:rsid w:val="416A064C"/>
    <w:rsid w:val="416C231C"/>
    <w:rsid w:val="41766A58"/>
    <w:rsid w:val="417C4D58"/>
    <w:rsid w:val="417D0085"/>
    <w:rsid w:val="41820B85"/>
    <w:rsid w:val="41831414"/>
    <w:rsid w:val="41852AAA"/>
    <w:rsid w:val="41853106"/>
    <w:rsid w:val="41866FFD"/>
    <w:rsid w:val="418A09F4"/>
    <w:rsid w:val="41943621"/>
    <w:rsid w:val="4198167F"/>
    <w:rsid w:val="4199221E"/>
    <w:rsid w:val="41A76EB0"/>
    <w:rsid w:val="41AF3FB7"/>
    <w:rsid w:val="41B14658"/>
    <w:rsid w:val="41B63641"/>
    <w:rsid w:val="41B810BD"/>
    <w:rsid w:val="41C05B83"/>
    <w:rsid w:val="41C061C4"/>
    <w:rsid w:val="41C51A2C"/>
    <w:rsid w:val="41CD7BCF"/>
    <w:rsid w:val="41D028AB"/>
    <w:rsid w:val="41D46317"/>
    <w:rsid w:val="41E06866"/>
    <w:rsid w:val="41EA0655"/>
    <w:rsid w:val="41F06AA9"/>
    <w:rsid w:val="41F320F5"/>
    <w:rsid w:val="41F53BA3"/>
    <w:rsid w:val="41F9028E"/>
    <w:rsid w:val="41FD11C6"/>
    <w:rsid w:val="420254C2"/>
    <w:rsid w:val="420C1409"/>
    <w:rsid w:val="420D6715"/>
    <w:rsid w:val="42117F79"/>
    <w:rsid w:val="421A1D78"/>
    <w:rsid w:val="421A3B26"/>
    <w:rsid w:val="421A58D4"/>
    <w:rsid w:val="421B789E"/>
    <w:rsid w:val="421D2E5F"/>
    <w:rsid w:val="421D7172"/>
    <w:rsid w:val="422420A8"/>
    <w:rsid w:val="42266F3E"/>
    <w:rsid w:val="42294DF3"/>
    <w:rsid w:val="42295B17"/>
    <w:rsid w:val="422E137F"/>
    <w:rsid w:val="423275E6"/>
    <w:rsid w:val="42392B60"/>
    <w:rsid w:val="423D7123"/>
    <w:rsid w:val="42415557"/>
    <w:rsid w:val="4242307D"/>
    <w:rsid w:val="424566C9"/>
    <w:rsid w:val="42470693"/>
    <w:rsid w:val="424B55BC"/>
    <w:rsid w:val="4251142E"/>
    <w:rsid w:val="4251506E"/>
    <w:rsid w:val="42562684"/>
    <w:rsid w:val="425761C4"/>
    <w:rsid w:val="42666D6B"/>
    <w:rsid w:val="426923B8"/>
    <w:rsid w:val="426B45E0"/>
    <w:rsid w:val="42736FB4"/>
    <w:rsid w:val="4278084D"/>
    <w:rsid w:val="427C5B2B"/>
    <w:rsid w:val="42823479"/>
    <w:rsid w:val="42862F6A"/>
    <w:rsid w:val="428E1E1E"/>
    <w:rsid w:val="428E62C2"/>
    <w:rsid w:val="42957651"/>
    <w:rsid w:val="42976F25"/>
    <w:rsid w:val="42982C9D"/>
    <w:rsid w:val="429C18FA"/>
    <w:rsid w:val="42A42166"/>
    <w:rsid w:val="42A653BA"/>
    <w:rsid w:val="42A72EE0"/>
    <w:rsid w:val="42AC2E27"/>
    <w:rsid w:val="42B37AD7"/>
    <w:rsid w:val="42B5064D"/>
    <w:rsid w:val="42B64874"/>
    <w:rsid w:val="42B813B2"/>
    <w:rsid w:val="42B85068"/>
    <w:rsid w:val="42B9333F"/>
    <w:rsid w:val="42C85330"/>
    <w:rsid w:val="42CA554C"/>
    <w:rsid w:val="42CD3FD6"/>
    <w:rsid w:val="42D80B91"/>
    <w:rsid w:val="42E8057E"/>
    <w:rsid w:val="42ED4D97"/>
    <w:rsid w:val="42F64163"/>
    <w:rsid w:val="42FE5101"/>
    <w:rsid w:val="43010842"/>
    <w:rsid w:val="430B346F"/>
    <w:rsid w:val="430D5439"/>
    <w:rsid w:val="43144A19"/>
    <w:rsid w:val="43146E0D"/>
    <w:rsid w:val="43192030"/>
    <w:rsid w:val="43201866"/>
    <w:rsid w:val="43236A0A"/>
    <w:rsid w:val="43240CD6"/>
    <w:rsid w:val="432602A9"/>
    <w:rsid w:val="43282273"/>
    <w:rsid w:val="43291B47"/>
    <w:rsid w:val="432D7889"/>
    <w:rsid w:val="43324AC2"/>
    <w:rsid w:val="433607FF"/>
    <w:rsid w:val="43372938"/>
    <w:rsid w:val="43394480"/>
    <w:rsid w:val="4342435E"/>
    <w:rsid w:val="434626F9"/>
    <w:rsid w:val="434B5F61"/>
    <w:rsid w:val="43577BBB"/>
    <w:rsid w:val="43594DC6"/>
    <w:rsid w:val="435C3CCA"/>
    <w:rsid w:val="435E1315"/>
    <w:rsid w:val="435E2926"/>
    <w:rsid w:val="435F53D1"/>
    <w:rsid w:val="4365224C"/>
    <w:rsid w:val="43655F7F"/>
    <w:rsid w:val="436F2E39"/>
    <w:rsid w:val="43760B92"/>
    <w:rsid w:val="43772091"/>
    <w:rsid w:val="43786DC8"/>
    <w:rsid w:val="437B6846"/>
    <w:rsid w:val="43841508"/>
    <w:rsid w:val="43846407"/>
    <w:rsid w:val="4387343D"/>
    <w:rsid w:val="43887CF3"/>
    <w:rsid w:val="43890033"/>
    <w:rsid w:val="439134E8"/>
    <w:rsid w:val="439155EC"/>
    <w:rsid w:val="439D4A0F"/>
    <w:rsid w:val="439D67BD"/>
    <w:rsid w:val="439E20E8"/>
    <w:rsid w:val="43A35D9D"/>
    <w:rsid w:val="43A6084D"/>
    <w:rsid w:val="43AD4526"/>
    <w:rsid w:val="43AE4076"/>
    <w:rsid w:val="43B27D8E"/>
    <w:rsid w:val="43B462D0"/>
    <w:rsid w:val="43BB4E95"/>
    <w:rsid w:val="43BD1491"/>
    <w:rsid w:val="43BD46FF"/>
    <w:rsid w:val="43C51E84"/>
    <w:rsid w:val="43C55D14"/>
    <w:rsid w:val="43CC52F4"/>
    <w:rsid w:val="43CE1D1D"/>
    <w:rsid w:val="43D03D38"/>
    <w:rsid w:val="43D44D4F"/>
    <w:rsid w:val="43D877F5"/>
    <w:rsid w:val="43DB72E5"/>
    <w:rsid w:val="43E3619A"/>
    <w:rsid w:val="43E87C60"/>
    <w:rsid w:val="43EF2D90"/>
    <w:rsid w:val="43F403A7"/>
    <w:rsid w:val="43FE7FBC"/>
    <w:rsid w:val="44061E3D"/>
    <w:rsid w:val="44067D66"/>
    <w:rsid w:val="440A3726"/>
    <w:rsid w:val="440C3A50"/>
    <w:rsid w:val="44103BAB"/>
    <w:rsid w:val="44112D07"/>
    <w:rsid w:val="44184095"/>
    <w:rsid w:val="441B1DD7"/>
    <w:rsid w:val="441B705A"/>
    <w:rsid w:val="441E71D2"/>
    <w:rsid w:val="441F0B81"/>
    <w:rsid w:val="441F3676"/>
    <w:rsid w:val="44226CC2"/>
    <w:rsid w:val="442C7B41"/>
    <w:rsid w:val="44315157"/>
    <w:rsid w:val="4432576B"/>
    <w:rsid w:val="443F5AC6"/>
    <w:rsid w:val="4444102C"/>
    <w:rsid w:val="4444115E"/>
    <w:rsid w:val="44450C02"/>
    <w:rsid w:val="444E2B02"/>
    <w:rsid w:val="44501A81"/>
    <w:rsid w:val="44580BC7"/>
    <w:rsid w:val="445C6678"/>
    <w:rsid w:val="445D7CFA"/>
    <w:rsid w:val="44627A06"/>
    <w:rsid w:val="446B61D6"/>
    <w:rsid w:val="447859E5"/>
    <w:rsid w:val="447B2A49"/>
    <w:rsid w:val="44890DCE"/>
    <w:rsid w:val="448D1F05"/>
    <w:rsid w:val="44915BF6"/>
    <w:rsid w:val="4493196E"/>
    <w:rsid w:val="449C1B0E"/>
    <w:rsid w:val="449D5D1E"/>
    <w:rsid w:val="44A07623"/>
    <w:rsid w:val="44A65B45"/>
    <w:rsid w:val="44A76A19"/>
    <w:rsid w:val="44A91191"/>
    <w:rsid w:val="44A973E3"/>
    <w:rsid w:val="44AA33B7"/>
    <w:rsid w:val="44BB053D"/>
    <w:rsid w:val="44BC7116"/>
    <w:rsid w:val="44BD7BE5"/>
    <w:rsid w:val="44C9538F"/>
    <w:rsid w:val="44CB55AC"/>
    <w:rsid w:val="44CE29A6"/>
    <w:rsid w:val="44D04970"/>
    <w:rsid w:val="44D0671E"/>
    <w:rsid w:val="44D74953"/>
    <w:rsid w:val="44DC1E56"/>
    <w:rsid w:val="44DC505E"/>
    <w:rsid w:val="44F3065E"/>
    <w:rsid w:val="44F468B0"/>
    <w:rsid w:val="44F54C4A"/>
    <w:rsid w:val="44F87A23"/>
    <w:rsid w:val="44FB75C1"/>
    <w:rsid w:val="44FF34A7"/>
    <w:rsid w:val="450D34CE"/>
    <w:rsid w:val="450E47FA"/>
    <w:rsid w:val="45101210"/>
    <w:rsid w:val="451333CC"/>
    <w:rsid w:val="45163F52"/>
    <w:rsid w:val="451906CE"/>
    <w:rsid w:val="451B0980"/>
    <w:rsid w:val="451D14A3"/>
    <w:rsid w:val="451E56DB"/>
    <w:rsid w:val="45237196"/>
    <w:rsid w:val="45246A6A"/>
    <w:rsid w:val="4528655A"/>
    <w:rsid w:val="45294080"/>
    <w:rsid w:val="452B7DF8"/>
    <w:rsid w:val="45350C77"/>
    <w:rsid w:val="453915B0"/>
    <w:rsid w:val="453A628D"/>
    <w:rsid w:val="453B44DF"/>
    <w:rsid w:val="453C3DB3"/>
    <w:rsid w:val="453D1784"/>
    <w:rsid w:val="454021E6"/>
    <w:rsid w:val="45440EBA"/>
    <w:rsid w:val="45442C68"/>
    <w:rsid w:val="454964D0"/>
    <w:rsid w:val="454A4722"/>
    <w:rsid w:val="454D2F1E"/>
    <w:rsid w:val="45525299"/>
    <w:rsid w:val="455C6204"/>
    <w:rsid w:val="455E01CE"/>
    <w:rsid w:val="45633A36"/>
    <w:rsid w:val="456B28EB"/>
    <w:rsid w:val="456F23DB"/>
    <w:rsid w:val="456F4189"/>
    <w:rsid w:val="45725A27"/>
    <w:rsid w:val="45777C5A"/>
    <w:rsid w:val="457C68A6"/>
    <w:rsid w:val="458361FD"/>
    <w:rsid w:val="4584768D"/>
    <w:rsid w:val="458704BD"/>
    <w:rsid w:val="45886FF9"/>
    <w:rsid w:val="458E66C0"/>
    <w:rsid w:val="45965BB9"/>
    <w:rsid w:val="459C17A1"/>
    <w:rsid w:val="45A16D05"/>
    <w:rsid w:val="45B2270B"/>
    <w:rsid w:val="45C1250B"/>
    <w:rsid w:val="45C30031"/>
    <w:rsid w:val="45C656E1"/>
    <w:rsid w:val="45D65FB6"/>
    <w:rsid w:val="45E10CC7"/>
    <w:rsid w:val="45EA1A61"/>
    <w:rsid w:val="45EF6568"/>
    <w:rsid w:val="45EF7078"/>
    <w:rsid w:val="45F3021D"/>
    <w:rsid w:val="45F42696"/>
    <w:rsid w:val="45FB3C6E"/>
    <w:rsid w:val="45FF375F"/>
    <w:rsid w:val="46073D4D"/>
    <w:rsid w:val="460D5750"/>
    <w:rsid w:val="4618414C"/>
    <w:rsid w:val="46184820"/>
    <w:rsid w:val="461B3AA5"/>
    <w:rsid w:val="461E4E80"/>
    <w:rsid w:val="46236D21"/>
    <w:rsid w:val="462A00B0"/>
    <w:rsid w:val="462C02CC"/>
    <w:rsid w:val="462F3918"/>
    <w:rsid w:val="46345C9D"/>
    <w:rsid w:val="46346DE5"/>
    <w:rsid w:val="463507E4"/>
    <w:rsid w:val="46384C85"/>
    <w:rsid w:val="463B22BD"/>
    <w:rsid w:val="46435FB5"/>
    <w:rsid w:val="4644057C"/>
    <w:rsid w:val="464D181F"/>
    <w:rsid w:val="465670F7"/>
    <w:rsid w:val="46604E00"/>
    <w:rsid w:val="466E4989"/>
    <w:rsid w:val="46733805"/>
    <w:rsid w:val="46765688"/>
    <w:rsid w:val="467C4DAF"/>
    <w:rsid w:val="4682613E"/>
    <w:rsid w:val="46843C64"/>
    <w:rsid w:val="468477C0"/>
    <w:rsid w:val="468A6DA0"/>
    <w:rsid w:val="468B0771"/>
    <w:rsid w:val="469004E9"/>
    <w:rsid w:val="4690085B"/>
    <w:rsid w:val="4691012F"/>
    <w:rsid w:val="46933EA7"/>
    <w:rsid w:val="469A0A3E"/>
    <w:rsid w:val="469B0FAE"/>
    <w:rsid w:val="469B1418"/>
    <w:rsid w:val="469F0A9E"/>
    <w:rsid w:val="46A00372"/>
    <w:rsid w:val="46A247E0"/>
    <w:rsid w:val="46AF74C3"/>
    <w:rsid w:val="46B02544"/>
    <w:rsid w:val="46B1257F"/>
    <w:rsid w:val="46B33089"/>
    <w:rsid w:val="46B5206F"/>
    <w:rsid w:val="46B86C48"/>
    <w:rsid w:val="46BF4C9C"/>
    <w:rsid w:val="46C027C2"/>
    <w:rsid w:val="46C202E8"/>
    <w:rsid w:val="46C30EE8"/>
    <w:rsid w:val="46C64100"/>
    <w:rsid w:val="46CB1893"/>
    <w:rsid w:val="46CC73B9"/>
    <w:rsid w:val="46CE58C7"/>
    <w:rsid w:val="46D40026"/>
    <w:rsid w:val="46DD3A32"/>
    <w:rsid w:val="46E44703"/>
    <w:rsid w:val="46E6047B"/>
    <w:rsid w:val="46E97F6B"/>
    <w:rsid w:val="46EA4B04"/>
    <w:rsid w:val="46F25071"/>
    <w:rsid w:val="4701087D"/>
    <w:rsid w:val="47024B89"/>
    <w:rsid w:val="4703102D"/>
    <w:rsid w:val="470A08FD"/>
    <w:rsid w:val="4712301E"/>
    <w:rsid w:val="471274C2"/>
    <w:rsid w:val="471660D6"/>
    <w:rsid w:val="471E558B"/>
    <w:rsid w:val="472C45CF"/>
    <w:rsid w:val="47305B9A"/>
    <w:rsid w:val="473067B8"/>
    <w:rsid w:val="47375A38"/>
    <w:rsid w:val="473D5848"/>
    <w:rsid w:val="474072B6"/>
    <w:rsid w:val="47517D3A"/>
    <w:rsid w:val="475A49C5"/>
    <w:rsid w:val="475C698F"/>
    <w:rsid w:val="475F15EE"/>
    <w:rsid w:val="47606109"/>
    <w:rsid w:val="4765510B"/>
    <w:rsid w:val="47677934"/>
    <w:rsid w:val="476A4B03"/>
    <w:rsid w:val="4770221E"/>
    <w:rsid w:val="4771702F"/>
    <w:rsid w:val="47727F60"/>
    <w:rsid w:val="47743CD8"/>
    <w:rsid w:val="477C0DDF"/>
    <w:rsid w:val="477C52AB"/>
    <w:rsid w:val="4783216D"/>
    <w:rsid w:val="47954D42"/>
    <w:rsid w:val="479779C7"/>
    <w:rsid w:val="479A2CE1"/>
    <w:rsid w:val="479D2798"/>
    <w:rsid w:val="47A3396B"/>
    <w:rsid w:val="47A85505"/>
    <w:rsid w:val="47AA383E"/>
    <w:rsid w:val="47AF4D11"/>
    <w:rsid w:val="47B269EA"/>
    <w:rsid w:val="47B9392A"/>
    <w:rsid w:val="47BB36B5"/>
    <w:rsid w:val="47C167F2"/>
    <w:rsid w:val="47C3256A"/>
    <w:rsid w:val="47C6205A"/>
    <w:rsid w:val="47C63E08"/>
    <w:rsid w:val="47CA38F8"/>
    <w:rsid w:val="47CC58C3"/>
    <w:rsid w:val="47CF53B3"/>
    <w:rsid w:val="47D01E78"/>
    <w:rsid w:val="47D97FDF"/>
    <w:rsid w:val="47DB5B06"/>
    <w:rsid w:val="47E210AF"/>
    <w:rsid w:val="47E70377"/>
    <w:rsid w:val="47EC1AC1"/>
    <w:rsid w:val="47F14892"/>
    <w:rsid w:val="47F44B09"/>
    <w:rsid w:val="47F46889"/>
    <w:rsid w:val="47F57C70"/>
    <w:rsid w:val="47FA3CDB"/>
    <w:rsid w:val="47FF1090"/>
    <w:rsid w:val="480337B7"/>
    <w:rsid w:val="480706A9"/>
    <w:rsid w:val="480D1A37"/>
    <w:rsid w:val="481334F1"/>
    <w:rsid w:val="4823125B"/>
    <w:rsid w:val="482555B1"/>
    <w:rsid w:val="48276F9D"/>
    <w:rsid w:val="482A083B"/>
    <w:rsid w:val="483671E0"/>
    <w:rsid w:val="48382F58"/>
    <w:rsid w:val="48384D06"/>
    <w:rsid w:val="483B65A4"/>
    <w:rsid w:val="483E5F65"/>
    <w:rsid w:val="483F379A"/>
    <w:rsid w:val="483F4329"/>
    <w:rsid w:val="48455675"/>
    <w:rsid w:val="484F02A2"/>
    <w:rsid w:val="48507E7F"/>
    <w:rsid w:val="48580F04"/>
    <w:rsid w:val="48583250"/>
    <w:rsid w:val="485E2423"/>
    <w:rsid w:val="4860039E"/>
    <w:rsid w:val="48627FD5"/>
    <w:rsid w:val="48691363"/>
    <w:rsid w:val="486A0C38"/>
    <w:rsid w:val="486A50DB"/>
    <w:rsid w:val="486D2E7C"/>
    <w:rsid w:val="4870256A"/>
    <w:rsid w:val="48733CAB"/>
    <w:rsid w:val="48743864"/>
    <w:rsid w:val="487E1A6D"/>
    <w:rsid w:val="4883037A"/>
    <w:rsid w:val="4885562E"/>
    <w:rsid w:val="48861F15"/>
    <w:rsid w:val="488B752C"/>
    <w:rsid w:val="488D5A16"/>
    <w:rsid w:val="488E2B78"/>
    <w:rsid w:val="48931F3C"/>
    <w:rsid w:val="489839F7"/>
    <w:rsid w:val="489D100D"/>
    <w:rsid w:val="489D2DBB"/>
    <w:rsid w:val="48A06010"/>
    <w:rsid w:val="48A20DC9"/>
    <w:rsid w:val="48A64F46"/>
    <w:rsid w:val="48A8612B"/>
    <w:rsid w:val="48AD4E73"/>
    <w:rsid w:val="48B16866"/>
    <w:rsid w:val="48B2033C"/>
    <w:rsid w:val="48B331F5"/>
    <w:rsid w:val="48B87BF5"/>
    <w:rsid w:val="48BA396D"/>
    <w:rsid w:val="48BD520B"/>
    <w:rsid w:val="48C51174"/>
    <w:rsid w:val="48CA75D0"/>
    <w:rsid w:val="48CF5E2F"/>
    <w:rsid w:val="48D16F09"/>
    <w:rsid w:val="48D326A2"/>
    <w:rsid w:val="48D77AA7"/>
    <w:rsid w:val="48D80297"/>
    <w:rsid w:val="48F30C2D"/>
    <w:rsid w:val="48FD7CFE"/>
    <w:rsid w:val="49025F37"/>
    <w:rsid w:val="490270C2"/>
    <w:rsid w:val="49050213"/>
    <w:rsid w:val="49066BB2"/>
    <w:rsid w:val="490A3A59"/>
    <w:rsid w:val="490B241B"/>
    <w:rsid w:val="490B5F77"/>
    <w:rsid w:val="4910358D"/>
    <w:rsid w:val="49137521"/>
    <w:rsid w:val="4916491B"/>
    <w:rsid w:val="49261E5D"/>
    <w:rsid w:val="49284463"/>
    <w:rsid w:val="49285EBE"/>
    <w:rsid w:val="492D05E3"/>
    <w:rsid w:val="492E6F80"/>
    <w:rsid w:val="4930309E"/>
    <w:rsid w:val="49310A7D"/>
    <w:rsid w:val="493A2D00"/>
    <w:rsid w:val="493A4AAE"/>
    <w:rsid w:val="49423962"/>
    <w:rsid w:val="494816FA"/>
    <w:rsid w:val="494F67AB"/>
    <w:rsid w:val="49513989"/>
    <w:rsid w:val="495711BC"/>
    <w:rsid w:val="495777FB"/>
    <w:rsid w:val="496008C3"/>
    <w:rsid w:val="49613F0A"/>
    <w:rsid w:val="49661852"/>
    <w:rsid w:val="49663AF5"/>
    <w:rsid w:val="496833C9"/>
    <w:rsid w:val="4970701E"/>
    <w:rsid w:val="49830203"/>
    <w:rsid w:val="4984096B"/>
    <w:rsid w:val="49872275"/>
    <w:rsid w:val="49885819"/>
    <w:rsid w:val="49900B72"/>
    <w:rsid w:val="49973CAE"/>
    <w:rsid w:val="49996E4F"/>
    <w:rsid w:val="499E3AD1"/>
    <w:rsid w:val="49A26661"/>
    <w:rsid w:val="49A5593B"/>
    <w:rsid w:val="49AB59AC"/>
    <w:rsid w:val="49AE2DA6"/>
    <w:rsid w:val="49B065B3"/>
    <w:rsid w:val="49B06C48"/>
    <w:rsid w:val="49B22896"/>
    <w:rsid w:val="49B37A2C"/>
    <w:rsid w:val="49B44860"/>
    <w:rsid w:val="49B900C8"/>
    <w:rsid w:val="49C2133F"/>
    <w:rsid w:val="49C6610C"/>
    <w:rsid w:val="49C66341"/>
    <w:rsid w:val="49D942C7"/>
    <w:rsid w:val="49E8275C"/>
    <w:rsid w:val="49E8450A"/>
    <w:rsid w:val="49E84536"/>
    <w:rsid w:val="49EA64D4"/>
    <w:rsid w:val="49ED7DE9"/>
    <w:rsid w:val="49EF5898"/>
    <w:rsid w:val="49F11610"/>
    <w:rsid w:val="49F17862"/>
    <w:rsid w:val="49F22003"/>
    <w:rsid w:val="49F32D8A"/>
    <w:rsid w:val="49F34AEE"/>
    <w:rsid w:val="49F509D5"/>
    <w:rsid w:val="49F53D7A"/>
    <w:rsid w:val="49F8402B"/>
    <w:rsid w:val="49FB248F"/>
    <w:rsid w:val="49FD6207"/>
    <w:rsid w:val="4A08695A"/>
    <w:rsid w:val="4A0C644A"/>
    <w:rsid w:val="4A1022B2"/>
    <w:rsid w:val="4A11580F"/>
    <w:rsid w:val="4A20307B"/>
    <w:rsid w:val="4A204D3C"/>
    <w:rsid w:val="4A225C6E"/>
    <w:rsid w:val="4A2859D9"/>
    <w:rsid w:val="4A2A68D0"/>
    <w:rsid w:val="4A2D016F"/>
    <w:rsid w:val="4A2F023C"/>
    <w:rsid w:val="4A3D2AA8"/>
    <w:rsid w:val="4A404346"/>
    <w:rsid w:val="4A407EA2"/>
    <w:rsid w:val="4A432C32"/>
    <w:rsid w:val="4A484FD6"/>
    <w:rsid w:val="4A4A6F73"/>
    <w:rsid w:val="4A4C6847"/>
    <w:rsid w:val="4A4F6337"/>
    <w:rsid w:val="4A5B0308"/>
    <w:rsid w:val="4A5B2F2E"/>
    <w:rsid w:val="4A617E1F"/>
    <w:rsid w:val="4A631DE2"/>
    <w:rsid w:val="4A653DAC"/>
    <w:rsid w:val="4A712751"/>
    <w:rsid w:val="4A727F0E"/>
    <w:rsid w:val="4A7A7858"/>
    <w:rsid w:val="4A7B35D0"/>
    <w:rsid w:val="4A82670C"/>
    <w:rsid w:val="4A834233"/>
    <w:rsid w:val="4A897A9B"/>
    <w:rsid w:val="4A9326C8"/>
    <w:rsid w:val="4A946440"/>
    <w:rsid w:val="4A9604E4"/>
    <w:rsid w:val="4A977AF4"/>
    <w:rsid w:val="4A985F30"/>
    <w:rsid w:val="4AA44A08"/>
    <w:rsid w:val="4AAA7A11"/>
    <w:rsid w:val="4AAB5291"/>
    <w:rsid w:val="4AAE0FE3"/>
    <w:rsid w:val="4AB4263E"/>
    <w:rsid w:val="4AB4661C"/>
    <w:rsid w:val="4AB54F8C"/>
    <w:rsid w:val="4ABB577A"/>
    <w:rsid w:val="4ABF0300"/>
    <w:rsid w:val="4ABF6843"/>
    <w:rsid w:val="4AC061F1"/>
    <w:rsid w:val="4ACC6820"/>
    <w:rsid w:val="4AD5073A"/>
    <w:rsid w:val="4AD625B4"/>
    <w:rsid w:val="4AD6479B"/>
    <w:rsid w:val="4ADF6F8E"/>
    <w:rsid w:val="4AE178D7"/>
    <w:rsid w:val="4AE304D3"/>
    <w:rsid w:val="4AE72885"/>
    <w:rsid w:val="4AEB3B3F"/>
    <w:rsid w:val="4AEE5DFE"/>
    <w:rsid w:val="4AF64B7C"/>
    <w:rsid w:val="4B026900"/>
    <w:rsid w:val="4B0610EB"/>
    <w:rsid w:val="4B0615B6"/>
    <w:rsid w:val="4B0C247A"/>
    <w:rsid w:val="4B0D06CC"/>
    <w:rsid w:val="4B101F6A"/>
    <w:rsid w:val="4B103D18"/>
    <w:rsid w:val="4B14473D"/>
    <w:rsid w:val="4B174A50"/>
    <w:rsid w:val="4B1F5D09"/>
    <w:rsid w:val="4B223A4B"/>
    <w:rsid w:val="4B2C6678"/>
    <w:rsid w:val="4B3044A9"/>
    <w:rsid w:val="4B320132"/>
    <w:rsid w:val="4B34391F"/>
    <w:rsid w:val="4B3B1E75"/>
    <w:rsid w:val="4B3C21F8"/>
    <w:rsid w:val="4B3E79B5"/>
    <w:rsid w:val="4B3F54DC"/>
    <w:rsid w:val="4B421ECE"/>
    <w:rsid w:val="4B475260"/>
    <w:rsid w:val="4B49547C"/>
    <w:rsid w:val="4B4A0F01"/>
    <w:rsid w:val="4B4B4D7A"/>
    <w:rsid w:val="4B4F0F1E"/>
    <w:rsid w:val="4B5012AE"/>
    <w:rsid w:val="4B531E57"/>
    <w:rsid w:val="4B5A0B53"/>
    <w:rsid w:val="4B5A126D"/>
    <w:rsid w:val="4B5D25A1"/>
    <w:rsid w:val="4B5D2CD5"/>
    <w:rsid w:val="4B62575E"/>
    <w:rsid w:val="4B693428"/>
    <w:rsid w:val="4B7A1A0A"/>
    <w:rsid w:val="4B7F16E3"/>
    <w:rsid w:val="4B7F49FA"/>
    <w:rsid w:val="4B83098E"/>
    <w:rsid w:val="4B83273C"/>
    <w:rsid w:val="4B85213F"/>
    <w:rsid w:val="4B885A79"/>
    <w:rsid w:val="4B895879"/>
    <w:rsid w:val="4B8A38E1"/>
    <w:rsid w:val="4B8A513A"/>
    <w:rsid w:val="4B8C422D"/>
    <w:rsid w:val="4B8D3EC0"/>
    <w:rsid w:val="4B9009B5"/>
    <w:rsid w:val="4B922FB7"/>
    <w:rsid w:val="4B9318F2"/>
    <w:rsid w:val="4B942074"/>
    <w:rsid w:val="4BA9144B"/>
    <w:rsid w:val="4BAB3A41"/>
    <w:rsid w:val="4BAD134B"/>
    <w:rsid w:val="4BB46D99"/>
    <w:rsid w:val="4BB5041C"/>
    <w:rsid w:val="4BB87F0C"/>
    <w:rsid w:val="4BBA1ED6"/>
    <w:rsid w:val="4BBC0AAB"/>
    <w:rsid w:val="4BBF1D08"/>
    <w:rsid w:val="4BC30D8B"/>
    <w:rsid w:val="4BC4638C"/>
    <w:rsid w:val="4BD56D10"/>
    <w:rsid w:val="4BD771EC"/>
    <w:rsid w:val="4BD81B39"/>
    <w:rsid w:val="4BE31237"/>
    <w:rsid w:val="4BEC0155"/>
    <w:rsid w:val="4BF058F8"/>
    <w:rsid w:val="4BF2341E"/>
    <w:rsid w:val="4BF47196"/>
    <w:rsid w:val="4BF947AC"/>
    <w:rsid w:val="4BFC429C"/>
    <w:rsid w:val="4BFD7185"/>
    <w:rsid w:val="4BFF0565"/>
    <w:rsid w:val="4C0017A1"/>
    <w:rsid w:val="4C084AEB"/>
    <w:rsid w:val="4C094415"/>
    <w:rsid w:val="4C0D0258"/>
    <w:rsid w:val="4C0D46FC"/>
    <w:rsid w:val="4C1415E6"/>
    <w:rsid w:val="4C143394"/>
    <w:rsid w:val="4C150FD8"/>
    <w:rsid w:val="4C177328"/>
    <w:rsid w:val="4C194E4E"/>
    <w:rsid w:val="4C2128C3"/>
    <w:rsid w:val="4C217FD0"/>
    <w:rsid w:val="4C2B14ED"/>
    <w:rsid w:val="4C2F4E4F"/>
    <w:rsid w:val="4C327CBE"/>
    <w:rsid w:val="4C366B60"/>
    <w:rsid w:val="4C392989"/>
    <w:rsid w:val="4C3D0087"/>
    <w:rsid w:val="4C3F7C92"/>
    <w:rsid w:val="4C415DC1"/>
    <w:rsid w:val="4C443EC1"/>
    <w:rsid w:val="4C4A5008"/>
    <w:rsid w:val="4C5058C9"/>
    <w:rsid w:val="4C523365"/>
    <w:rsid w:val="4C5672E5"/>
    <w:rsid w:val="4C612351"/>
    <w:rsid w:val="4C6D0CF6"/>
    <w:rsid w:val="4C6D62EC"/>
    <w:rsid w:val="4C6E3A7F"/>
    <w:rsid w:val="4C714C8A"/>
    <w:rsid w:val="4C716A38"/>
    <w:rsid w:val="4C7402D7"/>
    <w:rsid w:val="4C784AD5"/>
    <w:rsid w:val="4C7B78B7"/>
    <w:rsid w:val="4C7D71E6"/>
    <w:rsid w:val="4C894B76"/>
    <w:rsid w:val="4C8F6C95"/>
    <w:rsid w:val="4C940979"/>
    <w:rsid w:val="4C943E86"/>
    <w:rsid w:val="4C98546D"/>
    <w:rsid w:val="4C9A3174"/>
    <w:rsid w:val="4C9D782D"/>
    <w:rsid w:val="4C9E6E2B"/>
    <w:rsid w:val="4CA010CC"/>
    <w:rsid w:val="4CAC0D83"/>
    <w:rsid w:val="4CAC2535"/>
    <w:rsid w:val="4CAE6E28"/>
    <w:rsid w:val="4CB86415"/>
    <w:rsid w:val="4CB933F8"/>
    <w:rsid w:val="4CB95E18"/>
    <w:rsid w:val="4CBB4158"/>
    <w:rsid w:val="4CC44A4F"/>
    <w:rsid w:val="4CD11B43"/>
    <w:rsid w:val="4CD9638C"/>
    <w:rsid w:val="4CDB0356"/>
    <w:rsid w:val="4CDD7C2A"/>
    <w:rsid w:val="4CE242AF"/>
    <w:rsid w:val="4CE27936"/>
    <w:rsid w:val="4CF939B9"/>
    <w:rsid w:val="4CFA1020"/>
    <w:rsid w:val="4CFE0BB0"/>
    <w:rsid w:val="4CFF53E0"/>
    <w:rsid w:val="4D03140D"/>
    <w:rsid w:val="4D06034A"/>
    <w:rsid w:val="4D0D641F"/>
    <w:rsid w:val="4D117941"/>
    <w:rsid w:val="4D155616"/>
    <w:rsid w:val="4D162F0A"/>
    <w:rsid w:val="4D1B0752"/>
    <w:rsid w:val="4D226E03"/>
    <w:rsid w:val="4D272911"/>
    <w:rsid w:val="4D275349"/>
    <w:rsid w:val="4D2770F7"/>
    <w:rsid w:val="4D297313"/>
    <w:rsid w:val="4D2B308B"/>
    <w:rsid w:val="4D2E0486"/>
    <w:rsid w:val="4D3265EA"/>
    <w:rsid w:val="4D330192"/>
    <w:rsid w:val="4D391625"/>
    <w:rsid w:val="4D3936D7"/>
    <w:rsid w:val="4D3A32CE"/>
    <w:rsid w:val="4D3E6229"/>
    <w:rsid w:val="4D461C73"/>
    <w:rsid w:val="4D491763"/>
    <w:rsid w:val="4D4952BF"/>
    <w:rsid w:val="4D4D1254"/>
    <w:rsid w:val="4D5048A0"/>
    <w:rsid w:val="4D507F44"/>
    <w:rsid w:val="4D5254D6"/>
    <w:rsid w:val="4D55587D"/>
    <w:rsid w:val="4D565C2E"/>
    <w:rsid w:val="4D5F0F87"/>
    <w:rsid w:val="4D61483D"/>
    <w:rsid w:val="4D6214D1"/>
    <w:rsid w:val="4D722A68"/>
    <w:rsid w:val="4D737564"/>
    <w:rsid w:val="4D754306"/>
    <w:rsid w:val="4D761E2D"/>
    <w:rsid w:val="4D777400"/>
    <w:rsid w:val="4D7A191D"/>
    <w:rsid w:val="4D7B1AE2"/>
    <w:rsid w:val="4D7B7443"/>
    <w:rsid w:val="4D7D31BB"/>
    <w:rsid w:val="4D7F6F33"/>
    <w:rsid w:val="4D810EFD"/>
    <w:rsid w:val="4D894DA5"/>
    <w:rsid w:val="4D8B3B2A"/>
    <w:rsid w:val="4D956757"/>
    <w:rsid w:val="4D965002"/>
    <w:rsid w:val="4D9A69B6"/>
    <w:rsid w:val="4DA16EA9"/>
    <w:rsid w:val="4DA30E74"/>
    <w:rsid w:val="4DA316C8"/>
    <w:rsid w:val="4DA60964"/>
    <w:rsid w:val="4DA83DF5"/>
    <w:rsid w:val="4DAA371F"/>
    <w:rsid w:val="4DAB41CC"/>
    <w:rsid w:val="4DAE5A6A"/>
    <w:rsid w:val="4DB61CC2"/>
    <w:rsid w:val="4DBA2E3E"/>
    <w:rsid w:val="4DBA6E7C"/>
    <w:rsid w:val="4DC31F45"/>
    <w:rsid w:val="4DC70853"/>
    <w:rsid w:val="4DC808DA"/>
    <w:rsid w:val="4DCC3C40"/>
    <w:rsid w:val="4DCD7C9F"/>
    <w:rsid w:val="4DD10B11"/>
    <w:rsid w:val="4DD43DBB"/>
    <w:rsid w:val="4DD74FC1"/>
    <w:rsid w:val="4DDD3C5A"/>
    <w:rsid w:val="4DE65ED7"/>
    <w:rsid w:val="4DE869D8"/>
    <w:rsid w:val="4DEA4CF4"/>
    <w:rsid w:val="4DF23BA9"/>
    <w:rsid w:val="4DF25957"/>
    <w:rsid w:val="4DF30C68"/>
    <w:rsid w:val="4DF73844"/>
    <w:rsid w:val="4DF73D65"/>
    <w:rsid w:val="4DF94D1D"/>
    <w:rsid w:val="4DFC03F6"/>
    <w:rsid w:val="4E0A5FB9"/>
    <w:rsid w:val="4E0B144E"/>
    <w:rsid w:val="4E1C4782"/>
    <w:rsid w:val="4E1E674C"/>
    <w:rsid w:val="4E235B10"/>
    <w:rsid w:val="4E2B0E69"/>
    <w:rsid w:val="4E2E394C"/>
    <w:rsid w:val="4E3717A4"/>
    <w:rsid w:val="4E3B5550"/>
    <w:rsid w:val="4E3D3451"/>
    <w:rsid w:val="4E3E7A36"/>
    <w:rsid w:val="4E41243B"/>
    <w:rsid w:val="4E4A131D"/>
    <w:rsid w:val="4E56317A"/>
    <w:rsid w:val="4E5A4A86"/>
    <w:rsid w:val="4E600B13"/>
    <w:rsid w:val="4E661EA1"/>
    <w:rsid w:val="4E6824AE"/>
    <w:rsid w:val="4E6879C7"/>
    <w:rsid w:val="4E710F72"/>
    <w:rsid w:val="4E726A98"/>
    <w:rsid w:val="4E7561CB"/>
    <w:rsid w:val="4E7773B0"/>
    <w:rsid w:val="4E7937FC"/>
    <w:rsid w:val="4E7D1A3E"/>
    <w:rsid w:val="4E7D7917"/>
    <w:rsid w:val="4E7E5B06"/>
    <w:rsid w:val="4E854A1D"/>
    <w:rsid w:val="4E861570"/>
    <w:rsid w:val="4E872A00"/>
    <w:rsid w:val="4E8862BB"/>
    <w:rsid w:val="4E8C5DAC"/>
    <w:rsid w:val="4E8F764A"/>
    <w:rsid w:val="4E942825"/>
    <w:rsid w:val="4E944C60"/>
    <w:rsid w:val="4E9609D8"/>
    <w:rsid w:val="4E9904C8"/>
    <w:rsid w:val="4E9E788D"/>
    <w:rsid w:val="4E9F7009"/>
    <w:rsid w:val="4EA3285D"/>
    <w:rsid w:val="4EA50C1B"/>
    <w:rsid w:val="4EAD5D22"/>
    <w:rsid w:val="4EB175C0"/>
    <w:rsid w:val="4EB470B0"/>
    <w:rsid w:val="4EBA7275"/>
    <w:rsid w:val="4EBB3F9B"/>
    <w:rsid w:val="4EBC7D13"/>
    <w:rsid w:val="4EC00A93"/>
    <w:rsid w:val="4EC92B5C"/>
    <w:rsid w:val="4ED02BF9"/>
    <w:rsid w:val="4ED11A10"/>
    <w:rsid w:val="4ED141EC"/>
    <w:rsid w:val="4ED27537"/>
    <w:rsid w:val="4EE74D90"/>
    <w:rsid w:val="4EE869F3"/>
    <w:rsid w:val="4EE94FAC"/>
    <w:rsid w:val="4EEF633A"/>
    <w:rsid w:val="4EF1271E"/>
    <w:rsid w:val="4EF57A60"/>
    <w:rsid w:val="4EF851EF"/>
    <w:rsid w:val="4EFC1E0A"/>
    <w:rsid w:val="4EFE032C"/>
    <w:rsid w:val="4F02237D"/>
    <w:rsid w:val="4F041BE5"/>
    <w:rsid w:val="4F041DE6"/>
    <w:rsid w:val="4F0C0C9A"/>
    <w:rsid w:val="4F0C3FC5"/>
    <w:rsid w:val="4F1418FD"/>
    <w:rsid w:val="4F155DA1"/>
    <w:rsid w:val="4F1813ED"/>
    <w:rsid w:val="4F18319B"/>
    <w:rsid w:val="4F1A33B7"/>
    <w:rsid w:val="4F1D45B9"/>
    <w:rsid w:val="4F247D92"/>
    <w:rsid w:val="4F2619C0"/>
    <w:rsid w:val="4F277882"/>
    <w:rsid w:val="4F2E6E63"/>
    <w:rsid w:val="4F341FBE"/>
    <w:rsid w:val="4F351F9F"/>
    <w:rsid w:val="4F3877A3"/>
    <w:rsid w:val="4F3A5808"/>
    <w:rsid w:val="4F3B50DC"/>
    <w:rsid w:val="4F457D08"/>
    <w:rsid w:val="4F4B1139"/>
    <w:rsid w:val="4F4E3061"/>
    <w:rsid w:val="4F4F2935"/>
    <w:rsid w:val="4F511C77"/>
    <w:rsid w:val="4F587A3C"/>
    <w:rsid w:val="4F5B577E"/>
    <w:rsid w:val="4F602D94"/>
    <w:rsid w:val="4F6463E1"/>
    <w:rsid w:val="4F691C49"/>
    <w:rsid w:val="4F6E54B1"/>
    <w:rsid w:val="4F6E725F"/>
    <w:rsid w:val="4F710AFD"/>
    <w:rsid w:val="4F737FDA"/>
    <w:rsid w:val="4F754A92"/>
    <w:rsid w:val="4F764366"/>
    <w:rsid w:val="4F781E8C"/>
    <w:rsid w:val="4F794D58"/>
    <w:rsid w:val="4F797EA5"/>
    <w:rsid w:val="4F7A31D5"/>
    <w:rsid w:val="4F7A3E56"/>
    <w:rsid w:val="4F7D56F4"/>
    <w:rsid w:val="4F7D74A2"/>
    <w:rsid w:val="4F864A50"/>
    <w:rsid w:val="4F876573"/>
    <w:rsid w:val="4F8C5937"/>
    <w:rsid w:val="4F8E16AF"/>
    <w:rsid w:val="4F934F18"/>
    <w:rsid w:val="4F992FC4"/>
    <w:rsid w:val="4F9D688E"/>
    <w:rsid w:val="4FA2515B"/>
    <w:rsid w:val="4FA26F09"/>
    <w:rsid w:val="4FAC7D88"/>
    <w:rsid w:val="4FAE3B00"/>
    <w:rsid w:val="4FB8672C"/>
    <w:rsid w:val="4FB940D4"/>
    <w:rsid w:val="4FC012C2"/>
    <w:rsid w:val="4FC25B8B"/>
    <w:rsid w:val="4FCE5F50"/>
    <w:rsid w:val="4FD60B72"/>
    <w:rsid w:val="4FD734E3"/>
    <w:rsid w:val="4FD9188E"/>
    <w:rsid w:val="4FE6773D"/>
    <w:rsid w:val="4FF10611"/>
    <w:rsid w:val="4FFA3C5B"/>
    <w:rsid w:val="4FFC70D0"/>
    <w:rsid w:val="4FFF25AD"/>
    <w:rsid w:val="50047BC4"/>
    <w:rsid w:val="50100316"/>
    <w:rsid w:val="501034CA"/>
    <w:rsid w:val="50111EE2"/>
    <w:rsid w:val="50130D0F"/>
    <w:rsid w:val="50154D74"/>
    <w:rsid w:val="50181F31"/>
    <w:rsid w:val="50184C79"/>
    <w:rsid w:val="501B5221"/>
    <w:rsid w:val="501D198E"/>
    <w:rsid w:val="501D5EB6"/>
    <w:rsid w:val="501F1883"/>
    <w:rsid w:val="50203E3B"/>
    <w:rsid w:val="50242014"/>
    <w:rsid w:val="502C20D5"/>
    <w:rsid w:val="502E571C"/>
    <w:rsid w:val="50302767"/>
    <w:rsid w:val="50395ABF"/>
    <w:rsid w:val="503B1837"/>
    <w:rsid w:val="503B4B64"/>
    <w:rsid w:val="503C1161"/>
    <w:rsid w:val="50446212"/>
    <w:rsid w:val="50451150"/>
    <w:rsid w:val="50504BB7"/>
    <w:rsid w:val="50544178"/>
    <w:rsid w:val="505446A7"/>
    <w:rsid w:val="505F4DFA"/>
    <w:rsid w:val="506803D7"/>
    <w:rsid w:val="506A211C"/>
    <w:rsid w:val="506A3ECB"/>
    <w:rsid w:val="50715259"/>
    <w:rsid w:val="50720FD1"/>
    <w:rsid w:val="50795EBC"/>
    <w:rsid w:val="507F33CD"/>
    <w:rsid w:val="50845DD3"/>
    <w:rsid w:val="50863838"/>
    <w:rsid w:val="508B2217"/>
    <w:rsid w:val="508B5BEF"/>
    <w:rsid w:val="509727E6"/>
    <w:rsid w:val="509A148C"/>
    <w:rsid w:val="50AE2FA4"/>
    <w:rsid w:val="50BD4924"/>
    <w:rsid w:val="50BE043C"/>
    <w:rsid w:val="50C35389"/>
    <w:rsid w:val="50C63DF0"/>
    <w:rsid w:val="50CF2E6B"/>
    <w:rsid w:val="50D94BAC"/>
    <w:rsid w:val="50DB3A34"/>
    <w:rsid w:val="50DB6B76"/>
    <w:rsid w:val="50DD28EE"/>
    <w:rsid w:val="50E772C9"/>
    <w:rsid w:val="50EB3F82"/>
    <w:rsid w:val="50F6750C"/>
    <w:rsid w:val="50F95811"/>
    <w:rsid w:val="50FE0AB7"/>
    <w:rsid w:val="50FF2147"/>
    <w:rsid w:val="51022355"/>
    <w:rsid w:val="51071719"/>
    <w:rsid w:val="510E1AF6"/>
    <w:rsid w:val="510F4A72"/>
    <w:rsid w:val="51112598"/>
    <w:rsid w:val="51172EEC"/>
    <w:rsid w:val="5119769F"/>
    <w:rsid w:val="511A4E37"/>
    <w:rsid w:val="511B25B4"/>
    <w:rsid w:val="511B5857"/>
    <w:rsid w:val="511C460C"/>
    <w:rsid w:val="51215792"/>
    <w:rsid w:val="51232C83"/>
    <w:rsid w:val="5126587F"/>
    <w:rsid w:val="512C2F2E"/>
    <w:rsid w:val="512C526D"/>
    <w:rsid w:val="51316796"/>
    <w:rsid w:val="513444D8"/>
    <w:rsid w:val="51361FFF"/>
    <w:rsid w:val="513A16A7"/>
    <w:rsid w:val="513E3DF4"/>
    <w:rsid w:val="5144296E"/>
    <w:rsid w:val="514566E6"/>
    <w:rsid w:val="514B3CFC"/>
    <w:rsid w:val="514F70CF"/>
    <w:rsid w:val="51513130"/>
    <w:rsid w:val="515406D7"/>
    <w:rsid w:val="51592273"/>
    <w:rsid w:val="51644DBE"/>
    <w:rsid w:val="516C5A20"/>
    <w:rsid w:val="516E79EA"/>
    <w:rsid w:val="516F72BF"/>
    <w:rsid w:val="51713037"/>
    <w:rsid w:val="51755AC9"/>
    <w:rsid w:val="517625A1"/>
    <w:rsid w:val="51782617"/>
    <w:rsid w:val="517D384B"/>
    <w:rsid w:val="517D48A7"/>
    <w:rsid w:val="517D7C2E"/>
    <w:rsid w:val="5184720E"/>
    <w:rsid w:val="51864D34"/>
    <w:rsid w:val="51883BC9"/>
    <w:rsid w:val="518A5306"/>
    <w:rsid w:val="518A6A6A"/>
    <w:rsid w:val="518B234A"/>
    <w:rsid w:val="51924140"/>
    <w:rsid w:val="51960CEF"/>
    <w:rsid w:val="51972CF4"/>
    <w:rsid w:val="51A27694"/>
    <w:rsid w:val="51A4340C"/>
    <w:rsid w:val="51A93000"/>
    <w:rsid w:val="51AB479B"/>
    <w:rsid w:val="51AE7211"/>
    <w:rsid w:val="51B00003"/>
    <w:rsid w:val="51B0342B"/>
    <w:rsid w:val="51B11685"/>
    <w:rsid w:val="51B66C9C"/>
    <w:rsid w:val="51C656CD"/>
    <w:rsid w:val="51C65FF7"/>
    <w:rsid w:val="51C969CF"/>
    <w:rsid w:val="51CB0999"/>
    <w:rsid w:val="51CD2963"/>
    <w:rsid w:val="51D51818"/>
    <w:rsid w:val="51DA6E2E"/>
    <w:rsid w:val="51DC0DF8"/>
    <w:rsid w:val="51DC2BA6"/>
    <w:rsid w:val="51DF61F2"/>
    <w:rsid w:val="51E52F6E"/>
    <w:rsid w:val="51E94DAF"/>
    <w:rsid w:val="51EC53F1"/>
    <w:rsid w:val="51F2562C"/>
    <w:rsid w:val="51F577C4"/>
    <w:rsid w:val="51F83758"/>
    <w:rsid w:val="51F85506"/>
    <w:rsid w:val="51FE0D6E"/>
    <w:rsid w:val="51FE7BC8"/>
    <w:rsid w:val="52065E75"/>
    <w:rsid w:val="520774F7"/>
    <w:rsid w:val="52100AA2"/>
    <w:rsid w:val="521045E8"/>
    <w:rsid w:val="521265C8"/>
    <w:rsid w:val="5217255D"/>
    <w:rsid w:val="52195BA8"/>
    <w:rsid w:val="52263E21"/>
    <w:rsid w:val="522742EF"/>
    <w:rsid w:val="522B57B2"/>
    <w:rsid w:val="52320A18"/>
    <w:rsid w:val="5233653E"/>
    <w:rsid w:val="52353901"/>
    <w:rsid w:val="5237032A"/>
    <w:rsid w:val="52392D6D"/>
    <w:rsid w:val="52550093"/>
    <w:rsid w:val="52551262"/>
    <w:rsid w:val="525564B4"/>
    <w:rsid w:val="525E1F65"/>
    <w:rsid w:val="52605AD9"/>
    <w:rsid w:val="52627586"/>
    <w:rsid w:val="52650B61"/>
    <w:rsid w:val="526D3847"/>
    <w:rsid w:val="526F3EB7"/>
    <w:rsid w:val="52756035"/>
    <w:rsid w:val="527A416D"/>
    <w:rsid w:val="527E0DBE"/>
    <w:rsid w:val="527F186C"/>
    <w:rsid w:val="527F1CB8"/>
    <w:rsid w:val="5281374D"/>
    <w:rsid w:val="5283444E"/>
    <w:rsid w:val="52860D64"/>
    <w:rsid w:val="528648C0"/>
    <w:rsid w:val="52880638"/>
    <w:rsid w:val="52887ADE"/>
    <w:rsid w:val="528943B0"/>
    <w:rsid w:val="528D5C4E"/>
    <w:rsid w:val="528F5E6A"/>
    <w:rsid w:val="5290573F"/>
    <w:rsid w:val="529171EE"/>
    <w:rsid w:val="5294799F"/>
    <w:rsid w:val="52961E90"/>
    <w:rsid w:val="529B516A"/>
    <w:rsid w:val="529D3985"/>
    <w:rsid w:val="529E1C09"/>
    <w:rsid w:val="529E60AD"/>
    <w:rsid w:val="529F0DD2"/>
    <w:rsid w:val="52A35472"/>
    <w:rsid w:val="52AB2948"/>
    <w:rsid w:val="52B72CCB"/>
    <w:rsid w:val="52BF1C0E"/>
    <w:rsid w:val="52C34E27"/>
    <w:rsid w:val="52C553E8"/>
    <w:rsid w:val="52C94C60"/>
    <w:rsid w:val="52CF44B9"/>
    <w:rsid w:val="52D86EEF"/>
    <w:rsid w:val="52E2243E"/>
    <w:rsid w:val="52E55A8A"/>
    <w:rsid w:val="52EA12F3"/>
    <w:rsid w:val="52EF778C"/>
    <w:rsid w:val="52F60C57"/>
    <w:rsid w:val="52FB52AE"/>
    <w:rsid w:val="530776F6"/>
    <w:rsid w:val="53080462"/>
    <w:rsid w:val="53083527"/>
    <w:rsid w:val="53095C1D"/>
    <w:rsid w:val="530A4577"/>
    <w:rsid w:val="530A54F1"/>
    <w:rsid w:val="53154EDF"/>
    <w:rsid w:val="53193986"/>
    <w:rsid w:val="531C2344"/>
    <w:rsid w:val="531F79B0"/>
    <w:rsid w:val="53220A8C"/>
    <w:rsid w:val="5325232B"/>
    <w:rsid w:val="532841F2"/>
    <w:rsid w:val="532A7941"/>
    <w:rsid w:val="532E7431"/>
    <w:rsid w:val="532F31A9"/>
    <w:rsid w:val="53332C9A"/>
    <w:rsid w:val="533C684B"/>
    <w:rsid w:val="534529CD"/>
    <w:rsid w:val="53456529"/>
    <w:rsid w:val="53476745"/>
    <w:rsid w:val="534A1D91"/>
    <w:rsid w:val="53536E98"/>
    <w:rsid w:val="535844AE"/>
    <w:rsid w:val="53610DA9"/>
    <w:rsid w:val="53654E1D"/>
    <w:rsid w:val="53682EE2"/>
    <w:rsid w:val="536A6FA8"/>
    <w:rsid w:val="536C1D08"/>
    <w:rsid w:val="5373753A"/>
    <w:rsid w:val="538057C2"/>
    <w:rsid w:val="53823120"/>
    <w:rsid w:val="538319B8"/>
    <w:rsid w:val="53831A46"/>
    <w:rsid w:val="538B4884"/>
    <w:rsid w:val="538C567B"/>
    <w:rsid w:val="539620A7"/>
    <w:rsid w:val="539A3FDC"/>
    <w:rsid w:val="539D3711"/>
    <w:rsid w:val="53A2396F"/>
    <w:rsid w:val="53A27BFA"/>
    <w:rsid w:val="53AA375B"/>
    <w:rsid w:val="53AF6B6F"/>
    <w:rsid w:val="53B429A1"/>
    <w:rsid w:val="53B45F49"/>
    <w:rsid w:val="53B75E62"/>
    <w:rsid w:val="53B768FB"/>
    <w:rsid w:val="53BC2E44"/>
    <w:rsid w:val="53BF62DB"/>
    <w:rsid w:val="53BF7EAA"/>
    <w:rsid w:val="53C17610"/>
    <w:rsid w:val="53C441A7"/>
    <w:rsid w:val="53CB1124"/>
    <w:rsid w:val="53CE5FB7"/>
    <w:rsid w:val="53D578AD"/>
    <w:rsid w:val="53D71491"/>
    <w:rsid w:val="53DB3461"/>
    <w:rsid w:val="53E53868"/>
    <w:rsid w:val="53EC5A2E"/>
    <w:rsid w:val="53F1045F"/>
    <w:rsid w:val="53F109E6"/>
    <w:rsid w:val="53FA5565"/>
    <w:rsid w:val="53FB278B"/>
    <w:rsid w:val="53FC5B12"/>
    <w:rsid w:val="54071B43"/>
    <w:rsid w:val="541008E5"/>
    <w:rsid w:val="54120B01"/>
    <w:rsid w:val="541B0CC2"/>
    <w:rsid w:val="541E1BA7"/>
    <w:rsid w:val="54214A3E"/>
    <w:rsid w:val="54214ADC"/>
    <w:rsid w:val="54225E48"/>
    <w:rsid w:val="54293073"/>
    <w:rsid w:val="542D1F60"/>
    <w:rsid w:val="542D3AD6"/>
    <w:rsid w:val="542D7083"/>
    <w:rsid w:val="542E16B3"/>
    <w:rsid w:val="54316AAD"/>
    <w:rsid w:val="54324CFF"/>
    <w:rsid w:val="543842E0"/>
    <w:rsid w:val="544B35ED"/>
    <w:rsid w:val="544D7D8B"/>
    <w:rsid w:val="544E765F"/>
    <w:rsid w:val="545028F9"/>
    <w:rsid w:val="54542E1F"/>
    <w:rsid w:val="54556C40"/>
    <w:rsid w:val="545B23F7"/>
    <w:rsid w:val="54660E4D"/>
    <w:rsid w:val="54680721"/>
    <w:rsid w:val="546926EB"/>
    <w:rsid w:val="547075D6"/>
    <w:rsid w:val="54752E3E"/>
    <w:rsid w:val="547A6B9C"/>
    <w:rsid w:val="54843F60"/>
    <w:rsid w:val="54876977"/>
    <w:rsid w:val="548901E4"/>
    <w:rsid w:val="548E64CB"/>
    <w:rsid w:val="54901A26"/>
    <w:rsid w:val="54907C78"/>
    <w:rsid w:val="54923E96"/>
    <w:rsid w:val="54977258"/>
    <w:rsid w:val="54992622"/>
    <w:rsid w:val="54996B2C"/>
    <w:rsid w:val="549B6C4C"/>
    <w:rsid w:val="549B6D34"/>
    <w:rsid w:val="549D6FE7"/>
    <w:rsid w:val="549E0D64"/>
    <w:rsid w:val="549E2609"/>
    <w:rsid w:val="54A274E9"/>
    <w:rsid w:val="54AD5392"/>
    <w:rsid w:val="54AE00FE"/>
    <w:rsid w:val="54B40BE7"/>
    <w:rsid w:val="54B43966"/>
    <w:rsid w:val="54B86B3E"/>
    <w:rsid w:val="54BD498D"/>
    <w:rsid w:val="54BE1B36"/>
    <w:rsid w:val="54C31DFB"/>
    <w:rsid w:val="54CF3934"/>
    <w:rsid w:val="54D44008"/>
    <w:rsid w:val="54E43252"/>
    <w:rsid w:val="54EA1131"/>
    <w:rsid w:val="54EA42A5"/>
    <w:rsid w:val="54EE1700"/>
    <w:rsid w:val="54EF0E42"/>
    <w:rsid w:val="54F16968"/>
    <w:rsid w:val="54F226E1"/>
    <w:rsid w:val="54F304E9"/>
    <w:rsid w:val="54FB77E7"/>
    <w:rsid w:val="55004DFD"/>
    <w:rsid w:val="5503044A"/>
    <w:rsid w:val="550A5C7C"/>
    <w:rsid w:val="550A7A2A"/>
    <w:rsid w:val="55182ABF"/>
    <w:rsid w:val="551B39E5"/>
    <w:rsid w:val="551D6CB2"/>
    <w:rsid w:val="5523289A"/>
    <w:rsid w:val="55232D59"/>
    <w:rsid w:val="5528419E"/>
    <w:rsid w:val="552F02D2"/>
    <w:rsid w:val="55320D2F"/>
    <w:rsid w:val="55326F81"/>
    <w:rsid w:val="55342CF9"/>
    <w:rsid w:val="55357F85"/>
    <w:rsid w:val="553920BD"/>
    <w:rsid w:val="553C57C6"/>
    <w:rsid w:val="55406AAF"/>
    <w:rsid w:val="55432F3C"/>
    <w:rsid w:val="55482300"/>
    <w:rsid w:val="554A791A"/>
    <w:rsid w:val="554B1941"/>
    <w:rsid w:val="554D7917"/>
    <w:rsid w:val="554E7F0C"/>
    <w:rsid w:val="555111B5"/>
    <w:rsid w:val="55517407"/>
    <w:rsid w:val="55570796"/>
    <w:rsid w:val="55581E8F"/>
    <w:rsid w:val="55582054"/>
    <w:rsid w:val="555D5DAC"/>
    <w:rsid w:val="555E0513"/>
    <w:rsid w:val="555E1B24"/>
    <w:rsid w:val="5560764A"/>
    <w:rsid w:val="556153AE"/>
    <w:rsid w:val="55676C2B"/>
    <w:rsid w:val="556A04C9"/>
    <w:rsid w:val="556B765C"/>
    <w:rsid w:val="55700909"/>
    <w:rsid w:val="55713225"/>
    <w:rsid w:val="55733821"/>
    <w:rsid w:val="557355CF"/>
    <w:rsid w:val="55752CD1"/>
    <w:rsid w:val="55762097"/>
    <w:rsid w:val="55787246"/>
    <w:rsid w:val="5583158B"/>
    <w:rsid w:val="558A2919"/>
    <w:rsid w:val="558E065B"/>
    <w:rsid w:val="55935C72"/>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DC2AD0"/>
    <w:rsid w:val="55E73DE6"/>
    <w:rsid w:val="55E83428"/>
    <w:rsid w:val="55EA33B8"/>
    <w:rsid w:val="55EB15A9"/>
    <w:rsid w:val="55EC35D4"/>
    <w:rsid w:val="55EF10B1"/>
    <w:rsid w:val="55F17E3D"/>
    <w:rsid w:val="55F37F7B"/>
    <w:rsid w:val="55FA2FD9"/>
    <w:rsid w:val="560162DD"/>
    <w:rsid w:val="560501F2"/>
    <w:rsid w:val="560E52F8"/>
    <w:rsid w:val="560E70A6"/>
    <w:rsid w:val="56114DE8"/>
    <w:rsid w:val="56130B60"/>
    <w:rsid w:val="5613290E"/>
    <w:rsid w:val="561346BC"/>
    <w:rsid w:val="56262642"/>
    <w:rsid w:val="562B7C58"/>
    <w:rsid w:val="562E7748"/>
    <w:rsid w:val="5630116D"/>
    <w:rsid w:val="56332FB1"/>
    <w:rsid w:val="563564CB"/>
    <w:rsid w:val="563C00B7"/>
    <w:rsid w:val="563D5BDD"/>
    <w:rsid w:val="56417537"/>
    <w:rsid w:val="56431446"/>
    <w:rsid w:val="56440D1A"/>
    <w:rsid w:val="56466840"/>
    <w:rsid w:val="56510FA5"/>
    <w:rsid w:val="56535401"/>
    <w:rsid w:val="565D6F39"/>
    <w:rsid w:val="56633896"/>
    <w:rsid w:val="56674A08"/>
    <w:rsid w:val="56690780"/>
    <w:rsid w:val="566B364B"/>
    <w:rsid w:val="566E5D97"/>
    <w:rsid w:val="566E7EBE"/>
    <w:rsid w:val="56705FB3"/>
    <w:rsid w:val="56723A57"/>
    <w:rsid w:val="567333AD"/>
    <w:rsid w:val="5675682A"/>
    <w:rsid w:val="56766C89"/>
    <w:rsid w:val="56775382"/>
    <w:rsid w:val="567C4300"/>
    <w:rsid w:val="567F7FA4"/>
    <w:rsid w:val="56890E23"/>
    <w:rsid w:val="56905D0D"/>
    <w:rsid w:val="56914581"/>
    <w:rsid w:val="569752EE"/>
    <w:rsid w:val="569F23F4"/>
    <w:rsid w:val="56A30136"/>
    <w:rsid w:val="56A47A0A"/>
    <w:rsid w:val="56A9296F"/>
    <w:rsid w:val="56AB2B47"/>
    <w:rsid w:val="56AB528F"/>
    <w:rsid w:val="56BD287A"/>
    <w:rsid w:val="56C84AD2"/>
    <w:rsid w:val="56C97471"/>
    <w:rsid w:val="56CA1443"/>
    <w:rsid w:val="56CF5DCB"/>
    <w:rsid w:val="56D27B8C"/>
    <w:rsid w:val="56D4209E"/>
    <w:rsid w:val="56D66333"/>
    <w:rsid w:val="56D71B8E"/>
    <w:rsid w:val="56DA2EDE"/>
    <w:rsid w:val="56DE2F1C"/>
    <w:rsid w:val="56DE4CCA"/>
    <w:rsid w:val="56E10C5F"/>
    <w:rsid w:val="56E9366F"/>
    <w:rsid w:val="56ED13B1"/>
    <w:rsid w:val="56F02C50"/>
    <w:rsid w:val="56F6276E"/>
    <w:rsid w:val="56FD2E64"/>
    <w:rsid w:val="570B1838"/>
    <w:rsid w:val="57250B4B"/>
    <w:rsid w:val="57291C6D"/>
    <w:rsid w:val="57295295"/>
    <w:rsid w:val="572A16C1"/>
    <w:rsid w:val="572F5526"/>
    <w:rsid w:val="57342B3C"/>
    <w:rsid w:val="57390CC0"/>
    <w:rsid w:val="573B1AA2"/>
    <w:rsid w:val="574014E1"/>
    <w:rsid w:val="574134AB"/>
    <w:rsid w:val="57460AC2"/>
    <w:rsid w:val="574B7E86"/>
    <w:rsid w:val="574F45FB"/>
    <w:rsid w:val="575136EE"/>
    <w:rsid w:val="57546DC1"/>
    <w:rsid w:val="57603DA4"/>
    <w:rsid w:val="57664CC0"/>
    <w:rsid w:val="57672E44"/>
    <w:rsid w:val="576A2A02"/>
    <w:rsid w:val="576C0528"/>
    <w:rsid w:val="576D604E"/>
    <w:rsid w:val="57711FE2"/>
    <w:rsid w:val="57740CC0"/>
    <w:rsid w:val="577943F2"/>
    <w:rsid w:val="577B3068"/>
    <w:rsid w:val="577E200A"/>
    <w:rsid w:val="578364FC"/>
    <w:rsid w:val="57874DBC"/>
    <w:rsid w:val="57875362"/>
    <w:rsid w:val="57882E88"/>
    <w:rsid w:val="5791441A"/>
    <w:rsid w:val="579537AA"/>
    <w:rsid w:val="5797131D"/>
    <w:rsid w:val="5798782B"/>
    <w:rsid w:val="579A28A8"/>
    <w:rsid w:val="57A04676"/>
    <w:rsid w:val="57A05E6D"/>
    <w:rsid w:val="57A557E8"/>
    <w:rsid w:val="57AD4DFB"/>
    <w:rsid w:val="57AE0B41"/>
    <w:rsid w:val="57AE2E6B"/>
    <w:rsid w:val="57B20438"/>
    <w:rsid w:val="57B46714"/>
    <w:rsid w:val="57B974E6"/>
    <w:rsid w:val="57BC665E"/>
    <w:rsid w:val="57BD5228"/>
    <w:rsid w:val="57BF2D4E"/>
    <w:rsid w:val="57C33EC0"/>
    <w:rsid w:val="57C71C02"/>
    <w:rsid w:val="57CC0775"/>
    <w:rsid w:val="57CD7125"/>
    <w:rsid w:val="57D165DD"/>
    <w:rsid w:val="57D4431F"/>
    <w:rsid w:val="57DA7B88"/>
    <w:rsid w:val="57E44562"/>
    <w:rsid w:val="57E52089"/>
    <w:rsid w:val="57E62D59"/>
    <w:rsid w:val="57E91B79"/>
    <w:rsid w:val="57E97DCB"/>
    <w:rsid w:val="57EC3417"/>
    <w:rsid w:val="57EE53E1"/>
    <w:rsid w:val="57EF0931"/>
    <w:rsid w:val="57EF6F2D"/>
    <w:rsid w:val="57F04304"/>
    <w:rsid w:val="57F43110"/>
    <w:rsid w:val="57FA3318"/>
    <w:rsid w:val="57FB18AC"/>
    <w:rsid w:val="57FB5D50"/>
    <w:rsid w:val="57FC57AF"/>
    <w:rsid w:val="5803217B"/>
    <w:rsid w:val="580746F5"/>
    <w:rsid w:val="580764A3"/>
    <w:rsid w:val="58084289"/>
    <w:rsid w:val="580E15DF"/>
    <w:rsid w:val="581110D0"/>
    <w:rsid w:val="581754FA"/>
    <w:rsid w:val="581A6CC3"/>
    <w:rsid w:val="582467B0"/>
    <w:rsid w:val="582B2779"/>
    <w:rsid w:val="582C7CB7"/>
    <w:rsid w:val="58300E4A"/>
    <w:rsid w:val="583152CE"/>
    <w:rsid w:val="58320689"/>
    <w:rsid w:val="583A0626"/>
    <w:rsid w:val="583B24FC"/>
    <w:rsid w:val="583C439E"/>
    <w:rsid w:val="583F79EB"/>
    <w:rsid w:val="58492617"/>
    <w:rsid w:val="584A0BAC"/>
    <w:rsid w:val="584A3370"/>
    <w:rsid w:val="585119A0"/>
    <w:rsid w:val="5851771E"/>
    <w:rsid w:val="5855720E"/>
    <w:rsid w:val="585B234B"/>
    <w:rsid w:val="585B36D8"/>
    <w:rsid w:val="58692CBA"/>
    <w:rsid w:val="58705DF6"/>
    <w:rsid w:val="58733B38"/>
    <w:rsid w:val="587D0513"/>
    <w:rsid w:val="587D1F7A"/>
    <w:rsid w:val="587F0ECB"/>
    <w:rsid w:val="5882708A"/>
    <w:rsid w:val="58850CE1"/>
    <w:rsid w:val="588B5FCD"/>
    <w:rsid w:val="588D376D"/>
    <w:rsid w:val="588E44CE"/>
    <w:rsid w:val="589870FB"/>
    <w:rsid w:val="589D0BB5"/>
    <w:rsid w:val="58A05393"/>
    <w:rsid w:val="58AC56A8"/>
    <w:rsid w:val="58B71C77"/>
    <w:rsid w:val="58B74216"/>
    <w:rsid w:val="58B87159"/>
    <w:rsid w:val="58B959EF"/>
    <w:rsid w:val="58BE1257"/>
    <w:rsid w:val="58BF28DA"/>
    <w:rsid w:val="58C252AC"/>
    <w:rsid w:val="58C46142"/>
    <w:rsid w:val="58CB74D0"/>
    <w:rsid w:val="58CD4FF7"/>
    <w:rsid w:val="58D04AE7"/>
    <w:rsid w:val="58D15A07"/>
    <w:rsid w:val="58D40D30"/>
    <w:rsid w:val="58D740C6"/>
    <w:rsid w:val="58DB24F3"/>
    <w:rsid w:val="58DE7204"/>
    <w:rsid w:val="58DF4D2A"/>
    <w:rsid w:val="58E16CF4"/>
    <w:rsid w:val="58EB286B"/>
    <w:rsid w:val="58ED4BF9"/>
    <w:rsid w:val="58F1179F"/>
    <w:rsid w:val="58F20645"/>
    <w:rsid w:val="58F20F01"/>
    <w:rsid w:val="58F5279F"/>
    <w:rsid w:val="58F77CC8"/>
    <w:rsid w:val="58FB6EEF"/>
    <w:rsid w:val="58FF18EE"/>
    <w:rsid w:val="58FF48A0"/>
    <w:rsid w:val="5906675A"/>
    <w:rsid w:val="59080725"/>
    <w:rsid w:val="590B1FC3"/>
    <w:rsid w:val="59106838"/>
    <w:rsid w:val="591075D9"/>
    <w:rsid w:val="59154BEF"/>
    <w:rsid w:val="59162E41"/>
    <w:rsid w:val="59172716"/>
    <w:rsid w:val="591946E0"/>
    <w:rsid w:val="59195206"/>
    <w:rsid w:val="591A4A11"/>
    <w:rsid w:val="591A7022"/>
    <w:rsid w:val="591E5852"/>
    <w:rsid w:val="592866D1"/>
    <w:rsid w:val="592A2449"/>
    <w:rsid w:val="592B4413"/>
    <w:rsid w:val="59302762"/>
    <w:rsid w:val="5934151A"/>
    <w:rsid w:val="59374B66"/>
    <w:rsid w:val="593C03CE"/>
    <w:rsid w:val="59530646"/>
    <w:rsid w:val="5954396A"/>
    <w:rsid w:val="59547B16"/>
    <w:rsid w:val="595B0854"/>
    <w:rsid w:val="59637709"/>
    <w:rsid w:val="59657199"/>
    <w:rsid w:val="596733BB"/>
    <w:rsid w:val="596C0CB3"/>
    <w:rsid w:val="596F20E3"/>
    <w:rsid w:val="59701E26"/>
    <w:rsid w:val="59771406"/>
    <w:rsid w:val="597B0EF6"/>
    <w:rsid w:val="597C6A1D"/>
    <w:rsid w:val="59815DE1"/>
    <w:rsid w:val="598220BE"/>
    <w:rsid w:val="5984098A"/>
    <w:rsid w:val="598D4786"/>
    <w:rsid w:val="59923010"/>
    <w:rsid w:val="59965D30"/>
    <w:rsid w:val="59967ADE"/>
    <w:rsid w:val="59A147C5"/>
    <w:rsid w:val="59A2217E"/>
    <w:rsid w:val="59A55F73"/>
    <w:rsid w:val="59A57D21"/>
    <w:rsid w:val="59A60AFF"/>
    <w:rsid w:val="59A71F8F"/>
    <w:rsid w:val="59A82DE1"/>
    <w:rsid w:val="59A87812"/>
    <w:rsid w:val="59AA17FC"/>
    <w:rsid w:val="59AA2AE2"/>
    <w:rsid w:val="59AA327E"/>
    <w:rsid w:val="59AF0BA0"/>
    <w:rsid w:val="59AF294E"/>
    <w:rsid w:val="59C53F20"/>
    <w:rsid w:val="59CA67B9"/>
    <w:rsid w:val="59CD3428"/>
    <w:rsid w:val="59CF2FF0"/>
    <w:rsid w:val="59D14EF9"/>
    <w:rsid w:val="59D2663D"/>
    <w:rsid w:val="59DE1A77"/>
    <w:rsid w:val="59DE4A87"/>
    <w:rsid w:val="59E00D5A"/>
    <w:rsid w:val="59E36A9C"/>
    <w:rsid w:val="59E720E8"/>
    <w:rsid w:val="59E77376"/>
    <w:rsid w:val="59EB2FCB"/>
    <w:rsid w:val="59EC06C3"/>
    <w:rsid w:val="59EC6032"/>
    <w:rsid w:val="59EE16C8"/>
    <w:rsid w:val="59EE4D9E"/>
    <w:rsid w:val="59F20A8D"/>
    <w:rsid w:val="59F64A21"/>
    <w:rsid w:val="59F82222"/>
    <w:rsid w:val="59FE7432"/>
    <w:rsid w:val="59FF3B7C"/>
    <w:rsid w:val="5A0233C6"/>
    <w:rsid w:val="5A054C64"/>
    <w:rsid w:val="5A096502"/>
    <w:rsid w:val="5A0A5DD6"/>
    <w:rsid w:val="5A0D02E3"/>
    <w:rsid w:val="5A13112F"/>
    <w:rsid w:val="5A174F19"/>
    <w:rsid w:val="5A1924BD"/>
    <w:rsid w:val="5A1A0B70"/>
    <w:rsid w:val="5A1D5B0A"/>
    <w:rsid w:val="5A1D6815"/>
    <w:rsid w:val="5A201A9E"/>
    <w:rsid w:val="5A221372"/>
    <w:rsid w:val="5A2473B3"/>
    <w:rsid w:val="5A2636CF"/>
    <w:rsid w:val="5A2E41BB"/>
    <w:rsid w:val="5A2F40A2"/>
    <w:rsid w:val="5A2F4F1B"/>
    <w:rsid w:val="5A3612C1"/>
    <w:rsid w:val="5A366BCB"/>
    <w:rsid w:val="5A407A4A"/>
    <w:rsid w:val="5A44753A"/>
    <w:rsid w:val="5A4B135E"/>
    <w:rsid w:val="5A581546"/>
    <w:rsid w:val="5A58350E"/>
    <w:rsid w:val="5A5C149E"/>
    <w:rsid w:val="5A627E29"/>
    <w:rsid w:val="5A643169"/>
    <w:rsid w:val="5A693FDA"/>
    <w:rsid w:val="5A6E2809"/>
    <w:rsid w:val="5A7122F9"/>
    <w:rsid w:val="5A7445FC"/>
    <w:rsid w:val="5A7F0572"/>
    <w:rsid w:val="5A8262B5"/>
    <w:rsid w:val="5A836C53"/>
    <w:rsid w:val="5A84202D"/>
    <w:rsid w:val="5A8703E3"/>
    <w:rsid w:val="5A8913F1"/>
    <w:rsid w:val="5A8B6F17"/>
    <w:rsid w:val="5A8D7133"/>
    <w:rsid w:val="5A9A56D9"/>
    <w:rsid w:val="5AA004E9"/>
    <w:rsid w:val="5AA20705"/>
    <w:rsid w:val="5AA47FD9"/>
    <w:rsid w:val="5AB67D0C"/>
    <w:rsid w:val="5AC05DA1"/>
    <w:rsid w:val="5AC95C92"/>
    <w:rsid w:val="5ACC25F8"/>
    <w:rsid w:val="5AD00DCE"/>
    <w:rsid w:val="5AD22196"/>
    <w:rsid w:val="5AD22D98"/>
    <w:rsid w:val="5AD72BFF"/>
    <w:rsid w:val="5ADC3C17"/>
    <w:rsid w:val="5ADD2319"/>
    <w:rsid w:val="5ADE2081"/>
    <w:rsid w:val="5AE26D53"/>
    <w:rsid w:val="5AE76118"/>
    <w:rsid w:val="5AE825BC"/>
    <w:rsid w:val="5AE96B71"/>
    <w:rsid w:val="5AEB71B9"/>
    <w:rsid w:val="5AEC2A00"/>
    <w:rsid w:val="5AEC407C"/>
    <w:rsid w:val="5AEE5251"/>
    <w:rsid w:val="5AF0499E"/>
    <w:rsid w:val="5AF641B2"/>
    <w:rsid w:val="5AF80325"/>
    <w:rsid w:val="5AF820D3"/>
    <w:rsid w:val="5AFA409D"/>
    <w:rsid w:val="5AFE1DDF"/>
    <w:rsid w:val="5B022F52"/>
    <w:rsid w:val="5B060A98"/>
    <w:rsid w:val="5B062A42"/>
    <w:rsid w:val="5B0F3265"/>
    <w:rsid w:val="5B12588A"/>
    <w:rsid w:val="5B130AB9"/>
    <w:rsid w:val="5B1C78AD"/>
    <w:rsid w:val="5B217190"/>
    <w:rsid w:val="5B231846"/>
    <w:rsid w:val="5B235947"/>
    <w:rsid w:val="5B316766"/>
    <w:rsid w:val="5B331248"/>
    <w:rsid w:val="5B33135D"/>
    <w:rsid w:val="5B3D3F8A"/>
    <w:rsid w:val="5B4041A6"/>
    <w:rsid w:val="5B405097"/>
    <w:rsid w:val="5B433C96"/>
    <w:rsid w:val="5B4377F2"/>
    <w:rsid w:val="5B4A5024"/>
    <w:rsid w:val="5B4A5B4F"/>
    <w:rsid w:val="5B4F2EB6"/>
    <w:rsid w:val="5B50381C"/>
    <w:rsid w:val="5B5236A5"/>
    <w:rsid w:val="5B540083"/>
    <w:rsid w:val="5B5419FF"/>
    <w:rsid w:val="5B57329D"/>
    <w:rsid w:val="5B590DC3"/>
    <w:rsid w:val="5B5B0FE0"/>
    <w:rsid w:val="5B6339F0"/>
    <w:rsid w:val="5B642549"/>
    <w:rsid w:val="5B667984"/>
    <w:rsid w:val="5B6836FC"/>
    <w:rsid w:val="5B694D7F"/>
    <w:rsid w:val="5B6A1CBE"/>
    <w:rsid w:val="5B6F3FE4"/>
    <w:rsid w:val="5B707C36"/>
    <w:rsid w:val="5B7A23C5"/>
    <w:rsid w:val="5B7B2587"/>
    <w:rsid w:val="5B7F3AD9"/>
    <w:rsid w:val="5B8305C0"/>
    <w:rsid w:val="5B83537B"/>
    <w:rsid w:val="5B8D4F11"/>
    <w:rsid w:val="5B8D6CBF"/>
    <w:rsid w:val="5B8F1FEB"/>
    <w:rsid w:val="5B8F2A37"/>
    <w:rsid w:val="5B921F4F"/>
    <w:rsid w:val="5B9404C9"/>
    <w:rsid w:val="5B9608D0"/>
    <w:rsid w:val="5B991B08"/>
    <w:rsid w:val="5B9C0BF4"/>
    <w:rsid w:val="5B9D63AE"/>
    <w:rsid w:val="5B9E0ECC"/>
    <w:rsid w:val="5BA159E3"/>
    <w:rsid w:val="5BA81D4B"/>
    <w:rsid w:val="5BA835D7"/>
    <w:rsid w:val="5BB40180"/>
    <w:rsid w:val="5BBE331C"/>
    <w:rsid w:val="5BC5369D"/>
    <w:rsid w:val="5BC64949"/>
    <w:rsid w:val="5BC76675"/>
    <w:rsid w:val="5BC7741A"/>
    <w:rsid w:val="5BC85F49"/>
    <w:rsid w:val="5BCA3A6F"/>
    <w:rsid w:val="5BCD1E2F"/>
    <w:rsid w:val="5BCF552A"/>
    <w:rsid w:val="5BCF7320"/>
    <w:rsid w:val="5BD45495"/>
    <w:rsid w:val="5BE54488"/>
    <w:rsid w:val="5BE5564C"/>
    <w:rsid w:val="5BE61449"/>
    <w:rsid w:val="5BE977BF"/>
    <w:rsid w:val="5BEA4111"/>
    <w:rsid w:val="5BEA5E34"/>
    <w:rsid w:val="5BF35139"/>
    <w:rsid w:val="5BF5277C"/>
    <w:rsid w:val="5BFF1E2F"/>
    <w:rsid w:val="5C05719D"/>
    <w:rsid w:val="5C080BF2"/>
    <w:rsid w:val="5C0827EA"/>
    <w:rsid w:val="5C14118E"/>
    <w:rsid w:val="5C1A1210"/>
    <w:rsid w:val="5C1D0043"/>
    <w:rsid w:val="5C245875"/>
    <w:rsid w:val="5C270BFC"/>
    <w:rsid w:val="5C2C472A"/>
    <w:rsid w:val="5C2F5FC8"/>
    <w:rsid w:val="5C325071"/>
    <w:rsid w:val="5C3435DF"/>
    <w:rsid w:val="5C34586C"/>
    <w:rsid w:val="5C3D06E5"/>
    <w:rsid w:val="5C3D6937"/>
    <w:rsid w:val="5C451D35"/>
    <w:rsid w:val="5C492F62"/>
    <w:rsid w:val="5C4C26D6"/>
    <w:rsid w:val="5C4C6B7A"/>
    <w:rsid w:val="5C58551F"/>
    <w:rsid w:val="5C5930BB"/>
    <w:rsid w:val="5C5D0276"/>
    <w:rsid w:val="5C5D3B6B"/>
    <w:rsid w:val="5C65711F"/>
    <w:rsid w:val="5C6739B4"/>
    <w:rsid w:val="5C696E74"/>
    <w:rsid w:val="5C6A7000"/>
    <w:rsid w:val="5C6E0BD2"/>
    <w:rsid w:val="5C6E5BEF"/>
    <w:rsid w:val="5C6E6AF1"/>
    <w:rsid w:val="5C702869"/>
    <w:rsid w:val="5C730E0D"/>
    <w:rsid w:val="5C7834CB"/>
    <w:rsid w:val="5C7A36E7"/>
    <w:rsid w:val="5C7D6D34"/>
    <w:rsid w:val="5C841E70"/>
    <w:rsid w:val="5C89392A"/>
    <w:rsid w:val="5C8956D8"/>
    <w:rsid w:val="5C9A1694"/>
    <w:rsid w:val="5C9D42AD"/>
    <w:rsid w:val="5CA66E29"/>
    <w:rsid w:val="5CA70254"/>
    <w:rsid w:val="5CAF2C65"/>
    <w:rsid w:val="5CB015DB"/>
    <w:rsid w:val="5CB021FB"/>
    <w:rsid w:val="5CB62246"/>
    <w:rsid w:val="5CB87D6C"/>
    <w:rsid w:val="5CBC60F5"/>
    <w:rsid w:val="5CC06027"/>
    <w:rsid w:val="5CD01559"/>
    <w:rsid w:val="5CD10E2D"/>
    <w:rsid w:val="5CD375BA"/>
    <w:rsid w:val="5CEB6393"/>
    <w:rsid w:val="5CED76AF"/>
    <w:rsid w:val="5CEE19DF"/>
    <w:rsid w:val="5CEE378D"/>
    <w:rsid w:val="5CF039A9"/>
    <w:rsid w:val="5CF173CB"/>
    <w:rsid w:val="5CF4687F"/>
    <w:rsid w:val="5CF51716"/>
    <w:rsid w:val="5CF80AB0"/>
    <w:rsid w:val="5D0134C1"/>
    <w:rsid w:val="5D0336DD"/>
    <w:rsid w:val="5D034364"/>
    <w:rsid w:val="5D0B1BED"/>
    <w:rsid w:val="5D1859F9"/>
    <w:rsid w:val="5D1A4582"/>
    <w:rsid w:val="5D1C2B72"/>
    <w:rsid w:val="5D1C479E"/>
    <w:rsid w:val="5D23703E"/>
    <w:rsid w:val="5D342320"/>
    <w:rsid w:val="5D3513BC"/>
    <w:rsid w:val="5D37598E"/>
    <w:rsid w:val="5D3C49D9"/>
    <w:rsid w:val="5D443CF5"/>
    <w:rsid w:val="5D447851"/>
    <w:rsid w:val="5D4B6E32"/>
    <w:rsid w:val="5D600B2F"/>
    <w:rsid w:val="5D6121B1"/>
    <w:rsid w:val="5D645DC6"/>
    <w:rsid w:val="5D680A7D"/>
    <w:rsid w:val="5D6C4425"/>
    <w:rsid w:val="5D6E0CD9"/>
    <w:rsid w:val="5D722610"/>
    <w:rsid w:val="5D7734CC"/>
    <w:rsid w:val="5D775E79"/>
    <w:rsid w:val="5D790AD7"/>
    <w:rsid w:val="5D804D2D"/>
    <w:rsid w:val="5D812854"/>
    <w:rsid w:val="5D83037A"/>
    <w:rsid w:val="5D84392E"/>
    <w:rsid w:val="5D8440F2"/>
    <w:rsid w:val="5D891708"/>
    <w:rsid w:val="5D8C2B4C"/>
    <w:rsid w:val="5D8D11F8"/>
    <w:rsid w:val="5D944335"/>
    <w:rsid w:val="5D9702C9"/>
    <w:rsid w:val="5DA9751B"/>
    <w:rsid w:val="5DAF1585"/>
    <w:rsid w:val="5DB42C29"/>
    <w:rsid w:val="5DB669A1"/>
    <w:rsid w:val="5DBB5A68"/>
    <w:rsid w:val="5DBB5D65"/>
    <w:rsid w:val="5DC07E6F"/>
    <w:rsid w:val="5DC11C51"/>
    <w:rsid w:val="5DC170F4"/>
    <w:rsid w:val="5DC50992"/>
    <w:rsid w:val="5DC56BE4"/>
    <w:rsid w:val="5DC818E3"/>
    <w:rsid w:val="5DC82230"/>
    <w:rsid w:val="5DC866D4"/>
    <w:rsid w:val="5DCA41FA"/>
    <w:rsid w:val="5DCD5A99"/>
    <w:rsid w:val="5DCF1811"/>
    <w:rsid w:val="5DD15771"/>
    <w:rsid w:val="5DDC3F2E"/>
    <w:rsid w:val="5DDD759A"/>
    <w:rsid w:val="5DE352BC"/>
    <w:rsid w:val="5DEC4171"/>
    <w:rsid w:val="5DF01268"/>
    <w:rsid w:val="5DF15728"/>
    <w:rsid w:val="5DF823D9"/>
    <w:rsid w:val="5DFB7343"/>
    <w:rsid w:val="5DFC5C02"/>
    <w:rsid w:val="5DFD1054"/>
    <w:rsid w:val="5E0105E4"/>
    <w:rsid w:val="5E0169F9"/>
    <w:rsid w:val="5E086AD1"/>
    <w:rsid w:val="5E0A5621"/>
    <w:rsid w:val="5E0D2339"/>
    <w:rsid w:val="5E115985"/>
    <w:rsid w:val="5E147DF5"/>
    <w:rsid w:val="5E1611EE"/>
    <w:rsid w:val="5E162F9C"/>
    <w:rsid w:val="5E1D53F3"/>
    <w:rsid w:val="5E224037"/>
    <w:rsid w:val="5E2B736D"/>
    <w:rsid w:val="5E2C27BF"/>
    <w:rsid w:val="5E2F0501"/>
    <w:rsid w:val="5E39312E"/>
    <w:rsid w:val="5E3D1B18"/>
    <w:rsid w:val="5E452D61"/>
    <w:rsid w:val="5E4633AF"/>
    <w:rsid w:val="5E472D79"/>
    <w:rsid w:val="5E47584B"/>
    <w:rsid w:val="5E4C4C10"/>
    <w:rsid w:val="5E4E6BDA"/>
    <w:rsid w:val="5E5220DE"/>
    <w:rsid w:val="5E5341F0"/>
    <w:rsid w:val="5E5419EA"/>
    <w:rsid w:val="5E56783C"/>
    <w:rsid w:val="5E59557E"/>
    <w:rsid w:val="5E5B30A5"/>
    <w:rsid w:val="5E5D0BCB"/>
    <w:rsid w:val="5E5D506F"/>
    <w:rsid w:val="5E6071EA"/>
    <w:rsid w:val="5E613920"/>
    <w:rsid w:val="5E622685"/>
    <w:rsid w:val="5E6B5B73"/>
    <w:rsid w:val="5E6D7555"/>
    <w:rsid w:val="5E6F40D7"/>
    <w:rsid w:val="5E714676"/>
    <w:rsid w:val="5E721390"/>
    <w:rsid w:val="5E72408D"/>
    <w:rsid w:val="5E761F1B"/>
    <w:rsid w:val="5E7B3747"/>
    <w:rsid w:val="5E7D74BF"/>
    <w:rsid w:val="5E7E2E48"/>
    <w:rsid w:val="5E8C7702"/>
    <w:rsid w:val="5E8E347A"/>
    <w:rsid w:val="5E8E714E"/>
    <w:rsid w:val="5E8F3DCD"/>
    <w:rsid w:val="5E9F11E3"/>
    <w:rsid w:val="5EA06D09"/>
    <w:rsid w:val="5EA30636"/>
    <w:rsid w:val="5EA95E17"/>
    <w:rsid w:val="5EAA6DDD"/>
    <w:rsid w:val="5EAC56AE"/>
    <w:rsid w:val="5EAE7678"/>
    <w:rsid w:val="5EB97DCB"/>
    <w:rsid w:val="5EC7073A"/>
    <w:rsid w:val="5EC836C0"/>
    <w:rsid w:val="5ECB5FF5"/>
    <w:rsid w:val="5ECB647C"/>
    <w:rsid w:val="5ECF0AE7"/>
    <w:rsid w:val="5ED15115"/>
    <w:rsid w:val="5ED35331"/>
    <w:rsid w:val="5ED56A95"/>
    <w:rsid w:val="5EE237C6"/>
    <w:rsid w:val="5EE627D4"/>
    <w:rsid w:val="5EE6622C"/>
    <w:rsid w:val="5EE975A9"/>
    <w:rsid w:val="5EFB1345"/>
    <w:rsid w:val="5F0059FA"/>
    <w:rsid w:val="5F02037C"/>
    <w:rsid w:val="5F031561"/>
    <w:rsid w:val="5F0A1214"/>
    <w:rsid w:val="5F0A3E4D"/>
    <w:rsid w:val="5F0C6D6B"/>
    <w:rsid w:val="5F0E0117"/>
    <w:rsid w:val="5F16521D"/>
    <w:rsid w:val="5F196D9D"/>
    <w:rsid w:val="5F1C6CD8"/>
    <w:rsid w:val="5F2003BF"/>
    <w:rsid w:val="5F221E14"/>
    <w:rsid w:val="5F2636B2"/>
    <w:rsid w:val="5F28567D"/>
    <w:rsid w:val="5F2A6C45"/>
    <w:rsid w:val="5F446614"/>
    <w:rsid w:val="5F457D51"/>
    <w:rsid w:val="5F4678B1"/>
    <w:rsid w:val="5F477DE1"/>
    <w:rsid w:val="5F4821DF"/>
    <w:rsid w:val="5F49114F"/>
    <w:rsid w:val="5F4B7B56"/>
    <w:rsid w:val="5F510C68"/>
    <w:rsid w:val="5F5226F9"/>
    <w:rsid w:val="5F555D46"/>
    <w:rsid w:val="5F570514"/>
    <w:rsid w:val="5F57386C"/>
    <w:rsid w:val="5F577D10"/>
    <w:rsid w:val="5F594BAA"/>
    <w:rsid w:val="5F5E109E"/>
    <w:rsid w:val="5F5F7320"/>
    <w:rsid w:val="5F604FDB"/>
    <w:rsid w:val="5F630463"/>
    <w:rsid w:val="5F670A5B"/>
    <w:rsid w:val="5F6B043D"/>
    <w:rsid w:val="5F6B7317"/>
    <w:rsid w:val="5F6D12E1"/>
    <w:rsid w:val="5F6D398F"/>
    <w:rsid w:val="5F6F24C5"/>
    <w:rsid w:val="5F7A755A"/>
    <w:rsid w:val="5F881C77"/>
    <w:rsid w:val="5F8A1E93"/>
    <w:rsid w:val="5F8B5C0B"/>
    <w:rsid w:val="5F8E0463"/>
    <w:rsid w:val="5F906D7E"/>
    <w:rsid w:val="5F9920D6"/>
    <w:rsid w:val="5F9C3975"/>
    <w:rsid w:val="5F9C5723"/>
    <w:rsid w:val="5FA10F8B"/>
    <w:rsid w:val="5FAA42E4"/>
    <w:rsid w:val="5FAC70AD"/>
    <w:rsid w:val="5FAE5456"/>
    <w:rsid w:val="5FAF0602"/>
    <w:rsid w:val="5FB031CA"/>
    <w:rsid w:val="5FB80FC9"/>
    <w:rsid w:val="5FB92779"/>
    <w:rsid w:val="5FBB14C9"/>
    <w:rsid w:val="5FCF3FEF"/>
    <w:rsid w:val="5FD2383A"/>
    <w:rsid w:val="5FD90725"/>
    <w:rsid w:val="5FDA624B"/>
    <w:rsid w:val="5FDF485F"/>
    <w:rsid w:val="5FE13A7D"/>
    <w:rsid w:val="5FEB4543"/>
    <w:rsid w:val="5FED0A26"/>
    <w:rsid w:val="5FF11F12"/>
    <w:rsid w:val="5FF53085"/>
    <w:rsid w:val="5FF6016C"/>
    <w:rsid w:val="5FF90DC7"/>
    <w:rsid w:val="5FFA441C"/>
    <w:rsid w:val="5FFC665E"/>
    <w:rsid w:val="60011A2A"/>
    <w:rsid w:val="600A7EB0"/>
    <w:rsid w:val="600C0AFA"/>
    <w:rsid w:val="60101380"/>
    <w:rsid w:val="601479AF"/>
    <w:rsid w:val="601530C7"/>
    <w:rsid w:val="601633A3"/>
    <w:rsid w:val="601D5BCF"/>
    <w:rsid w:val="6022294C"/>
    <w:rsid w:val="60254689"/>
    <w:rsid w:val="60261D3F"/>
    <w:rsid w:val="60275934"/>
    <w:rsid w:val="60291996"/>
    <w:rsid w:val="602A71D2"/>
    <w:rsid w:val="602D6CC3"/>
    <w:rsid w:val="602F3F48"/>
    <w:rsid w:val="60343BAD"/>
    <w:rsid w:val="6037393A"/>
    <w:rsid w:val="603B13E0"/>
    <w:rsid w:val="604A63EF"/>
    <w:rsid w:val="604D2EC1"/>
    <w:rsid w:val="6051650D"/>
    <w:rsid w:val="60561D75"/>
    <w:rsid w:val="605F50F7"/>
    <w:rsid w:val="605F7185"/>
    <w:rsid w:val="60636240"/>
    <w:rsid w:val="6065020A"/>
    <w:rsid w:val="606918D0"/>
    <w:rsid w:val="606A75CF"/>
    <w:rsid w:val="606C33B1"/>
    <w:rsid w:val="606D13C6"/>
    <w:rsid w:val="607060DD"/>
    <w:rsid w:val="607114D0"/>
    <w:rsid w:val="6079215B"/>
    <w:rsid w:val="607B17DC"/>
    <w:rsid w:val="60806DF2"/>
    <w:rsid w:val="608210E3"/>
    <w:rsid w:val="608233BF"/>
    <w:rsid w:val="60870181"/>
    <w:rsid w:val="608A1A1F"/>
    <w:rsid w:val="608C1C3B"/>
    <w:rsid w:val="60932FCA"/>
    <w:rsid w:val="609472DB"/>
    <w:rsid w:val="60964868"/>
    <w:rsid w:val="609805E0"/>
    <w:rsid w:val="6098413C"/>
    <w:rsid w:val="60A531C2"/>
    <w:rsid w:val="60A56859"/>
    <w:rsid w:val="60A621C2"/>
    <w:rsid w:val="60AA0313"/>
    <w:rsid w:val="60AB59F5"/>
    <w:rsid w:val="60AC5E39"/>
    <w:rsid w:val="60AC7BE7"/>
    <w:rsid w:val="60B01B43"/>
    <w:rsid w:val="60B31A06"/>
    <w:rsid w:val="60B472BC"/>
    <w:rsid w:val="60B636C1"/>
    <w:rsid w:val="60B71EF9"/>
    <w:rsid w:val="60B8658C"/>
    <w:rsid w:val="60BB2E4E"/>
    <w:rsid w:val="60C51BF1"/>
    <w:rsid w:val="60C763B3"/>
    <w:rsid w:val="60D86C2E"/>
    <w:rsid w:val="60E05AE3"/>
    <w:rsid w:val="60E16518"/>
    <w:rsid w:val="60E23609"/>
    <w:rsid w:val="60EC6654"/>
    <w:rsid w:val="60EF62BC"/>
    <w:rsid w:val="61021EFD"/>
    <w:rsid w:val="61024E44"/>
    <w:rsid w:val="61076BE5"/>
    <w:rsid w:val="61096DE8"/>
    <w:rsid w:val="610E43FE"/>
    <w:rsid w:val="610F1EF8"/>
    <w:rsid w:val="61103F09"/>
    <w:rsid w:val="611256A8"/>
    <w:rsid w:val="61151C31"/>
    <w:rsid w:val="611B4D6D"/>
    <w:rsid w:val="611D27B3"/>
    <w:rsid w:val="611F2AAF"/>
    <w:rsid w:val="61204131"/>
    <w:rsid w:val="61250763"/>
    <w:rsid w:val="6126799A"/>
    <w:rsid w:val="612754C0"/>
    <w:rsid w:val="612B4FB0"/>
    <w:rsid w:val="612C6F7A"/>
    <w:rsid w:val="613104DA"/>
    <w:rsid w:val="61355E2F"/>
    <w:rsid w:val="61371BA7"/>
    <w:rsid w:val="613B4FD5"/>
    <w:rsid w:val="613E5097"/>
    <w:rsid w:val="61427FED"/>
    <w:rsid w:val="61463634"/>
    <w:rsid w:val="614E5143"/>
    <w:rsid w:val="61504224"/>
    <w:rsid w:val="61504A17"/>
    <w:rsid w:val="615526DF"/>
    <w:rsid w:val="615C0572"/>
    <w:rsid w:val="615C785F"/>
    <w:rsid w:val="615E35D8"/>
    <w:rsid w:val="616B35FF"/>
    <w:rsid w:val="616B65FC"/>
    <w:rsid w:val="6170330B"/>
    <w:rsid w:val="61720E31"/>
    <w:rsid w:val="617811FA"/>
    <w:rsid w:val="617E7791"/>
    <w:rsid w:val="617E77D6"/>
    <w:rsid w:val="618162DA"/>
    <w:rsid w:val="61872E3A"/>
    <w:rsid w:val="61877599"/>
    <w:rsid w:val="61881C02"/>
    <w:rsid w:val="618C17C7"/>
    <w:rsid w:val="618D5C6B"/>
    <w:rsid w:val="61914040"/>
    <w:rsid w:val="619863BE"/>
    <w:rsid w:val="619C17A4"/>
    <w:rsid w:val="61A11716"/>
    <w:rsid w:val="61A4070A"/>
    <w:rsid w:val="61A555E7"/>
    <w:rsid w:val="61A92379"/>
    <w:rsid w:val="61A93AD4"/>
    <w:rsid w:val="61AA0AEF"/>
    <w:rsid w:val="61B33ECC"/>
    <w:rsid w:val="61B84CA1"/>
    <w:rsid w:val="61BD221B"/>
    <w:rsid w:val="61C02E50"/>
    <w:rsid w:val="61C3343B"/>
    <w:rsid w:val="61C6117D"/>
    <w:rsid w:val="61C827FF"/>
    <w:rsid w:val="61D5316E"/>
    <w:rsid w:val="61D76EE6"/>
    <w:rsid w:val="61D90EB0"/>
    <w:rsid w:val="61DE2C95"/>
    <w:rsid w:val="61DE64C6"/>
    <w:rsid w:val="61E74E3F"/>
    <w:rsid w:val="61E909C7"/>
    <w:rsid w:val="61EA6C19"/>
    <w:rsid w:val="61EB0BE3"/>
    <w:rsid w:val="61ED12FA"/>
    <w:rsid w:val="61F249AE"/>
    <w:rsid w:val="61F71336"/>
    <w:rsid w:val="61F77588"/>
    <w:rsid w:val="61FB0E26"/>
    <w:rsid w:val="61FC1A44"/>
    <w:rsid w:val="61FD714E"/>
    <w:rsid w:val="61FE4473"/>
    <w:rsid w:val="61FE635C"/>
    <w:rsid w:val="62022DBF"/>
    <w:rsid w:val="62053A53"/>
    <w:rsid w:val="6208709F"/>
    <w:rsid w:val="62092E18"/>
    <w:rsid w:val="62097391"/>
    <w:rsid w:val="620E3C1E"/>
    <w:rsid w:val="620F042E"/>
    <w:rsid w:val="62126170"/>
    <w:rsid w:val="62143C96"/>
    <w:rsid w:val="6218367B"/>
    <w:rsid w:val="621912AD"/>
    <w:rsid w:val="621D245F"/>
    <w:rsid w:val="62265778"/>
    <w:rsid w:val="622933F6"/>
    <w:rsid w:val="6229697B"/>
    <w:rsid w:val="623325FE"/>
    <w:rsid w:val="62343A8E"/>
    <w:rsid w:val="62350B41"/>
    <w:rsid w:val="62361E5F"/>
    <w:rsid w:val="623954AB"/>
    <w:rsid w:val="623C143F"/>
    <w:rsid w:val="62465E1A"/>
    <w:rsid w:val="625041CD"/>
    <w:rsid w:val="625422E5"/>
    <w:rsid w:val="625642AF"/>
    <w:rsid w:val="625E7EFD"/>
    <w:rsid w:val="626559E9"/>
    <w:rsid w:val="62697E18"/>
    <w:rsid w:val="626D15F8"/>
    <w:rsid w:val="62764CD1"/>
    <w:rsid w:val="627666FF"/>
    <w:rsid w:val="62791D4B"/>
    <w:rsid w:val="627D5CDF"/>
    <w:rsid w:val="628D57F7"/>
    <w:rsid w:val="628E1C9B"/>
    <w:rsid w:val="6291178B"/>
    <w:rsid w:val="629149FC"/>
    <w:rsid w:val="62970423"/>
    <w:rsid w:val="629D3C8C"/>
    <w:rsid w:val="62A80882"/>
    <w:rsid w:val="62AF0C48"/>
    <w:rsid w:val="62B2572A"/>
    <w:rsid w:val="62B62F9F"/>
    <w:rsid w:val="62B76D39"/>
    <w:rsid w:val="62B80B47"/>
    <w:rsid w:val="62B86D17"/>
    <w:rsid w:val="62C25536"/>
    <w:rsid w:val="62C3746A"/>
    <w:rsid w:val="62C51434"/>
    <w:rsid w:val="62C946C9"/>
    <w:rsid w:val="62C9714A"/>
    <w:rsid w:val="62CA25A7"/>
    <w:rsid w:val="62CC27C3"/>
    <w:rsid w:val="62CF2FBC"/>
    <w:rsid w:val="62D51161"/>
    <w:rsid w:val="62D51FDC"/>
    <w:rsid w:val="62D81168"/>
    <w:rsid w:val="62D81BBA"/>
    <w:rsid w:val="62D84CC4"/>
    <w:rsid w:val="62DA301A"/>
    <w:rsid w:val="62DA4EE0"/>
    <w:rsid w:val="62DA6460"/>
    <w:rsid w:val="62DE0626"/>
    <w:rsid w:val="62DF49A5"/>
    <w:rsid w:val="62F00BE4"/>
    <w:rsid w:val="62F022F5"/>
    <w:rsid w:val="62F277E6"/>
    <w:rsid w:val="62F66167"/>
    <w:rsid w:val="62F835B8"/>
    <w:rsid w:val="62FE04A2"/>
    <w:rsid w:val="630755A9"/>
    <w:rsid w:val="630930CF"/>
    <w:rsid w:val="63125818"/>
    <w:rsid w:val="63147CC6"/>
    <w:rsid w:val="63177590"/>
    <w:rsid w:val="631B72A6"/>
    <w:rsid w:val="632223E3"/>
    <w:rsid w:val="63251ED3"/>
    <w:rsid w:val="63260125"/>
    <w:rsid w:val="632779F9"/>
    <w:rsid w:val="632A741F"/>
    <w:rsid w:val="632D2297"/>
    <w:rsid w:val="632E7C88"/>
    <w:rsid w:val="633220A8"/>
    <w:rsid w:val="633321C7"/>
    <w:rsid w:val="633D0FCB"/>
    <w:rsid w:val="633E43E9"/>
    <w:rsid w:val="63426E07"/>
    <w:rsid w:val="63542243"/>
    <w:rsid w:val="635527B8"/>
    <w:rsid w:val="6356208C"/>
    <w:rsid w:val="635736CC"/>
    <w:rsid w:val="635C3B47"/>
    <w:rsid w:val="63604CB9"/>
    <w:rsid w:val="636671CA"/>
    <w:rsid w:val="636D11AD"/>
    <w:rsid w:val="6372336A"/>
    <w:rsid w:val="637569B7"/>
    <w:rsid w:val="637644DD"/>
    <w:rsid w:val="637B1AF3"/>
    <w:rsid w:val="637C2B6A"/>
    <w:rsid w:val="637C31BE"/>
    <w:rsid w:val="637D1D0F"/>
    <w:rsid w:val="637F3391"/>
    <w:rsid w:val="63802FCE"/>
    <w:rsid w:val="63813C72"/>
    <w:rsid w:val="638304BF"/>
    <w:rsid w:val="638766EA"/>
    <w:rsid w:val="63894210"/>
    <w:rsid w:val="6390490C"/>
    <w:rsid w:val="63955ED3"/>
    <w:rsid w:val="639F3A33"/>
    <w:rsid w:val="63B219B9"/>
    <w:rsid w:val="63B75221"/>
    <w:rsid w:val="63B8083F"/>
    <w:rsid w:val="63B84AF5"/>
    <w:rsid w:val="63BA086D"/>
    <w:rsid w:val="63BC45E5"/>
    <w:rsid w:val="63C30268"/>
    <w:rsid w:val="63C65464"/>
    <w:rsid w:val="63C96D02"/>
    <w:rsid w:val="63CC4651"/>
    <w:rsid w:val="63D23E09"/>
    <w:rsid w:val="63D3192F"/>
    <w:rsid w:val="63D35447"/>
    <w:rsid w:val="63DD0B1A"/>
    <w:rsid w:val="63DF6526"/>
    <w:rsid w:val="63E31B72"/>
    <w:rsid w:val="63E94CAF"/>
    <w:rsid w:val="63E95936"/>
    <w:rsid w:val="63F006F8"/>
    <w:rsid w:val="63F41DF6"/>
    <w:rsid w:val="63F43164"/>
    <w:rsid w:val="64037466"/>
    <w:rsid w:val="64066480"/>
    <w:rsid w:val="64153CF6"/>
    <w:rsid w:val="64195594"/>
    <w:rsid w:val="641B5F97"/>
    <w:rsid w:val="642709DA"/>
    <w:rsid w:val="642A0B92"/>
    <w:rsid w:val="64300B2F"/>
    <w:rsid w:val="643A375C"/>
    <w:rsid w:val="643A7875"/>
    <w:rsid w:val="643C5617"/>
    <w:rsid w:val="644545DB"/>
    <w:rsid w:val="644F3869"/>
    <w:rsid w:val="64500184"/>
    <w:rsid w:val="64520AA6"/>
    <w:rsid w:val="64547F03"/>
    <w:rsid w:val="645F087C"/>
    <w:rsid w:val="64602371"/>
    <w:rsid w:val="64656A2B"/>
    <w:rsid w:val="64671727"/>
    <w:rsid w:val="646C600B"/>
    <w:rsid w:val="64721148"/>
    <w:rsid w:val="647548B5"/>
    <w:rsid w:val="647A4AC8"/>
    <w:rsid w:val="647B56A8"/>
    <w:rsid w:val="647B624F"/>
    <w:rsid w:val="647D2AA5"/>
    <w:rsid w:val="647F336D"/>
    <w:rsid w:val="6481138B"/>
    <w:rsid w:val="64813139"/>
    <w:rsid w:val="649015CE"/>
    <w:rsid w:val="64935200"/>
    <w:rsid w:val="64971E0A"/>
    <w:rsid w:val="649B41FB"/>
    <w:rsid w:val="64A0018D"/>
    <w:rsid w:val="64A439AF"/>
    <w:rsid w:val="64B50076"/>
    <w:rsid w:val="64B6783E"/>
    <w:rsid w:val="64B90B25"/>
    <w:rsid w:val="64BF421D"/>
    <w:rsid w:val="64C33752"/>
    <w:rsid w:val="64C92069"/>
    <w:rsid w:val="64CA00D8"/>
    <w:rsid w:val="64D36B3A"/>
    <w:rsid w:val="64D678D3"/>
    <w:rsid w:val="64D83EA9"/>
    <w:rsid w:val="64DB4F3F"/>
    <w:rsid w:val="64DC75AE"/>
    <w:rsid w:val="64DD0CB7"/>
    <w:rsid w:val="64E33DF4"/>
    <w:rsid w:val="64E738E4"/>
    <w:rsid w:val="64EC2CA8"/>
    <w:rsid w:val="64F14763"/>
    <w:rsid w:val="64F63B27"/>
    <w:rsid w:val="64FB189E"/>
    <w:rsid w:val="64FC4F2D"/>
    <w:rsid w:val="64FF0C2E"/>
    <w:rsid w:val="65033C7C"/>
    <w:rsid w:val="65075D34"/>
    <w:rsid w:val="6510147D"/>
    <w:rsid w:val="651017FB"/>
    <w:rsid w:val="65130235"/>
    <w:rsid w:val="65197815"/>
    <w:rsid w:val="651B358E"/>
    <w:rsid w:val="6526277C"/>
    <w:rsid w:val="65275558"/>
    <w:rsid w:val="65287D28"/>
    <w:rsid w:val="652C579B"/>
    <w:rsid w:val="652F2B95"/>
    <w:rsid w:val="65313307"/>
    <w:rsid w:val="653E102A"/>
    <w:rsid w:val="6545060B"/>
    <w:rsid w:val="65457DE3"/>
    <w:rsid w:val="6546685C"/>
    <w:rsid w:val="65515201"/>
    <w:rsid w:val="655553D6"/>
    <w:rsid w:val="655A1605"/>
    <w:rsid w:val="655D3BA6"/>
    <w:rsid w:val="6560706A"/>
    <w:rsid w:val="6562079B"/>
    <w:rsid w:val="65624D19"/>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698C"/>
    <w:rsid w:val="65A45331"/>
    <w:rsid w:val="65A672FB"/>
    <w:rsid w:val="65A76BCF"/>
    <w:rsid w:val="65A83F96"/>
    <w:rsid w:val="65AB66C0"/>
    <w:rsid w:val="65AF6DA2"/>
    <w:rsid w:val="65B116C2"/>
    <w:rsid w:val="65B47423"/>
    <w:rsid w:val="65B85280"/>
    <w:rsid w:val="65BA6903"/>
    <w:rsid w:val="65BC6B1F"/>
    <w:rsid w:val="65C37EAD"/>
    <w:rsid w:val="65C43C25"/>
    <w:rsid w:val="65C9123C"/>
    <w:rsid w:val="65CD1D2A"/>
    <w:rsid w:val="65CF5077"/>
    <w:rsid w:val="65D200F0"/>
    <w:rsid w:val="65D5198E"/>
    <w:rsid w:val="65D57BE0"/>
    <w:rsid w:val="65D976D1"/>
    <w:rsid w:val="65DC2D1D"/>
    <w:rsid w:val="65DC4A6D"/>
    <w:rsid w:val="65F00576"/>
    <w:rsid w:val="65F71905"/>
    <w:rsid w:val="65F77B57"/>
    <w:rsid w:val="65F8742B"/>
    <w:rsid w:val="65FC516D"/>
    <w:rsid w:val="65FF155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1369A"/>
    <w:rsid w:val="662326FA"/>
    <w:rsid w:val="6624363C"/>
    <w:rsid w:val="66246472"/>
    <w:rsid w:val="662514FE"/>
    <w:rsid w:val="66287D10"/>
    <w:rsid w:val="66293A88"/>
    <w:rsid w:val="662B0738"/>
    <w:rsid w:val="662B2E29"/>
    <w:rsid w:val="662D3A2A"/>
    <w:rsid w:val="662F646C"/>
    <w:rsid w:val="66300E23"/>
    <w:rsid w:val="6635026F"/>
    <w:rsid w:val="663568D1"/>
    <w:rsid w:val="6639016F"/>
    <w:rsid w:val="663E65EC"/>
    <w:rsid w:val="66413ADD"/>
    <w:rsid w:val="664D7777"/>
    <w:rsid w:val="664F349C"/>
    <w:rsid w:val="66524D8D"/>
    <w:rsid w:val="66535EF2"/>
    <w:rsid w:val="66551508"/>
    <w:rsid w:val="6655487D"/>
    <w:rsid w:val="66574AF4"/>
    <w:rsid w:val="665A18DD"/>
    <w:rsid w:val="666128F2"/>
    <w:rsid w:val="66630D48"/>
    <w:rsid w:val="6664518E"/>
    <w:rsid w:val="666920D7"/>
    <w:rsid w:val="666B22F3"/>
    <w:rsid w:val="666D1BC7"/>
    <w:rsid w:val="66742F55"/>
    <w:rsid w:val="66763171"/>
    <w:rsid w:val="667A1D40"/>
    <w:rsid w:val="667B0788"/>
    <w:rsid w:val="667F52E6"/>
    <w:rsid w:val="66860EDB"/>
    <w:rsid w:val="66887883"/>
    <w:rsid w:val="668A2779"/>
    <w:rsid w:val="668D2269"/>
    <w:rsid w:val="668F4233"/>
    <w:rsid w:val="669C06FE"/>
    <w:rsid w:val="669C425A"/>
    <w:rsid w:val="66AB0941"/>
    <w:rsid w:val="66AD290B"/>
    <w:rsid w:val="66AE7F8C"/>
    <w:rsid w:val="66B22249"/>
    <w:rsid w:val="66B26720"/>
    <w:rsid w:val="66B315D7"/>
    <w:rsid w:val="66B958A1"/>
    <w:rsid w:val="66BC0B99"/>
    <w:rsid w:val="66C10C37"/>
    <w:rsid w:val="66C11F13"/>
    <w:rsid w:val="66C173B3"/>
    <w:rsid w:val="66D25ECE"/>
    <w:rsid w:val="66D44878"/>
    <w:rsid w:val="66D875E5"/>
    <w:rsid w:val="66DC49E0"/>
    <w:rsid w:val="66DF3359"/>
    <w:rsid w:val="66E16111"/>
    <w:rsid w:val="66E31994"/>
    <w:rsid w:val="66E31E89"/>
    <w:rsid w:val="66E55A46"/>
    <w:rsid w:val="66E77BCB"/>
    <w:rsid w:val="66E84077"/>
    <w:rsid w:val="66EF082E"/>
    <w:rsid w:val="66F76737"/>
    <w:rsid w:val="66F81DD8"/>
    <w:rsid w:val="66FF0F75"/>
    <w:rsid w:val="67025518"/>
    <w:rsid w:val="670378F6"/>
    <w:rsid w:val="67050051"/>
    <w:rsid w:val="670D6F06"/>
    <w:rsid w:val="670E33AA"/>
    <w:rsid w:val="671000BB"/>
    <w:rsid w:val="67115D74"/>
    <w:rsid w:val="67157E68"/>
    <w:rsid w:val="67191D4F"/>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E6DCA"/>
    <w:rsid w:val="675130E9"/>
    <w:rsid w:val="675B2367"/>
    <w:rsid w:val="675C418F"/>
    <w:rsid w:val="67654F94"/>
    <w:rsid w:val="67674868"/>
    <w:rsid w:val="676905E0"/>
    <w:rsid w:val="676953BD"/>
    <w:rsid w:val="676F5D1D"/>
    <w:rsid w:val="676F6A57"/>
    <w:rsid w:val="677156E7"/>
    <w:rsid w:val="6785559A"/>
    <w:rsid w:val="67926549"/>
    <w:rsid w:val="67963BF2"/>
    <w:rsid w:val="67A55390"/>
    <w:rsid w:val="67A862E1"/>
    <w:rsid w:val="67AB0BF9"/>
    <w:rsid w:val="67AC2BC3"/>
    <w:rsid w:val="67AF6668"/>
    <w:rsid w:val="67B37E70"/>
    <w:rsid w:val="67BB5FF3"/>
    <w:rsid w:val="67BC1058"/>
    <w:rsid w:val="67C1666E"/>
    <w:rsid w:val="67C77C3C"/>
    <w:rsid w:val="67C95523"/>
    <w:rsid w:val="67CA646D"/>
    <w:rsid w:val="67CB129B"/>
    <w:rsid w:val="67CB2FB9"/>
    <w:rsid w:val="67CC6DC1"/>
    <w:rsid w:val="67CF6FEC"/>
    <w:rsid w:val="67D87514"/>
    <w:rsid w:val="67DA758D"/>
    <w:rsid w:val="67DD2D7C"/>
    <w:rsid w:val="67DE063C"/>
    <w:rsid w:val="67DF6AF4"/>
    <w:rsid w:val="67E1286C"/>
    <w:rsid w:val="67E61677"/>
    <w:rsid w:val="67E61C31"/>
    <w:rsid w:val="67E8319D"/>
    <w:rsid w:val="67EC1211"/>
    <w:rsid w:val="67EC2CD6"/>
    <w:rsid w:val="67ED7463"/>
    <w:rsid w:val="67F325A0"/>
    <w:rsid w:val="67F37E61"/>
    <w:rsid w:val="67F46030"/>
    <w:rsid w:val="67F51E74"/>
    <w:rsid w:val="67FC1454"/>
    <w:rsid w:val="67FC3283"/>
    <w:rsid w:val="68086659"/>
    <w:rsid w:val="68102598"/>
    <w:rsid w:val="68126ECA"/>
    <w:rsid w:val="6814385F"/>
    <w:rsid w:val="68181876"/>
    <w:rsid w:val="6818677F"/>
    <w:rsid w:val="681A7B2C"/>
    <w:rsid w:val="68246BFD"/>
    <w:rsid w:val="68281FD9"/>
    <w:rsid w:val="682D7860"/>
    <w:rsid w:val="682E5386"/>
    <w:rsid w:val="683D1E50"/>
    <w:rsid w:val="683E2B5B"/>
    <w:rsid w:val="68456BA0"/>
    <w:rsid w:val="684828EC"/>
    <w:rsid w:val="685272C6"/>
    <w:rsid w:val="68555008"/>
    <w:rsid w:val="685B53D9"/>
    <w:rsid w:val="68642A92"/>
    <w:rsid w:val="68660FC4"/>
    <w:rsid w:val="68692862"/>
    <w:rsid w:val="68701E42"/>
    <w:rsid w:val="687116BB"/>
    <w:rsid w:val="68717D20"/>
    <w:rsid w:val="6873755D"/>
    <w:rsid w:val="687410CD"/>
    <w:rsid w:val="68772311"/>
    <w:rsid w:val="687D72E3"/>
    <w:rsid w:val="688651C2"/>
    <w:rsid w:val="68896A60"/>
    <w:rsid w:val="68921DB9"/>
    <w:rsid w:val="6895013B"/>
    <w:rsid w:val="689A5CE6"/>
    <w:rsid w:val="689B046A"/>
    <w:rsid w:val="689B6EBF"/>
    <w:rsid w:val="68A044D6"/>
    <w:rsid w:val="68A90D75"/>
    <w:rsid w:val="68AF296B"/>
    <w:rsid w:val="68B914D8"/>
    <w:rsid w:val="68BA4E6C"/>
    <w:rsid w:val="68BC0BE4"/>
    <w:rsid w:val="68BE495C"/>
    <w:rsid w:val="68C146F5"/>
    <w:rsid w:val="68C87588"/>
    <w:rsid w:val="68CA3301"/>
    <w:rsid w:val="68CB0E27"/>
    <w:rsid w:val="68D0643D"/>
    <w:rsid w:val="68D43089"/>
    <w:rsid w:val="68D73C6F"/>
    <w:rsid w:val="68D83BF1"/>
    <w:rsid w:val="68E5638C"/>
    <w:rsid w:val="68F4037D"/>
    <w:rsid w:val="68F44821"/>
    <w:rsid w:val="68F62348"/>
    <w:rsid w:val="68F71C1C"/>
    <w:rsid w:val="68F949C9"/>
    <w:rsid w:val="68FB170C"/>
    <w:rsid w:val="69012E9C"/>
    <w:rsid w:val="69054339"/>
    <w:rsid w:val="69076303"/>
    <w:rsid w:val="6908207B"/>
    <w:rsid w:val="69110F2F"/>
    <w:rsid w:val="6911150F"/>
    <w:rsid w:val="6916037F"/>
    <w:rsid w:val="693115D2"/>
    <w:rsid w:val="69313380"/>
    <w:rsid w:val="6938470E"/>
    <w:rsid w:val="693B1943"/>
    <w:rsid w:val="693B767D"/>
    <w:rsid w:val="693C125C"/>
    <w:rsid w:val="693C5C0C"/>
    <w:rsid w:val="693D6EC8"/>
    <w:rsid w:val="6940217B"/>
    <w:rsid w:val="69412EA5"/>
    <w:rsid w:val="694806C9"/>
    <w:rsid w:val="694A61EF"/>
    <w:rsid w:val="69620B1A"/>
    <w:rsid w:val="69652C31"/>
    <w:rsid w:val="69670B4F"/>
    <w:rsid w:val="69675EB2"/>
    <w:rsid w:val="696E6382"/>
    <w:rsid w:val="696F5C56"/>
    <w:rsid w:val="69787200"/>
    <w:rsid w:val="69790883"/>
    <w:rsid w:val="697B3329"/>
    <w:rsid w:val="698060B5"/>
    <w:rsid w:val="698066FB"/>
    <w:rsid w:val="69842CB6"/>
    <w:rsid w:val="69886D18"/>
    <w:rsid w:val="698D7239"/>
    <w:rsid w:val="698E70D4"/>
    <w:rsid w:val="6990454A"/>
    <w:rsid w:val="69955479"/>
    <w:rsid w:val="69967687"/>
    <w:rsid w:val="69990F25"/>
    <w:rsid w:val="699D27C3"/>
    <w:rsid w:val="699F7F40"/>
    <w:rsid w:val="69AC2A06"/>
    <w:rsid w:val="69AE49D0"/>
    <w:rsid w:val="69B32A46"/>
    <w:rsid w:val="69B3641C"/>
    <w:rsid w:val="69B74EA2"/>
    <w:rsid w:val="69B921BA"/>
    <w:rsid w:val="69BB0E9B"/>
    <w:rsid w:val="69BB74F7"/>
    <w:rsid w:val="69BD2E65"/>
    <w:rsid w:val="69C45FA2"/>
    <w:rsid w:val="69C5055B"/>
    <w:rsid w:val="69C603AD"/>
    <w:rsid w:val="69C73CE4"/>
    <w:rsid w:val="69C77840"/>
    <w:rsid w:val="69CB5455"/>
    <w:rsid w:val="69D34437"/>
    <w:rsid w:val="69D63CA9"/>
    <w:rsid w:val="69D750BF"/>
    <w:rsid w:val="69DD7064"/>
    <w:rsid w:val="69DF2184"/>
    <w:rsid w:val="69E228CC"/>
    <w:rsid w:val="69E5416A"/>
    <w:rsid w:val="69E95A08"/>
    <w:rsid w:val="69EA2F3F"/>
    <w:rsid w:val="69EB1E27"/>
    <w:rsid w:val="69ED735F"/>
    <w:rsid w:val="69F12B0F"/>
    <w:rsid w:val="69F35510"/>
    <w:rsid w:val="69F61ED3"/>
    <w:rsid w:val="69F76702"/>
    <w:rsid w:val="69F82F56"/>
    <w:rsid w:val="69F85FA8"/>
    <w:rsid w:val="69F961FB"/>
    <w:rsid w:val="69FD7706"/>
    <w:rsid w:val="6A065125"/>
    <w:rsid w:val="6A093665"/>
    <w:rsid w:val="6A123626"/>
    <w:rsid w:val="6A164324"/>
    <w:rsid w:val="6A211646"/>
    <w:rsid w:val="6A222CC8"/>
    <w:rsid w:val="6A246A40"/>
    <w:rsid w:val="6A2904FB"/>
    <w:rsid w:val="6A2C5D71"/>
    <w:rsid w:val="6A2F2373"/>
    <w:rsid w:val="6A3271BD"/>
    <w:rsid w:val="6A376DCB"/>
    <w:rsid w:val="6A383046"/>
    <w:rsid w:val="6A3C1FDC"/>
    <w:rsid w:val="6A3D3FA6"/>
    <w:rsid w:val="6A452A79"/>
    <w:rsid w:val="6A462E5B"/>
    <w:rsid w:val="6A4D4876"/>
    <w:rsid w:val="6A4E5556"/>
    <w:rsid w:val="6A505A87"/>
    <w:rsid w:val="6A544296"/>
    <w:rsid w:val="6A5A10FF"/>
    <w:rsid w:val="6A5F216E"/>
    <w:rsid w:val="6A627569"/>
    <w:rsid w:val="6A656D12"/>
    <w:rsid w:val="6A6A02D6"/>
    <w:rsid w:val="6A6E5F0E"/>
    <w:rsid w:val="6A6F59EB"/>
    <w:rsid w:val="6A750417"/>
    <w:rsid w:val="6A760478"/>
    <w:rsid w:val="6A7F011B"/>
    <w:rsid w:val="6A816C46"/>
    <w:rsid w:val="6A8448EC"/>
    <w:rsid w:val="6A86139C"/>
    <w:rsid w:val="6A895812"/>
    <w:rsid w:val="6A8D21F3"/>
    <w:rsid w:val="6A902328"/>
    <w:rsid w:val="6A927E4E"/>
    <w:rsid w:val="6A927F39"/>
    <w:rsid w:val="6A981669"/>
    <w:rsid w:val="6A986382"/>
    <w:rsid w:val="6A9B5529"/>
    <w:rsid w:val="6A9D2977"/>
    <w:rsid w:val="6AA302AD"/>
    <w:rsid w:val="6AA3205B"/>
    <w:rsid w:val="6AA539BB"/>
    <w:rsid w:val="6AA60986"/>
    <w:rsid w:val="6AA77654"/>
    <w:rsid w:val="6AAD1AE8"/>
    <w:rsid w:val="6AAD4D6B"/>
    <w:rsid w:val="6AB51A05"/>
    <w:rsid w:val="6AB9187F"/>
    <w:rsid w:val="6ABA028C"/>
    <w:rsid w:val="6ABA55F7"/>
    <w:rsid w:val="6ABD34FB"/>
    <w:rsid w:val="6ABF7FD4"/>
    <w:rsid w:val="6AC03EA6"/>
    <w:rsid w:val="6AC10FD5"/>
    <w:rsid w:val="6AC12A02"/>
    <w:rsid w:val="6AC233DC"/>
    <w:rsid w:val="6AC36259"/>
    <w:rsid w:val="6AC742BD"/>
    <w:rsid w:val="6ACD0E86"/>
    <w:rsid w:val="6AD94A35"/>
    <w:rsid w:val="6AD95DBE"/>
    <w:rsid w:val="6ADF05A4"/>
    <w:rsid w:val="6AE11EAC"/>
    <w:rsid w:val="6AE508C6"/>
    <w:rsid w:val="6AE8159D"/>
    <w:rsid w:val="6AEA0D00"/>
    <w:rsid w:val="6AED1528"/>
    <w:rsid w:val="6AED777A"/>
    <w:rsid w:val="6AEF34F2"/>
    <w:rsid w:val="6AFA641A"/>
    <w:rsid w:val="6AFD1B09"/>
    <w:rsid w:val="6B00773B"/>
    <w:rsid w:val="6B043EEA"/>
    <w:rsid w:val="6B0F76F1"/>
    <w:rsid w:val="6B102E58"/>
    <w:rsid w:val="6B1116BB"/>
    <w:rsid w:val="6B113469"/>
    <w:rsid w:val="6B1362C5"/>
    <w:rsid w:val="6B154A35"/>
    <w:rsid w:val="6B19231D"/>
    <w:rsid w:val="6B1D005F"/>
    <w:rsid w:val="6B1D0454"/>
    <w:rsid w:val="6B217424"/>
    <w:rsid w:val="6B2632AB"/>
    <w:rsid w:val="6B2A62D8"/>
    <w:rsid w:val="6B2D401B"/>
    <w:rsid w:val="6B2D7B77"/>
    <w:rsid w:val="6B2E5048"/>
    <w:rsid w:val="6B303BBD"/>
    <w:rsid w:val="6B3042FF"/>
    <w:rsid w:val="6B3158B9"/>
    <w:rsid w:val="6B3C7DBA"/>
    <w:rsid w:val="6B403D4E"/>
    <w:rsid w:val="6B4D1601"/>
    <w:rsid w:val="6B5B46E4"/>
    <w:rsid w:val="6B604D90"/>
    <w:rsid w:val="6B621EAA"/>
    <w:rsid w:val="6B642F9C"/>
    <w:rsid w:val="6B686E01"/>
    <w:rsid w:val="6B6E578F"/>
    <w:rsid w:val="6B804A53"/>
    <w:rsid w:val="6B855A2C"/>
    <w:rsid w:val="6B855C05"/>
    <w:rsid w:val="6B9249B8"/>
    <w:rsid w:val="6BA51E03"/>
    <w:rsid w:val="6BA73F43"/>
    <w:rsid w:val="6BAE0CB8"/>
    <w:rsid w:val="6BB92906"/>
    <w:rsid w:val="6BBA1E60"/>
    <w:rsid w:val="6BBD40E6"/>
    <w:rsid w:val="6BC77FCB"/>
    <w:rsid w:val="6BD24BEE"/>
    <w:rsid w:val="6BD36970"/>
    <w:rsid w:val="6BD61FBC"/>
    <w:rsid w:val="6BD76E4B"/>
    <w:rsid w:val="6BD9140C"/>
    <w:rsid w:val="6BDB69A6"/>
    <w:rsid w:val="6BDC6C36"/>
    <w:rsid w:val="6BDD334B"/>
    <w:rsid w:val="6BE071F2"/>
    <w:rsid w:val="6BE50451"/>
    <w:rsid w:val="6BED6C25"/>
    <w:rsid w:val="6BF15048"/>
    <w:rsid w:val="6BF30DC0"/>
    <w:rsid w:val="6BF84629"/>
    <w:rsid w:val="6C001C8E"/>
    <w:rsid w:val="6C006F3E"/>
    <w:rsid w:val="6C0134DD"/>
    <w:rsid w:val="6C042FCD"/>
    <w:rsid w:val="6C054650"/>
    <w:rsid w:val="6C0B1942"/>
    <w:rsid w:val="6C0B435C"/>
    <w:rsid w:val="6C0B610A"/>
    <w:rsid w:val="6C0D6BB0"/>
    <w:rsid w:val="6C0E0F34"/>
    <w:rsid w:val="6C0E79A8"/>
    <w:rsid w:val="6C0F0C37"/>
    <w:rsid w:val="6C103720"/>
    <w:rsid w:val="6C132E5F"/>
    <w:rsid w:val="6C1825D5"/>
    <w:rsid w:val="6C184383"/>
    <w:rsid w:val="6C1B20C5"/>
    <w:rsid w:val="6C1D2466"/>
    <w:rsid w:val="6C1F3963"/>
    <w:rsid w:val="6C1F652C"/>
    <w:rsid w:val="6C2B68DA"/>
    <w:rsid w:val="6C332ECB"/>
    <w:rsid w:val="6C386EAA"/>
    <w:rsid w:val="6C3D028D"/>
    <w:rsid w:val="6C3F4006"/>
    <w:rsid w:val="6C4258A4"/>
    <w:rsid w:val="6C45090D"/>
    <w:rsid w:val="6C472EBA"/>
    <w:rsid w:val="6C4D7039"/>
    <w:rsid w:val="6C501D6F"/>
    <w:rsid w:val="6C517895"/>
    <w:rsid w:val="6C523D39"/>
    <w:rsid w:val="6C5B4ADD"/>
    <w:rsid w:val="6C5B7135"/>
    <w:rsid w:val="6C5D448C"/>
    <w:rsid w:val="6C5D5536"/>
    <w:rsid w:val="6C6450ED"/>
    <w:rsid w:val="6C6972D4"/>
    <w:rsid w:val="6C6D5B02"/>
    <w:rsid w:val="6C6E48EB"/>
    <w:rsid w:val="6C705F6D"/>
    <w:rsid w:val="6C764577"/>
    <w:rsid w:val="6C7672FB"/>
    <w:rsid w:val="6C77379F"/>
    <w:rsid w:val="6C797AED"/>
    <w:rsid w:val="6C7A503E"/>
    <w:rsid w:val="6C7C7008"/>
    <w:rsid w:val="6C7F43ED"/>
    <w:rsid w:val="6C800AE8"/>
    <w:rsid w:val="6C821A5E"/>
    <w:rsid w:val="6C892B57"/>
    <w:rsid w:val="6C8B7ACF"/>
    <w:rsid w:val="6C8E2897"/>
    <w:rsid w:val="6C9360FF"/>
    <w:rsid w:val="6C956751"/>
    <w:rsid w:val="6C97174C"/>
    <w:rsid w:val="6C9C686F"/>
    <w:rsid w:val="6C9F6852"/>
    <w:rsid w:val="6CA30856"/>
    <w:rsid w:val="6CA659FF"/>
    <w:rsid w:val="6CC72DCE"/>
    <w:rsid w:val="6CC87B57"/>
    <w:rsid w:val="6CCB3AEB"/>
    <w:rsid w:val="6CD75FEC"/>
    <w:rsid w:val="6CD830DA"/>
    <w:rsid w:val="6CDC7AA6"/>
    <w:rsid w:val="6CDD0421"/>
    <w:rsid w:val="6CDF1345"/>
    <w:rsid w:val="6CE07597"/>
    <w:rsid w:val="6CE2561C"/>
    <w:rsid w:val="6CF7043C"/>
    <w:rsid w:val="6CFC5A53"/>
    <w:rsid w:val="6CFC61C3"/>
    <w:rsid w:val="6D024D30"/>
    <w:rsid w:val="6D031EBC"/>
    <w:rsid w:val="6D05528D"/>
    <w:rsid w:val="6D090AE2"/>
    <w:rsid w:val="6D0D0F74"/>
    <w:rsid w:val="6D0E1A28"/>
    <w:rsid w:val="6D1159A2"/>
    <w:rsid w:val="6D12171A"/>
    <w:rsid w:val="6D1234C8"/>
    <w:rsid w:val="6D165EB3"/>
    <w:rsid w:val="6D171100"/>
    <w:rsid w:val="6D17288C"/>
    <w:rsid w:val="6D172BE8"/>
    <w:rsid w:val="6D1E00BF"/>
    <w:rsid w:val="6D201D79"/>
    <w:rsid w:val="6D2356D5"/>
    <w:rsid w:val="6D267C77"/>
    <w:rsid w:val="6D2B5181"/>
    <w:rsid w:val="6D2B6338"/>
    <w:rsid w:val="6D2D3E1A"/>
    <w:rsid w:val="6D2D3E5E"/>
    <w:rsid w:val="6D320AB2"/>
    <w:rsid w:val="6D341C46"/>
    <w:rsid w:val="6D343B19"/>
    <w:rsid w:val="6D350E2D"/>
    <w:rsid w:val="6D360FD1"/>
    <w:rsid w:val="6D371181"/>
    <w:rsid w:val="6D3742F4"/>
    <w:rsid w:val="6D374CDD"/>
    <w:rsid w:val="6D3C3656"/>
    <w:rsid w:val="6D410C09"/>
    <w:rsid w:val="6D416038"/>
    <w:rsid w:val="6D4D62AE"/>
    <w:rsid w:val="6D4F0278"/>
    <w:rsid w:val="6D592EA5"/>
    <w:rsid w:val="6D594C53"/>
    <w:rsid w:val="6D5B09CB"/>
    <w:rsid w:val="6D5B6C1D"/>
    <w:rsid w:val="6D6A002E"/>
    <w:rsid w:val="6D711C78"/>
    <w:rsid w:val="6D714BDE"/>
    <w:rsid w:val="6D7221B9"/>
    <w:rsid w:val="6D743BC8"/>
    <w:rsid w:val="6D786658"/>
    <w:rsid w:val="6D7D690F"/>
    <w:rsid w:val="6D8141AA"/>
    <w:rsid w:val="6D853C9A"/>
    <w:rsid w:val="6D877A12"/>
    <w:rsid w:val="6D8A305E"/>
    <w:rsid w:val="6D8B1D1F"/>
    <w:rsid w:val="6D8C327A"/>
    <w:rsid w:val="6D8C5028"/>
    <w:rsid w:val="6D940381"/>
    <w:rsid w:val="6D983849"/>
    <w:rsid w:val="6D9B3C9A"/>
    <w:rsid w:val="6D9C0FE4"/>
    <w:rsid w:val="6D9E6B0A"/>
    <w:rsid w:val="6DA06D26"/>
    <w:rsid w:val="6DAA1953"/>
    <w:rsid w:val="6DAD116F"/>
    <w:rsid w:val="6DAF6F69"/>
    <w:rsid w:val="6DB225B5"/>
    <w:rsid w:val="6DB450BF"/>
    <w:rsid w:val="6DB4632D"/>
    <w:rsid w:val="6DB620A5"/>
    <w:rsid w:val="6DB7191B"/>
    <w:rsid w:val="6DB86FC0"/>
    <w:rsid w:val="6DB93944"/>
    <w:rsid w:val="6DB968B8"/>
    <w:rsid w:val="6DBB4A0F"/>
    <w:rsid w:val="6DBD3434"/>
    <w:rsid w:val="6DC05B9B"/>
    <w:rsid w:val="6DC06017"/>
    <w:rsid w:val="6DC72505"/>
    <w:rsid w:val="6DC9002B"/>
    <w:rsid w:val="6DC95E3D"/>
    <w:rsid w:val="6DCE5641"/>
    <w:rsid w:val="6DD06FAF"/>
    <w:rsid w:val="6DD30EA9"/>
    <w:rsid w:val="6DD436CF"/>
    <w:rsid w:val="6DDB128D"/>
    <w:rsid w:val="6DE262E2"/>
    <w:rsid w:val="6DE85FD7"/>
    <w:rsid w:val="6DEC06D8"/>
    <w:rsid w:val="6DED4EBC"/>
    <w:rsid w:val="6DF46479"/>
    <w:rsid w:val="6DFB2481"/>
    <w:rsid w:val="6DFB5D0A"/>
    <w:rsid w:val="6E005A16"/>
    <w:rsid w:val="6E043B45"/>
    <w:rsid w:val="6E095992"/>
    <w:rsid w:val="6E105C5A"/>
    <w:rsid w:val="6E1312A6"/>
    <w:rsid w:val="6E14215C"/>
    <w:rsid w:val="6E1B45FE"/>
    <w:rsid w:val="6E283B6C"/>
    <w:rsid w:val="6E316BBC"/>
    <w:rsid w:val="6E3A2CD6"/>
    <w:rsid w:val="6E3A3A96"/>
    <w:rsid w:val="6E3A6404"/>
    <w:rsid w:val="6E3F653F"/>
    <w:rsid w:val="6E405E13"/>
    <w:rsid w:val="6E433C2A"/>
    <w:rsid w:val="6E453429"/>
    <w:rsid w:val="6E49116B"/>
    <w:rsid w:val="6E4B2E0A"/>
    <w:rsid w:val="6E4B4EE4"/>
    <w:rsid w:val="6E4B6C92"/>
    <w:rsid w:val="6E4C2A0A"/>
    <w:rsid w:val="6E517C93"/>
    <w:rsid w:val="6E565636"/>
    <w:rsid w:val="6E5F098F"/>
    <w:rsid w:val="6E613DB7"/>
    <w:rsid w:val="6E625D89"/>
    <w:rsid w:val="6E677844"/>
    <w:rsid w:val="6E6935BC"/>
    <w:rsid w:val="6E69536A"/>
    <w:rsid w:val="6E6A3250"/>
    <w:rsid w:val="6E6C09B6"/>
    <w:rsid w:val="6E6E2980"/>
    <w:rsid w:val="6E6F0A62"/>
    <w:rsid w:val="6E755ABD"/>
    <w:rsid w:val="6E7A1325"/>
    <w:rsid w:val="6E7C509D"/>
    <w:rsid w:val="6E886664"/>
    <w:rsid w:val="6E8B0D18"/>
    <w:rsid w:val="6E8C7E5C"/>
    <w:rsid w:val="6E922B12"/>
    <w:rsid w:val="6E9D5013"/>
    <w:rsid w:val="6EA14B04"/>
    <w:rsid w:val="6EAB3EB2"/>
    <w:rsid w:val="6EAD4B62"/>
    <w:rsid w:val="6EAE7733"/>
    <w:rsid w:val="6EB13F1A"/>
    <w:rsid w:val="6EB44A35"/>
    <w:rsid w:val="6EBB40DE"/>
    <w:rsid w:val="6EC36940"/>
    <w:rsid w:val="6EC52C7A"/>
    <w:rsid w:val="6EC64279"/>
    <w:rsid w:val="6ECC38B8"/>
    <w:rsid w:val="6ED70525"/>
    <w:rsid w:val="6ED749C9"/>
    <w:rsid w:val="6EDA0016"/>
    <w:rsid w:val="6EDD18B4"/>
    <w:rsid w:val="6EE20292"/>
    <w:rsid w:val="6EEB3FD1"/>
    <w:rsid w:val="6EEC06F7"/>
    <w:rsid w:val="6EF72976"/>
    <w:rsid w:val="6EFC61DE"/>
    <w:rsid w:val="6EFF27C5"/>
    <w:rsid w:val="6F0137F4"/>
    <w:rsid w:val="6F0532E4"/>
    <w:rsid w:val="6F0B2A24"/>
    <w:rsid w:val="6F0D3F47"/>
    <w:rsid w:val="6F0D5F20"/>
    <w:rsid w:val="6F131AC6"/>
    <w:rsid w:val="6F140B1F"/>
    <w:rsid w:val="6F141779"/>
    <w:rsid w:val="6F177DDA"/>
    <w:rsid w:val="6F1866F2"/>
    <w:rsid w:val="6F1B41AE"/>
    <w:rsid w:val="6F25152E"/>
    <w:rsid w:val="6F2D283B"/>
    <w:rsid w:val="6F2F210F"/>
    <w:rsid w:val="6F3040D9"/>
    <w:rsid w:val="6F3239AE"/>
    <w:rsid w:val="6F3516F0"/>
    <w:rsid w:val="6F384A96"/>
    <w:rsid w:val="6F3A7ED5"/>
    <w:rsid w:val="6F3C42C6"/>
    <w:rsid w:val="6F3F0F5A"/>
    <w:rsid w:val="6F40256E"/>
    <w:rsid w:val="6F406688"/>
    <w:rsid w:val="6F4153BB"/>
    <w:rsid w:val="6F4162E7"/>
    <w:rsid w:val="6F477302"/>
    <w:rsid w:val="6F58297A"/>
    <w:rsid w:val="6F5B1156"/>
    <w:rsid w:val="6F60051B"/>
    <w:rsid w:val="6F7044D6"/>
    <w:rsid w:val="6F755C7D"/>
    <w:rsid w:val="6F7C183E"/>
    <w:rsid w:val="6F811C8E"/>
    <w:rsid w:val="6F865AA7"/>
    <w:rsid w:val="6F8C7562"/>
    <w:rsid w:val="6F8F403F"/>
    <w:rsid w:val="6F8F7052"/>
    <w:rsid w:val="6F9132A8"/>
    <w:rsid w:val="6F937B50"/>
    <w:rsid w:val="6F944668"/>
    <w:rsid w:val="6F945ADC"/>
    <w:rsid w:val="6F947AC5"/>
    <w:rsid w:val="6F9C5A16"/>
    <w:rsid w:val="6F9D7F37"/>
    <w:rsid w:val="6FA42FFA"/>
    <w:rsid w:val="6FAD572A"/>
    <w:rsid w:val="6FB865A9"/>
    <w:rsid w:val="6FB940CF"/>
    <w:rsid w:val="6FBB39A3"/>
    <w:rsid w:val="6FBC771B"/>
    <w:rsid w:val="6FBF45D4"/>
    <w:rsid w:val="6FC22F83"/>
    <w:rsid w:val="6FCD12F8"/>
    <w:rsid w:val="6FCE7B7A"/>
    <w:rsid w:val="6FD15666"/>
    <w:rsid w:val="6FD1766A"/>
    <w:rsid w:val="6FE078AE"/>
    <w:rsid w:val="6FE32EFA"/>
    <w:rsid w:val="6FE4739E"/>
    <w:rsid w:val="6FEA24DA"/>
    <w:rsid w:val="6FF944CB"/>
    <w:rsid w:val="700469AA"/>
    <w:rsid w:val="70057314"/>
    <w:rsid w:val="70147557"/>
    <w:rsid w:val="70156487"/>
    <w:rsid w:val="70194B6E"/>
    <w:rsid w:val="701B08E6"/>
    <w:rsid w:val="701B5529"/>
    <w:rsid w:val="701D453F"/>
    <w:rsid w:val="701D640C"/>
    <w:rsid w:val="70241EE0"/>
    <w:rsid w:val="70244355"/>
    <w:rsid w:val="70271038"/>
    <w:rsid w:val="702A6D7B"/>
    <w:rsid w:val="702C48A1"/>
    <w:rsid w:val="702E23C7"/>
    <w:rsid w:val="70333E81"/>
    <w:rsid w:val="70357BF9"/>
    <w:rsid w:val="703A3B85"/>
    <w:rsid w:val="70422316"/>
    <w:rsid w:val="70427D39"/>
    <w:rsid w:val="704A4AC6"/>
    <w:rsid w:val="704C6CF1"/>
    <w:rsid w:val="705B0CE2"/>
    <w:rsid w:val="705C1573"/>
    <w:rsid w:val="705F07D2"/>
    <w:rsid w:val="706202C3"/>
    <w:rsid w:val="70647373"/>
    <w:rsid w:val="70661C56"/>
    <w:rsid w:val="70671D7D"/>
    <w:rsid w:val="706933FF"/>
    <w:rsid w:val="706C2E07"/>
    <w:rsid w:val="706E310B"/>
    <w:rsid w:val="706E6C67"/>
    <w:rsid w:val="70786C79"/>
    <w:rsid w:val="70814BED"/>
    <w:rsid w:val="7082773A"/>
    <w:rsid w:val="7087339F"/>
    <w:rsid w:val="70893569"/>
    <w:rsid w:val="708C3591"/>
    <w:rsid w:val="708D6817"/>
    <w:rsid w:val="708E10B8"/>
    <w:rsid w:val="70904E30"/>
    <w:rsid w:val="70912956"/>
    <w:rsid w:val="70932B72"/>
    <w:rsid w:val="709A5CAE"/>
    <w:rsid w:val="709B37D5"/>
    <w:rsid w:val="709B5583"/>
    <w:rsid w:val="709D12FB"/>
    <w:rsid w:val="709F3565"/>
    <w:rsid w:val="70A22DB5"/>
    <w:rsid w:val="70A23177"/>
    <w:rsid w:val="70A5694D"/>
    <w:rsid w:val="70AB7EBB"/>
    <w:rsid w:val="70AC7790"/>
    <w:rsid w:val="70AD723C"/>
    <w:rsid w:val="70AE3508"/>
    <w:rsid w:val="70B12FF8"/>
    <w:rsid w:val="70B30221"/>
    <w:rsid w:val="70B517FB"/>
    <w:rsid w:val="70BC18E3"/>
    <w:rsid w:val="70BE4BA3"/>
    <w:rsid w:val="70C20D61"/>
    <w:rsid w:val="70C66AA3"/>
    <w:rsid w:val="70C77566"/>
    <w:rsid w:val="70CB23C7"/>
    <w:rsid w:val="70D34D1C"/>
    <w:rsid w:val="70DA6696"/>
    <w:rsid w:val="70DF5DB7"/>
    <w:rsid w:val="70E84C6C"/>
    <w:rsid w:val="70ED448B"/>
    <w:rsid w:val="70EE1B56"/>
    <w:rsid w:val="70EE693E"/>
    <w:rsid w:val="70F80C27"/>
    <w:rsid w:val="70F936D9"/>
    <w:rsid w:val="7104645B"/>
    <w:rsid w:val="710870BC"/>
    <w:rsid w:val="711041C2"/>
    <w:rsid w:val="711A0EE2"/>
    <w:rsid w:val="711A6DEF"/>
    <w:rsid w:val="711F6B2D"/>
    <w:rsid w:val="71245578"/>
    <w:rsid w:val="712559EA"/>
    <w:rsid w:val="71290DE0"/>
    <w:rsid w:val="712A4097"/>
    <w:rsid w:val="712D267F"/>
    <w:rsid w:val="7130216F"/>
    <w:rsid w:val="71325911"/>
    <w:rsid w:val="71341C5F"/>
    <w:rsid w:val="713E488C"/>
    <w:rsid w:val="713F1162"/>
    <w:rsid w:val="713F5B44"/>
    <w:rsid w:val="714125CE"/>
    <w:rsid w:val="71453E6C"/>
    <w:rsid w:val="71467BE4"/>
    <w:rsid w:val="714726B7"/>
    <w:rsid w:val="71494246"/>
    <w:rsid w:val="714E0847"/>
    <w:rsid w:val="71535E5D"/>
    <w:rsid w:val="71556F37"/>
    <w:rsid w:val="71557E27"/>
    <w:rsid w:val="715C11B6"/>
    <w:rsid w:val="715D19E6"/>
    <w:rsid w:val="716144FC"/>
    <w:rsid w:val="716919A2"/>
    <w:rsid w:val="71696914"/>
    <w:rsid w:val="716B13F9"/>
    <w:rsid w:val="716D3EB2"/>
    <w:rsid w:val="717812F3"/>
    <w:rsid w:val="717835AD"/>
    <w:rsid w:val="71802950"/>
    <w:rsid w:val="718129CA"/>
    <w:rsid w:val="71866233"/>
    <w:rsid w:val="71947777"/>
    <w:rsid w:val="719A09DE"/>
    <w:rsid w:val="719E17CE"/>
    <w:rsid w:val="71A13AE0"/>
    <w:rsid w:val="71B52040"/>
    <w:rsid w:val="71B66B18"/>
    <w:rsid w:val="71BB6A1B"/>
    <w:rsid w:val="71C276EC"/>
    <w:rsid w:val="71C42D2E"/>
    <w:rsid w:val="71CA6D36"/>
    <w:rsid w:val="71D23226"/>
    <w:rsid w:val="71D76A8E"/>
    <w:rsid w:val="71DA45AE"/>
    <w:rsid w:val="71DF2930"/>
    <w:rsid w:val="71E66E5B"/>
    <w:rsid w:val="71E73175"/>
    <w:rsid w:val="71F17B50"/>
    <w:rsid w:val="71F47640"/>
    <w:rsid w:val="71FF0F1B"/>
    <w:rsid w:val="72001B41"/>
    <w:rsid w:val="720158B9"/>
    <w:rsid w:val="720438FD"/>
    <w:rsid w:val="72086C48"/>
    <w:rsid w:val="720E2D07"/>
    <w:rsid w:val="721455EC"/>
    <w:rsid w:val="7216013B"/>
    <w:rsid w:val="72236ECD"/>
    <w:rsid w:val="722515A8"/>
    <w:rsid w:val="722516E4"/>
    <w:rsid w:val="72253C9E"/>
    <w:rsid w:val="72292A86"/>
    <w:rsid w:val="723143F0"/>
    <w:rsid w:val="723637B5"/>
    <w:rsid w:val="723719C5"/>
    <w:rsid w:val="723D4B43"/>
    <w:rsid w:val="723F1409"/>
    <w:rsid w:val="724A7260"/>
    <w:rsid w:val="724C4D86"/>
    <w:rsid w:val="724E6D50"/>
    <w:rsid w:val="724F0D1A"/>
    <w:rsid w:val="72514A93"/>
    <w:rsid w:val="725C09A0"/>
    <w:rsid w:val="7260565A"/>
    <w:rsid w:val="72617EAB"/>
    <w:rsid w:val="72684572"/>
    <w:rsid w:val="726A16B0"/>
    <w:rsid w:val="726C685A"/>
    <w:rsid w:val="726C7D64"/>
    <w:rsid w:val="726F4F19"/>
    <w:rsid w:val="726F75AB"/>
    <w:rsid w:val="727069B4"/>
    <w:rsid w:val="72730565"/>
    <w:rsid w:val="7273314B"/>
    <w:rsid w:val="72750781"/>
    <w:rsid w:val="727646A3"/>
    <w:rsid w:val="72783DCD"/>
    <w:rsid w:val="727A5D97"/>
    <w:rsid w:val="727E1867"/>
    <w:rsid w:val="72807126"/>
    <w:rsid w:val="72810FB9"/>
    <w:rsid w:val="72824C4C"/>
    <w:rsid w:val="728409C4"/>
    <w:rsid w:val="7286337F"/>
    <w:rsid w:val="7288568C"/>
    <w:rsid w:val="728C7879"/>
    <w:rsid w:val="72907369"/>
    <w:rsid w:val="7294672D"/>
    <w:rsid w:val="72972638"/>
    <w:rsid w:val="729D6171"/>
    <w:rsid w:val="729E0259"/>
    <w:rsid w:val="729E5688"/>
    <w:rsid w:val="729F75AC"/>
    <w:rsid w:val="72A4647B"/>
    <w:rsid w:val="72A63683"/>
    <w:rsid w:val="72A746B3"/>
    <w:rsid w:val="72B103A0"/>
    <w:rsid w:val="72B40078"/>
    <w:rsid w:val="72B8066E"/>
    <w:rsid w:val="72BC63B0"/>
    <w:rsid w:val="72C54B39"/>
    <w:rsid w:val="72C62D8B"/>
    <w:rsid w:val="72CE7313"/>
    <w:rsid w:val="72D059B7"/>
    <w:rsid w:val="72D336FA"/>
    <w:rsid w:val="72D4094B"/>
    <w:rsid w:val="72D66F5A"/>
    <w:rsid w:val="72D86BD3"/>
    <w:rsid w:val="72DB15CA"/>
    <w:rsid w:val="72E05876"/>
    <w:rsid w:val="72E15E16"/>
    <w:rsid w:val="72E2521B"/>
    <w:rsid w:val="72E47E1D"/>
    <w:rsid w:val="72F07E08"/>
    <w:rsid w:val="72F22F5F"/>
    <w:rsid w:val="72F37D2D"/>
    <w:rsid w:val="72F64A73"/>
    <w:rsid w:val="72FB0CA2"/>
    <w:rsid w:val="72FC49FE"/>
    <w:rsid w:val="73042E7C"/>
    <w:rsid w:val="73056051"/>
    <w:rsid w:val="73090EC9"/>
    <w:rsid w:val="730A1B38"/>
    <w:rsid w:val="73124222"/>
    <w:rsid w:val="73125FD0"/>
    <w:rsid w:val="731801D9"/>
    <w:rsid w:val="731955B0"/>
    <w:rsid w:val="731E338E"/>
    <w:rsid w:val="731F249B"/>
    <w:rsid w:val="732637EC"/>
    <w:rsid w:val="73277DA9"/>
    <w:rsid w:val="733028FA"/>
    <w:rsid w:val="73487C44"/>
    <w:rsid w:val="734D44D8"/>
    <w:rsid w:val="735A6AEC"/>
    <w:rsid w:val="735C549D"/>
    <w:rsid w:val="735C724B"/>
    <w:rsid w:val="735F0AE9"/>
    <w:rsid w:val="73602EA4"/>
    <w:rsid w:val="73637F0D"/>
    <w:rsid w:val="73644352"/>
    <w:rsid w:val="736D3206"/>
    <w:rsid w:val="737335D2"/>
    <w:rsid w:val="73740A39"/>
    <w:rsid w:val="73751F25"/>
    <w:rsid w:val="737E32EA"/>
    <w:rsid w:val="73814F04"/>
    <w:rsid w:val="738642C8"/>
    <w:rsid w:val="73866E8F"/>
    <w:rsid w:val="738D5656"/>
    <w:rsid w:val="738F5872"/>
    <w:rsid w:val="739015EB"/>
    <w:rsid w:val="73907A80"/>
    <w:rsid w:val="739B4217"/>
    <w:rsid w:val="739E44FF"/>
    <w:rsid w:val="73A11102"/>
    <w:rsid w:val="73A176B2"/>
    <w:rsid w:val="73A429A0"/>
    <w:rsid w:val="73AD3F4B"/>
    <w:rsid w:val="73B15772"/>
    <w:rsid w:val="73B2330F"/>
    <w:rsid w:val="73B61051"/>
    <w:rsid w:val="73BA353C"/>
    <w:rsid w:val="73BC60D0"/>
    <w:rsid w:val="73BD0A2D"/>
    <w:rsid w:val="73BD5CDD"/>
    <w:rsid w:val="73BE0515"/>
    <w:rsid w:val="73BE3A62"/>
    <w:rsid w:val="73C03C7E"/>
    <w:rsid w:val="73C05940"/>
    <w:rsid w:val="73C117C3"/>
    <w:rsid w:val="73C60B68"/>
    <w:rsid w:val="73C6500C"/>
    <w:rsid w:val="73CA6639"/>
    <w:rsid w:val="73CB1AEB"/>
    <w:rsid w:val="73CB617F"/>
    <w:rsid w:val="73CD639B"/>
    <w:rsid w:val="73D72D76"/>
    <w:rsid w:val="73D96AEE"/>
    <w:rsid w:val="73DC038C"/>
    <w:rsid w:val="73E561DB"/>
    <w:rsid w:val="73E6120B"/>
    <w:rsid w:val="73EA06EE"/>
    <w:rsid w:val="73F12089"/>
    <w:rsid w:val="73F15E96"/>
    <w:rsid w:val="73F3740F"/>
    <w:rsid w:val="73FC0A2E"/>
    <w:rsid w:val="73FC32EF"/>
    <w:rsid w:val="73FE6CCE"/>
    <w:rsid w:val="7400407A"/>
    <w:rsid w:val="740920C5"/>
    <w:rsid w:val="740A6CA7"/>
    <w:rsid w:val="740B2A1F"/>
    <w:rsid w:val="74143FCA"/>
    <w:rsid w:val="74147B26"/>
    <w:rsid w:val="74157F65"/>
    <w:rsid w:val="74177616"/>
    <w:rsid w:val="7419338E"/>
    <w:rsid w:val="741C1E03"/>
    <w:rsid w:val="741C69DA"/>
    <w:rsid w:val="741E6C86"/>
    <w:rsid w:val="7420296E"/>
    <w:rsid w:val="74232316"/>
    <w:rsid w:val="742859A7"/>
    <w:rsid w:val="742C1313"/>
    <w:rsid w:val="742E508B"/>
    <w:rsid w:val="743341F9"/>
    <w:rsid w:val="743E4BA3"/>
    <w:rsid w:val="74477EFB"/>
    <w:rsid w:val="744C5512"/>
    <w:rsid w:val="744D2ACC"/>
    <w:rsid w:val="744F5002"/>
    <w:rsid w:val="74546174"/>
    <w:rsid w:val="745B4B98"/>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84559"/>
    <w:rsid w:val="7479207F"/>
    <w:rsid w:val="74850A24"/>
    <w:rsid w:val="748527D2"/>
    <w:rsid w:val="74904C7B"/>
    <w:rsid w:val="74913DDA"/>
    <w:rsid w:val="749949F7"/>
    <w:rsid w:val="749F1AE5"/>
    <w:rsid w:val="74A215D5"/>
    <w:rsid w:val="74A470FC"/>
    <w:rsid w:val="74B5450B"/>
    <w:rsid w:val="74B5595C"/>
    <w:rsid w:val="74B80DF9"/>
    <w:rsid w:val="74BC37FB"/>
    <w:rsid w:val="74C06141"/>
    <w:rsid w:val="74C432FA"/>
    <w:rsid w:val="74C50E20"/>
    <w:rsid w:val="74C94E9D"/>
    <w:rsid w:val="74CA6436"/>
    <w:rsid w:val="74CF694D"/>
    <w:rsid w:val="74D47731"/>
    <w:rsid w:val="74D6302D"/>
    <w:rsid w:val="74E039E8"/>
    <w:rsid w:val="74E03EAC"/>
    <w:rsid w:val="74E13026"/>
    <w:rsid w:val="74E25E76"/>
    <w:rsid w:val="74E26D7A"/>
    <w:rsid w:val="74E92D60"/>
    <w:rsid w:val="74EB4D2A"/>
    <w:rsid w:val="74F85EC6"/>
    <w:rsid w:val="74F86FE9"/>
    <w:rsid w:val="74F90479"/>
    <w:rsid w:val="74FF42EB"/>
    <w:rsid w:val="75004737"/>
    <w:rsid w:val="7500577B"/>
    <w:rsid w:val="75071439"/>
    <w:rsid w:val="7521074C"/>
    <w:rsid w:val="75267B11"/>
    <w:rsid w:val="752913AF"/>
    <w:rsid w:val="75292E35"/>
    <w:rsid w:val="7533222E"/>
    <w:rsid w:val="75333619"/>
    <w:rsid w:val="75387844"/>
    <w:rsid w:val="753D30AC"/>
    <w:rsid w:val="75425644"/>
    <w:rsid w:val="75461F61"/>
    <w:rsid w:val="75476CAA"/>
    <w:rsid w:val="75480FE3"/>
    <w:rsid w:val="75497CA3"/>
    <w:rsid w:val="755152D3"/>
    <w:rsid w:val="755A1EB0"/>
    <w:rsid w:val="755A5A0C"/>
    <w:rsid w:val="755D707D"/>
    <w:rsid w:val="75614247"/>
    <w:rsid w:val="75614FED"/>
    <w:rsid w:val="75657363"/>
    <w:rsid w:val="75695C4F"/>
    <w:rsid w:val="756B17C2"/>
    <w:rsid w:val="756C200D"/>
    <w:rsid w:val="7577036C"/>
    <w:rsid w:val="757D1115"/>
    <w:rsid w:val="75862CA5"/>
    <w:rsid w:val="758F65B0"/>
    <w:rsid w:val="759058D2"/>
    <w:rsid w:val="75907680"/>
    <w:rsid w:val="75986535"/>
    <w:rsid w:val="759C7DD3"/>
    <w:rsid w:val="759E1500"/>
    <w:rsid w:val="75A03D67"/>
    <w:rsid w:val="75A36467"/>
    <w:rsid w:val="75A82C1C"/>
    <w:rsid w:val="75B90985"/>
    <w:rsid w:val="75C31803"/>
    <w:rsid w:val="75C80BC8"/>
    <w:rsid w:val="75CA2B92"/>
    <w:rsid w:val="75D34AD2"/>
    <w:rsid w:val="75D76EAE"/>
    <w:rsid w:val="75DE663D"/>
    <w:rsid w:val="75E36059"/>
    <w:rsid w:val="75E579CC"/>
    <w:rsid w:val="75E74C1F"/>
    <w:rsid w:val="75E841DD"/>
    <w:rsid w:val="75E9087A"/>
    <w:rsid w:val="75EA6D90"/>
    <w:rsid w:val="75F23E97"/>
    <w:rsid w:val="75F776FF"/>
    <w:rsid w:val="75F842DC"/>
    <w:rsid w:val="75F93E4E"/>
    <w:rsid w:val="76012189"/>
    <w:rsid w:val="7610431D"/>
    <w:rsid w:val="761107C1"/>
    <w:rsid w:val="76110A4A"/>
    <w:rsid w:val="76116A13"/>
    <w:rsid w:val="76120095"/>
    <w:rsid w:val="76155DFB"/>
    <w:rsid w:val="761A6D08"/>
    <w:rsid w:val="76201FB0"/>
    <w:rsid w:val="76277A97"/>
    <w:rsid w:val="76285B0A"/>
    <w:rsid w:val="762F6E99"/>
    <w:rsid w:val="763444AF"/>
    <w:rsid w:val="7634625D"/>
    <w:rsid w:val="763B6025"/>
    <w:rsid w:val="764364A0"/>
    <w:rsid w:val="764F590C"/>
    <w:rsid w:val="76557CFE"/>
    <w:rsid w:val="76592168"/>
    <w:rsid w:val="765B265C"/>
    <w:rsid w:val="765B7C8E"/>
    <w:rsid w:val="765C57B4"/>
    <w:rsid w:val="765D0026"/>
    <w:rsid w:val="76692C0E"/>
    <w:rsid w:val="766C59F7"/>
    <w:rsid w:val="7671125F"/>
    <w:rsid w:val="7671317E"/>
    <w:rsid w:val="76740D50"/>
    <w:rsid w:val="7677439C"/>
    <w:rsid w:val="767A48FF"/>
    <w:rsid w:val="767D6349"/>
    <w:rsid w:val="767E397C"/>
    <w:rsid w:val="767F592F"/>
    <w:rsid w:val="76860257"/>
    <w:rsid w:val="76945635"/>
    <w:rsid w:val="76992564"/>
    <w:rsid w:val="769E6800"/>
    <w:rsid w:val="76AE6010"/>
    <w:rsid w:val="76BA2FFA"/>
    <w:rsid w:val="76BB697E"/>
    <w:rsid w:val="76BC23A9"/>
    <w:rsid w:val="76BC400E"/>
    <w:rsid w:val="76C02894"/>
    <w:rsid w:val="76C113A3"/>
    <w:rsid w:val="76C53359"/>
    <w:rsid w:val="76D31F1A"/>
    <w:rsid w:val="76D90BB3"/>
    <w:rsid w:val="76E01F41"/>
    <w:rsid w:val="76E3616A"/>
    <w:rsid w:val="76E64C26"/>
    <w:rsid w:val="76E84269"/>
    <w:rsid w:val="76E85E0B"/>
    <w:rsid w:val="76E96C3F"/>
    <w:rsid w:val="76EB42AA"/>
    <w:rsid w:val="76EE02E4"/>
    <w:rsid w:val="76EE28B0"/>
    <w:rsid w:val="76EF6628"/>
    <w:rsid w:val="76F358AB"/>
    <w:rsid w:val="76F6544F"/>
    <w:rsid w:val="76FF2D0F"/>
    <w:rsid w:val="77005040"/>
    <w:rsid w:val="7706409E"/>
    <w:rsid w:val="770C61B4"/>
    <w:rsid w:val="77135A8C"/>
    <w:rsid w:val="771C2C96"/>
    <w:rsid w:val="772618AB"/>
    <w:rsid w:val="7726586C"/>
    <w:rsid w:val="772C5186"/>
    <w:rsid w:val="772D1C1A"/>
    <w:rsid w:val="77300FA6"/>
    <w:rsid w:val="773A3D47"/>
    <w:rsid w:val="773C3B52"/>
    <w:rsid w:val="773C7ABF"/>
    <w:rsid w:val="773D55E5"/>
    <w:rsid w:val="773D6723"/>
    <w:rsid w:val="773F135E"/>
    <w:rsid w:val="77467AA6"/>
    <w:rsid w:val="77471FC0"/>
    <w:rsid w:val="774C75D7"/>
    <w:rsid w:val="775070C7"/>
    <w:rsid w:val="77530965"/>
    <w:rsid w:val="775B7CD8"/>
    <w:rsid w:val="7763687C"/>
    <w:rsid w:val="776B2153"/>
    <w:rsid w:val="777059BB"/>
    <w:rsid w:val="7774302C"/>
    <w:rsid w:val="77752DF8"/>
    <w:rsid w:val="77764653"/>
    <w:rsid w:val="777F79AC"/>
    <w:rsid w:val="77834404"/>
    <w:rsid w:val="77870C32"/>
    <w:rsid w:val="77882D05"/>
    <w:rsid w:val="779C055E"/>
    <w:rsid w:val="779E027D"/>
    <w:rsid w:val="77A3571E"/>
    <w:rsid w:val="77A46D61"/>
    <w:rsid w:val="77A77297"/>
    <w:rsid w:val="77AB49BE"/>
    <w:rsid w:val="77AB69F3"/>
    <w:rsid w:val="77AE0A71"/>
    <w:rsid w:val="77B07ED5"/>
    <w:rsid w:val="77B122C2"/>
    <w:rsid w:val="77B875B5"/>
    <w:rsid w:val="77BA09E4"/>
    <w:rsid w:val="77BC011E"/>
    <w:rsid w:val="77BD2282"/>
    <w:rsid w:val="77BE09B0"/>
    <w:rsid w:val="77BF5FFA"/>
    <w:rsid w:val="77C736E5"/>
    <w:rsid w:val="77C81353"/>
    <w:rsid w:val="77C90C27"/>
    <w:rsid w:val="77C975EC"/>
    <w:rsid w:val="77CD0717"/>
    <w:rsid w:val="77D31B2E"/>
    <w:rsid w:val="77DE0382"/>
    <w:rsid w:val="77E126BA"/>
    <w:rsid w:val="77E617D9"/>
    <w:rsid w:val="77EB6DF0"/>
    <w:rsid w:val="77F143F4"/>
    <w:rsid w:val="77F2017E"/>
    <w:rsid w:val="77F24622"/>
    <w:rsid w:val="77F83C6D"/>
    <w:rsid w:val="77F9775E"/>
    <w:rsid w:val="77FC2DAB"/>
    <w:rsid w:val="78040477"/>
    <w:rsid w:val="78041205"/>
    <w:rsid w:val="780A196C"/>
    <w:rsid w:val="780B4581"/>
    <w:rsid w:val="780B56E4"/>
    <w:rsid w:val="780F5E0D"/>
    <w:rsid w:val="78112CFA"/>
    <w:rsid w:val="78153E6C"/>
    <w:rsid w:val="78160310"/>
    <w:rsid w:val="78176B3C"/>
    <w:rsid w:val="781C3334"/>
    <w:rsid w:val="78205800"/>
    <w:rsid w:val="782B3690"/>
    <w:rsid w:val="782D7408"/>
    <w:rsid w:val="782F13D2"/>
    <w:rsid w:val="783249BB"/>
    <w:rsid w:val="783562BD"/>
    <w:rsid w:val="783725DF"/>
    <w:rsid w:val="78372827"/>
    <w:rsid w:val="78414C61"/>
    <w:rsid w:val="784340FC"/>
    <w:rsid w:val="78443B94"/>
    <w:rsid w:val="78485FF0"/>
    <w:rsid w:val="784F737E"/>
    <w:rsid w:val="7851759A"/>
    <w:rsid w:val="78520C1D"/>
    <w:rsid w:val="78557748"/>
    <w:rsid w:val="78586E35"/>
    <w:rsid w:val="785D5F3F"/>
    <w:rsid w:val="78650950"/>
    <w:rsid w:val="786C7F30"/>
    <w:rsid w:val="786D1EFA"/>
    <w:rsid w:val="787E76C0"/>
    <w:rsid w:val="787F1FE0"/>
    <w:rsid w:val="78967A4B"/>
    <w:rsid w:val="789B0078"/>
    <w:rsid w:val="789F55CE"/>
    <w:rsid w:val="789F5EA1"/>
    <w:rsid w:val="78A105FE"/>
    <w:rsid w:val="78A376CA"/>
    <w:rsid w:val="78B76FC4"/>
    <w:rsid w:val="78C25DA2"/>
    <w:rsid w:val="78C740DC"/>
    <w:rsid w:val="78C935D5"/>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C526F"/>
    <w:rsid w:val="790F2EE8"/>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F71C8"/>
    <w:rsid w:val="794C7D62"/>
    <w:rsid w:val="794D2D86"/>
    <w:rsid w:val="795310F0"/>
    <w:rsid w:val="79536FEF"/>
    <w:rsid w:val="79537342"/>
    <w:rsid w:val="795940A6"/>
    <w:rsid w:val="795B3AF3"/>
    <w:rsid w:val="795D3C37"/>
    <w:rsid w:val="795E5322"/>
    <w:rsid w:val="795F7A95"/>
    <w:rsid w:val="79646E59"/>
    <w:rsid w:val="79652BD2"/>
    <w:rsid w:val="79654980"/>
    <w:rsid w:val="7967694A"/>
    <w:rsid w:val="79690266"/>
    <w:rsid w:val="79773031"/>
    <w:rsid w:val="797E3990"/>
    <w:rsid w:val="79840FA7"/>
    <w:rsid w:val="79856DD0"/>
    <w:rsid w:val="798C46A4"/>
    <w:rsid w:val="798D0B47"/>
    <w:rsid w:val="798E3ED6"/>
    <w:rsid w:val="799129B7"/>
    <w:rsid w:val="799534B7"/>
    <w:rsid w:val="799D06FD"/>
    <w:rsid w:val="79A33A55"/>
    <w:rsid w:val="79A731EA"/>
    <w:rsid w:val="79A90D10"/>
    <w:rsid w:val="79B0209F"/>
    <w:rsid w:val="79B31B8F"/>
    <w:rsid w:val="79B3566E"/>
    <w:rsid w:val="79BF322E"/>
    <w:rsid w:val="79C142AC"/>
    <w:rsid w:val="79C2379C"/>
    <w:rsid w:val="79C314E4"/>
    <w:rsid w:val="79CE69C9"/>
    <w:rsid w:val="79CF6FB6"/>
    <w:rsid w:val="79D00993"/>
    <w:rsid w:val="79D05643"/>
    <w:rsid w:val="79D22F1C"/>
    <w:rsid w:val="79D34EAE"/>
    <w:rsid w:val="79D95C19"/>
    <w:rsid w:val="79DA0B61"/>
    <w:rsid w:val="79DA35C0"/>
    <w:rsid w:val="79DF334E"/>
    <w:rsid w:val="79E306C6"/>
    <w:rsid w:val="79E85682"/>
    <w:rsid w:val="79EA1A55"/>
    <w:rsid w:val="79EB1D20"/>
    <w:rsid w:val="79EC2425"/>
    <w:rsid w:val="79ED32F3"/>
    <w:rsid w:val="79EE1472"/>
    <w:rsid w:val="79F01271"/>
    <w:rsid w:val="79F51FB6"/>
    <w:rsid w:val="79F75F20"/>
    <w:rsid w:val="7A061C2F"/>
    <w:rsid w:val="7A097A01"/>
    <w:rsid w:val="7A0D158D"/>
    <w:rsid w:val="7A103E24"/>
    <w:rsid w:val="7A106FE1"/>
    <w:rsid w:val="7A170370"/>
    <w:rsid w:val="7A1F2651"/>
    <w:rsid w:val="7A2605B3"/>
    <w:rsid w:val="7A266805"/>
    <w:rsid w:val="7A283C45"/>
    <w:rsid w:val="7A290087"/>
    <w:rsid w:val="7A2A00A3"/>
    <w:rsid w:val="7A2F56B9"/>
    <w:rsid w:val="7A307C0E"/>
    <w:rsid w:val="7A356A48"/>
    <w:rsid w:val="7A3C3932"/>
    <w:rsid w:val="7A410F49"/>
    <w:rsid w:val="7A4E3666"/>
    <w:rsid w:val="7A523AF4"/>
    <w:rsid w:val="7A550ECC"/>
    <w:rsid w:val="7A552C46"/>
    <w:rsid w:val="7A5616AF"/>
    <w:rsid w:val="7A6246C9"/>
    <w:rsid w:val="7A680BCB"/>
    <w:rsid w:val="7A794B87"/>
    <w:rsid w:val="7A7C01D3"/>
    <w:rsid w:val="7A7F0907"/>
    <w:rsid w:val="7A805F15"/>
    <w:rsid w:val="7A807CC3"/>
    <w:rsid w:val="7A811E80"/>
    <w:rsid w:val="7A840125"/>
    <w:rsid w:val="7A886B78"/>
    <w:rsid w:val="7A8C22DE"/>
    <w:rsid w:val="7A8D2CB9"/>
    <w:rsid w:val="7A902F4D"/>
    <w:rsid w:val="7A916C03"/>
    <w:rsid w:val="7A926D8F"/>
    <w:rsid w:val="7A970C14"/>
    <w:rsid w:val="7A995229"/>
    <w:rsid w:val="7A996FD7"/>
    <w:rsid w:val="7AA03EC1"/>
    <w:rsid w:val="7AA65250"/>
    <w:rsid w:val="7AAF67FA"/>
    <w:rsid w:val="7AB36300"/>
    <w:rsid w:val="7AB45BBF"/>
    <w:rsid w:val="7AB61937"/>
    <w:rsid w:val="7ABE07EB"/>
    <w:rsid w:val="7AC21FB4"/>
    <w:rsid w:val="7AC51B7A"/>
    <w:rsid w:val="7AC5601E"/>
    <w:rsid w:val="7ACF700A"/>
    <w:rsid w:val="7AD1051F"/>
    <w:rsid w:val="7AD667C9"/>
    <w:rsid w:val="7AD86AF4"/>
    <w:rsid w:val="7AD96269"/>
    <w:rsid w:val="7ADD5115"/>
    <w:rsid w:val="7AE2097E"/>
    <w:rsid w:val="7AE55D78"/>
    <w:rsid w:val="7AEA1CF5"/>
    <w:rsid w:val="7AEA7832"/>
    <w:rsid w:val="7AED10D1"/>
    <w:rsid w:val="7AF4245F"/>
    <w:rsid w:val="7AF661D7"/>
    <w:rsid w:val="7AFF570D"/>
    <w:rsid w:val="7B000E04"/>
    <w:rsid w:val="7B073F40"/>
    <w:rsid w:val="7B09415C"/>
    <w:rsid w:val="7B0F1047"/>
    <w:rsid w:val="7B18614D"/>
    <w:rsid w:val="7B187EFC"/>
    <w:rsid w:val="7B2F3497"/>
    <w:rsid w:val="7B354F51"/>
    <w:rsid w:val="7B3867F0"/>
    <w:rsid w:val="7B3A2568"/>
    <w:rsid w:val="7B405C62"/>
    <w:rsid w:val="7B426B4F"/>
    <w:rsid w:val="7B427D7A"/>
    <w:rsid w:val="7B430CF1"/>
    <w:rsid w:val="7B436DED"/>
    <w:rsid w:val="7B454A69"/>
    <w:rsid w:val="7B486307"/>
    <w:rsid w:val="7B48665E"/>
    <w:rsid w:val="7B494559"/>
    <w:rsid w:val="7B4E1B6F"/>
    <w:rsid w:val="7B544DE1"/>
    <w:rsid w:val="7B571A2E"/>
    <w:rsid w:val="7B6662D4"/>
    <w:rsid w:val="7B6770D5"/>
    <w:rsid w:val="7B6952BF"/>
    <w:rsid w:val="7B6A748C"/>
    <w:rsid w:val="7B754D99"/>
    <w:rsid w:val="7B7B492E"/>
    <w:rsid w:val="7B7F61CD"/>
    <w:rsid w:val="7B824746"/>
    <w:rsid w:val="7B835D45"/>
    <w:rsid w:val="7B871525"/>
    <w:rsid w:val="7B890DF9"/>
    <w:rsid w:val="7B89704B"/>
    <w:rsid w:val="7B931C78"/>
    <w:rsid w:val="7B933A26"/>
    <w:rsid w:val="7BA55C3B"/>
    <w:rsid w:val="7BA677C5"/>
    <w:rsid w:val="7BB1183B"/>
    <w:rsid w:val="7BB26436"/>
    <w:rsid w:val="7BB87930"/>
    <w:rsid w:val="7BBA69D6"/>
    <w:rsid w:val="7BBA7205"/>
    <w:rsid w:val="7BBC11CF"/>
    <w:rsid w:val="7BBE0E4B"/>
    <w:rsid w:val="7BBF0CBF"/>
    <w:rsid w:val="7BBF481B"/>
    <w:rsid w:val="7BBF4E1C"/>
    <w:rsid w:val="7BC2430B"/>
    <w:rsid w:val="7BC6663D"/>
    <w:rsid w:val="7BC77B74"/>
    <w:rsid w:val="7BC9569A"/>
    <w:rsid w:val="7BCD065D"/>
    <w:rsid w:val="7BDA78A7"/>
    <w:rsid w:val="7BDF7C5F"/>
    <w:rsid w:val="7BE129E3"/>
    <w:rsid w:val="7BE17458"/>
    <w:rsid w:val="7BE75D06"/>
    <w:rsid w:val="7BEB3862"/>
    <w:rsid w:val="7BED3DCF"/>
    <w:rsid w:val="7BF546E1"/>
    <w:rsid w:val="7BF74E3B"/>
    <w:rsid w:val="7BF87D2D"/>
    <w:rsid w:val="7C01358C"/>
    <w:rsid w:val="7C030BAC"/>
    <w:rsid w:val="7C08168C"/>
    <w:rsid w:val="7C11382C"/>
    <w:rsid w:val="7C18687F"/>
    <w:rsid w:val="7C1C76BD"/>
    <w:rsid w:val="7C1D1542"/>
    <w:rsid w:val="7C232FFC"/>
    <w:rsid w:val="7C237B8A"/>
    <w:rsid w:val="7C257CBE"/>
    <w:rsid w:val="7C2E19A1"/>
    <w:rsid w:val="7C336426"/>
    <w:rsid w:val="7C356D43"/>
    <w:rsid w:val="7C374CF9"/>
    <w:rsid w:val="7C431A41"/>
    <w:rsid w:val="7C4412E1"/>
    <w:rsid w:val="7C4446F4"/>
    <w:rsid w:val="7C444D20"/>
    <w:rsid w:val="7C492337"/>
    <w:rsid w:val="7C52568F"/>
    <w:rsid w:val="7C5E5077"/>
    <w:rsid w:val="7C6230DB"/>
    <w:rsid w:val="7C63164A"/>
    <w:rsid w:val="7C66738C"/>
    <w:rsid w:val="7C690F17"/>
    <w:rsid w:val="7C69673C"/>
    <w:rsid w:val="7C714109"/>
    <w:rsid w:val="7C766D2B"/>
    <w:rsid w:val="7C7E0232"/>
    <w:rsid w:val="7C835849"/>
    <w:rsid w:val="7C857813"/>
    <w:rsid w:val="7C86221B"/>
    <w:rsid w:val="7C8C2AE3"/>
    <w:rsid w:val="7C9006F1"/>
    <w:rsid w:val="7C9537CE"/>
    <w:rsid w:val="7C9E08D4"/>
    <w:rsid w:val="7CAD0B17"/>
    <w:rsid w:val="7CAF04D4"/>
    <w:rsid w:val="7CAF4890"/>
    <w:rsid w:val="7CB01901"/>
    <w:rsid w:val="7CB023B6"/>
    <w:rsid w:val="7CB11FA8"/>
    <w:rsid w:val="7CB426EE"/>
    <w:rsid w:val="7CBC6FAC"/>
    <w:rsid w:val="7CC03568"/>
    <w:rsid w:val="7CC548D0"/>
    <w:rsid w:val="7CC61BD9"/>
    <w:rsid w:val="7CC860A5"/>
    <w:rsid w:val="7CCB2E3A"/>
    <w:rsid w:val="7CCD68E7"/>
    <w:rsid w:val="7CD97B5E"/>
    <w:rsid w:val="7CE32944"/>
    <w:rsid w:val="7CE404A4"/>
    <w:rsid w:val="7CE4330E"/>
    <w:rsid w:val="7CEE2BCE"/>
    <w:rsid w:val="7CF229CE"/>
    <w:rsid w:val="7D0050EB"/>
    <w:rsid w:val="7D0338A2"/>
    <w:rsid w:val="7D034BDB"/>
    <w:rsid w:val="7D0561DF"/>
    <w:rsid w:val="7D0C6095"/>
    <w:rsid w:val="7D0E5A5A"/>
    <w:rsid w:val="7D0F1E45"/>
    <w:rsid w:val="7D135677"/>
    <w:rsid w:val="7D1B104E"/>
    <w:rsid w:val="7D1D4C50"/>
    <w:rsid w:val="7D1D5C9D"/>
    <w:rsid w:val="7D23174B"/>
    <w:rsid w:val="7D242BDB"/>
    <w:rsid w:val="7D250B4D"/>
    <w:rsid w:val="7D25327D"/>
    <w:rsid w:val="7D2C7C8E"/>
    <w:rsid w:val="7D2E2162"/>
    <w:rsid w:val="7D2E53CE"/>
    <w:rsid w:val="7D3036DB"/>
    <w:rsid w:val="7D32101D"/>
    <w:rsid w:val="7D3905FD"/>
    <w:rsid w:val="7D3B6CFC"/>
    <w:rsid w:val="7D470F6C"/>
    <w:rsid w:val="7D494CE4"/>
    <w:rsid w:val="7D4A280A"/>
    <w:rsid w:val="7D4C0330"/>
    <w:rsid w:val="7D4E22FA"/>
    <w:rsid w:val="7D4E40A8"/>
    <w:rsid w:val="7D545437"/>
    <w:rsid w:val="7D562F5D"/>
    <w:rsid w:val="7D580E3B"/>
    <w:rsid w:val="7D5D253D"/>
    <w:rsid w:val="7D67516A"/>
    <w:rsid w:val="7D6A07B6"/>
    <w:rsid w:val="7D6C7F41"/>
    <w:rsid w:val="7D6F3769"/>
    <w:rsid w:val="7D780418"/>
    <w:rsid w:val="7D7B29C4"/>
    <w:rsid w:val="7D851A94"/>
    <w:rsid w:val="7D852E5E"/>
    <w:rsid w:val="7D87580C"/>
    <w:rsid w:val="7D8908F9"/>
    <w:rsid w:val="7D8A2C07"/>
    <w:rsid w:val="7D9113F0"/>
    <w:rsid w:val="7D9341B1"/>
    <w:rsid w:val="7D9D1F01"/>
    <w:rsid w:val="7DAF0C8C"/>
    <w:rsid w:val="7DAF2372"/>
    <w:rsid w:val="7DB36601"/>
    <w:rsid w:val="7DB859C6"/>
    <w:rsid w:val="7DB87534"/>
    <w:rsid w:val="7DC27B7C"/>
    <w:rsid w:val="7DC437A1"/>
    <w:rsid w:val="7DC56785"/>
    <w:rsid w:val="7DC83B00"/>
    <w:rsid w:val="7DC9372F"/>
    <w:rsid w:val="7DD02D0F"/>
    <w:rsid w:val="7DD2549D"/>
    <w:rsid w:val="7DD50326"/>
    <w:rsid w:val="7DD547CA"/>
    <w:rsid w:val="7DDD542C"/>
    <w:rsid w:val="7DE40569"/>
    <w:rsid w:val="7DE91552"/>
    <w:rsid w:val="7DF05160"/>
    <w:rsid w:val="7DF20182"/>
    <w:rsid w:val="7DFC2364"/>
    <w:rsid w:val="7E05786D"/>
    <w:rsid w:val="7E0724A9"/>
    <w:rsid w:val="7E096221"/>
    <w:rsid w:val="7E123328"/>
    <w:rsid w:val="7E12404D"/>
    <w:rsid w:val="7E1A121E"/>
    <w:rsid w:val="7E1A3F8B"/>
    <w:rsid w:val="7E1E56F5"/>
    <w:rsid w:val="7E227624"/>
    <w:rsid w:val="7E244E09"/>
    <w:rsid w:val="7E293E24"/>
    <w:rsid w:val="7E2B43EA"/>
    <w:rsid w:val="7E2D63B4"/>
    <w:rsid w:val="7E2E2D4B"/>
    <w:rsid w:val="7E2F1168"/>
    <w:rsid w:val="7E3F60E7"/>
    <w:rsid w:val="7E41524D"/>
    <w:rsid w:val="7E430A4C"/>
    <w:rsid w:val="7E4620E1"/>
    <w:rsid w:val="7E5202D3"/>
    <w:rsid w:val="7E635932"/>
    <w:rsid w:val="7E6416AA"/>
    <w:rsid w:val="7E652BEB"/>
    <w:rsid w:val="7E6D4A02"/>
    <w:rsid w:val="7E722019"/>
    <w:rsid w:val="7E78024A"/>
    <w:rsid w:val="7E786F03"/>
    <w:rsid w:val="7E8450F6"/>
    <w:rsid w:val="7E857F9E"/>
    <w:rsid w:val="7E8835EA"/>
    <w:rsid w:val="7E9401E1"/>
    <w:rsid w:val="7E9735D9"/>
    <w:rsid w:val="7E9755DB"/>
    <w:rsid w:val="7E9A331D"/>
    <w:rsid w:val="7E9B0485"/>
    <w:rsid w:val="7E9C7095"/>
    <w:rsid w:val="7E9D7975"/>
    <w:rsid w:val="7EA5047E"/>
    <w:rsid w:val="7EB02B41"/>
    <w:rsid w:val="7EB97C47"/>
    <w:rsid w:val="7EBF1AAA"/>
    <w:rsid w:val="7EC00FD6"/>
    <w:rsid w:val="7EC65EC0"/>
    <w:rsid w:val="7ECD724F"/>
    <w:rsid w:val="7ED22AB7"/>
    <w:rsid w:val="7ED56104"/>
    <w:rsid w:val="7EDB7BBE"/>
    <w:rsid w:val="7EE60311"/>
    <w:rsid w:val="7EED78F1"/>
    <w:rsid w:val="7EEF64CE"/>
    <w:rsid w:val="7EF13645"/>
    <w:rsid w:val="7EF235FE"/>
    <w:rsid w:val="7EF40C80"/>
    <w:rsid w:val="7EF55075"/>
    <w:rsid w:val="7EF70770"/>
    <w:rsid w:val="7EF7251E"/>
    <w:rsid w:val="7EFD797B"/>
    <w:rsid w:val="7F020597"/>
    <w:rsid w:val="7F0215EE"/>
    <w:rsid w:val="7F027E37"/>
    <w:rsid w:val="7F030EC3"/>
    <w:rsid w:val="7F060810"/>
    <w:rsid w:val="7F080287"/>
    <w:rsid w:val="7F116BFC"/>
    <w:rsid w:val="7F160BF6"/>
    <w:rsid w:val="7F160CF6"/>
    <w:rsid w:val="7F1906E6"/>
    <w:rsid w:val="7F1F4551"/>
    <w:rsid w:val="7F280929"/>
    <w:rsid w:val="7F2B473E"/>
    <w:rsid w:val="7F2C666B"/>
    <w:rsid w:val="7F2D5F40"/>
    <w:rsid w:val="7F475176"/>
    <w:rsid w:val="7F4E1285"/>
    <w:rsid w:val="7F5259A6"/>
    <w:rsid w:val="7F567244"/>
    <w:rsid w:val="7F58120E"/>
    <w:rsid w:val="7F581804"/>
    <w:rsid w:val="7F68581B"/>
    <w:rsid w:val="7F686F78"/>
    <w:rsid w:val="7F6C4CBA"/>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9D4E73"/>
    <w:rsid w:val="7FA22FD9"/>
    <w:rsid w:val="7FA61218"/>
    <w:rsid w:val="7FAA0C38"/>
    <w:rsid w:val="7FAA7590"/>
    <w:rsid w:val="7FAD3976"/>
    <w:rsid w:val="7FB64187"/>
    <w:rsid w:val="7FBA3C77"/>
    <w:rsid w:val="7FBC33D3"/>
    <w:rsid w:val="7FC756CE"/>
    <w:rsid w:val="7FCD0635"/>
    <w:rsid w:val="7FCE6DA9"/>
    <w:rsid w:val="7FD367AA"/>
    <w:rsid w:val="7FD810E5"/>
    <w:rsid w:val="7FD8234F"/>
    <w:rsid w:val="7FDD7966"/>
    <w:rsid w:val="7FDF0FB8"/>
    <w:rsid w:val="7FE506E7"/>
    <w:rsid w:val="7FEC09EB"/>
    <w:rsid w:val="7FEC1F50"/>
    <w:rsid w:val="7FED79D9"/>
    <w:rsid w:val="7FF52F01"/>
    <w:rsid w:val="7FF56D01"/>
    <w:rsid w:val="7FF770F3"/>
    <w:rsid w:val="7FFA0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8">
    <w:name w:val="Default Paragraph Font"/>
    <w:autoRedefine/>
    <w:semiHidden/>
    <w:qFormat/>
    <w:uiPriority w:val="0"/>
  </w:style>
  <w:style w:type="table" w:default="1" w:styleId="26">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6"/>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Title"/>
    <w:basedOn w:val="1"/>
    <w:next w:val="1"/>
    <w:qFormat/>
    <w:uiPriority w:val="10"/>
    <w:pPr>
      <w:spacing w:before="240" w:after="60"/>
      <w:jc w:val="center"/>
      <w:outlineLvl w:val="0"/>
    </w:pPr>
    <w:rPr>
      <w:rFonts w:ascii="Cambria" w:hAnsi="Cambria"/>
      <w:b/>
      <w:bCs/>
      <w:kern w:val="0"/>
      <w:sz w:val="32"/>
      <w:szCs w:val="32"/>
    </w:rPr>
  </w:style>
  <w:style w:type="paragraph" w:styleId="24">
    <w:name w:val="annotation subject"/>
    <w:basedOn w:val="11"/>
    <w:next w:val="11"/>
    <w:autoRedefine/>
    <w:semiHidden/>
    <w:qFormat/>
    <w:uiPriority w:val="0"/>
    <w:rPr>
      <w:b/>
      <w:bCs/>
      <w:kern w:val="2"/>
      <w:szCs w:val="24"/>
    </w:rPr>
  </w:style>
  <w:style w:type="paragraph" w:styleId="25">
    <w:name w:val="Body Text First Indent"/>
    <w:basedOn w:val="12"/>
    <w:autoRedefine/>
    <w:qFormat/>
    <w:uiPriority w:val="0"/>
    <w:pPr>
      <w:ind w:firstLine="420" w:firstLineChars="100"/>
    </w:p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autoRedefine/>
    <w:qFormat/>
    <w:uiPriority w:val="0"/>
  </w:style>
  <w:style w:type="character" w:styleId="30">
    <w:name w:val="HTML Cite"/>
    <w:basedOn w:val="28"/>
    <w:autoRedefine/>
    <w:qFormat/>
    <w:uiPriority w:val="0"/>
    <w:rPr>
      <w:i/>
      <w:iCs/>
    </w:rPr>
  </w:style>
  <w:style w:type="paragraph" w:customStyle="1" w:styleId="31">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2">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3">
    <w:name w:val="表格"/>
    <w:basedOn w:val="34"/>
    <w:autoRedefine/>
    <w:qFormat/>
    <w:uiPriority w:val="0"/>
    <w:pPr>
      <w:spacing w:line="240" w:lineRule="auto"/>
      <w:ind w:firstLine="0" w:firstLineChars="0"/>
      <w:jc w:val="center"/>
    </w:pPr>
    <w:rPr>
      <w:sz w:val="21"/>
      <w:szCs w:val="21"/>
    </w:rPr>
  </w:style>
  <w:style w:type="paragraph" w:customStyle="1" w:styleId="34">
    <w:name w:val="正文-ls"/>
    <w:basedOn w:val="1"/>
    <w:autoRedefine/>
    <w:qFormat/>
    <w:uiPriority w:val="0"/>
    <w:pPr>
      <w:spacing w:line="360" w:lineRule="auto"/>
      <w:ind w:firstLine="200" w:firstLineChars="200"/>
    </w:pPr>
    <w:rPr>
      <w:rFonts w:hAnsi="宋体"/>
      <w:sz w:val="24"/>
      <w:szCs w:val="20"/>
    </w:rPr>
  </w:style>
  <w:style w:type="paragraph" w:styleId="35">
    <w:name w:val="List Paragraph"/>
    <w:basedOn w:val="1"/>
    <w:autoRedefine/>
    <w:qFormat/>
    <w:uiPriority w:val="34"/>
    <w:pPr>
      <w:ind w:firstLine="420" w:firstLineChars="200"/>
    </w:pPr>
  </w:style>
  <w:style w:type="paragraph" w:customStyle="1" w:styleId="36">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7">
    <w:name w:val="page number"/>
    <w:basedOn w:val="28"/>
    <w:autoRedefine/>
    <w:qFormat/>
    <w:uiPriority w:val="0"/>
  </w:style>
  <w:style w:type="paragraph" w:customStyle="1" w:styleId="38">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9">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40">
    <w:name w:val="123"/>
    <w:basedOn w:val="41"/>
    <w:autoRedefine/>
    <w:qFormat/>
    <w:uiPriority w:val="0"/>
    <w:pPr>
      <w:ind w:firstLine="480" w:firstLineChars="200"/>
    </w:pPr>
    <w:rPr>
      <w:szCs w:val="24"/>
    </w:rPr>
  </w:style>
  <w:style w:type="paragraph" w:customStyle="1" w:styleId="41">
    <w:name w:val="正文格式"/>
    <w:basedOn w:val="1"/>
    <w:autoRedefine/>
    <w:qFormat/>
    <w:uiPriority w:val="0"/>
    <w:pPr>
      <w:spacing w:line="360" w:lineRule="auto"/>
      <w:ind w:firstLine="482"/>
    </w:pPr>
    <w:rPr>
      <w:rFonts w:ascii="宋体" w:hAnsi="宋体"/>
      <w:sz w:val="24"/>
      <w:szCs w:val="20"/>
    </w:rPr>
  </w:style>
  <w:style w:type="paragraph" w:customStyle="1" w:styleId="42">
    <w:name w:val="表里内容"/>
    <w:basedOn w:val="43"/>
    <w:autoRedefine/>
    <w:qFormat/>
    <w:uiPriority w:val="0"/>
    <w:pPr>
      <w:spacing w:beforeLines="0"/>
    </w:pPr>
  </w:style>
  <w:style w:type="paragraph" w:customStyle="1" w:styleId="43">
    <w:name w:val="表名"/>
    <w:basedOn w:val="1"/>
    <w:autoRedefine/>
    <w:qFormat/>
    <w:uiPriority w:val="0"/>
    <w:pPr>
      <w:spacing w:beforeLines="50"/>
      <w:jc w:val="center"/>
    </w:pPr>
  </w:style>
  <w:style w:type="paragraph" w:customStyle="1" w:styleId="44">
    <w:name w:val="正文（标准）"/>
    <w:basedOn w:val="1"/>
    <w:autoRedefine/>
    <w:qFormat/>
    <w:uiPriority w:val="0"/>
    <w:pPr>
      <w:adjustRightInd w:val="0"/>
      <w:spacing w:line="360" w:lineRule="auto"/>
      <w:ind w:firstLine="200" w:firstLineChars="200"/>
    </w:pPr>
    <w:rPr>
      <w:sz w:val="24"/>
      <w:szCs w:val="30"/>
    </w:rPr>
  </w:style>
  <w:style w:type="paragraph" w:customStyle="1" w:styleId="45">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6">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7">
    <w:name w:val="表文6"/>
    <w:basedOn w:val="1"/>
    <w:autoRedefine/>
    <w:qFormat/>
    <w:uiPriority w:val="0"/>
    <w:pPr>
      <w:spacing w:line="240" w:lineRule="auto"/>
      <w:ind w:firstLine="0" w:firstLineChars="0"/>
      <w:jc w:val="center"/>
    </w:pPr>
    <w:rPr>
      <w:b/>
      <w:szCs w:val="24"/>
    </w:rPr>
  </w:style>
  <w:style w:type="paragraph" w:customStyle="1" w:styleId="48">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9">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50">
    <w:name w:val="456"/>
    <w:basedOn w:val="1"/>
    <w:autoRedefine/>
    <w:qFormat/>
    <w:uiPriority w:val="0"/>
    <w:pPr>
      <w:spacing w:line="600" w:lineRule="auto"/>
    </w:pPr>
    <w:rPr>
      <w:b/>
      <w:bCs/>
      <w:sz w:val="28"/>
      <w:szCs w:val="28"/>
    </w:rPr>
  </w:style>
  <w:style w:type="paragraph" w:customStyle="1" w:styleId="51">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2">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3">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4">
    <w:name w:val="管线正文 Char"/>
    <w:basedOn w:val="28"/>
    <w:autoRedefine/>
    <w:qFormat/>
    <w:uiPriority w:val="0"/>
    <w:rPr>
      <w:sz w:val="24"/>
      <w:szCs w:val="24"/>
    </w:rPr>
  </w:style>
  <w:style w:type="character" w:customStyle="1" w:styleId="55">
    <w:name w:val="正文文本首行缩进 字符"/>
    <w:basedOn w:val="56"/>
    <w:autoRedefine/>
    <w:qFormat/>
    <w:uiPriority w:val="0"/>
    <w:rPr>
      <w:kern w:val="2"/>
      <w:sz w:val="21"/>
      <w:szCs w:val="24"/>
    </w:rPr>
  </w:style>
  <w:style w:type="character" w:customStyle="1" w:styleId="56">
    <w:name w:val="正文文本 字符"/>
    <w:basedOn w:val="28"/>
    <w:link w:val="12"/>
    <w:autoRedefine/>
    <w:qFormat/>
    <w:uiPriority w:val="0"/>
    <w:rPr>
      <w:kern w:val="2"/>
      <w:sz w:val="21"/>
      <w:szCs w:val="24"/>
    </w:rPr>
  </w:style>
  <w:style w:type="paragraph" w:customStyle="1" w:styleId="57">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8">
    <w:name w:val="4正文"/>
    <w:basedOn w:val="1"/>
    <w:link w:val="62"/>
    <w:autoRedefine/>
    <w:qFormat/>
    <w:uiPriority w:val="0"/>
    <w:rPr>
      <w:szCs w:val="22"/>
      <w:lang w:val="zh-CN"/>
    </w:rPr>
  </w:style>
  <w:style w:type="paragraph" w:customStyle="1" w:styleId="59">
    <w:name w:val="5表文"/>
    <w:basedOn w:val="1"/>
    <w:autoRedefine/>
    <w:qFormat/>
    <w:uiPriority w:val="0"/>
    <w:pPr>
      <w:spacing w:line="240" w:lineRule="auto"/>
      <w:ind w:firstLine="0" w:firstLineChars="0"/>
      <w:jc w:val="center"/>
    </w:pPr>
    <w:rPr>
      <w:sz w:val="21"/>
      <w:szCs w:val="20"/>
      <w:lang w:val="zh-CN"/>
    </w:rPr>
  </w:style>
  <w:style w:type="paragraph" w:customStyle="1" w:styleId="60">
    <w:name w:val="5-表标题"/>
    <w:basedOn w:val="1"/>
    <w:autoRedefine/>
    <w:qFormat/>
    <w:uiPriority w:val="0"/>
    <w:pPr>
      <w:spacing w:line="240" w:lineRule="auto"/>
      <w:ind w:firstLine="0" w:firstLineChars="0"/>
      <w:jc w:val="center"/>
    </w:pPr>
    <w:rPr>
      <w:b/>
      <w:sz w:val="21"/>
      <w:lang w:val="zh-CN"/>
    </w:rPr>
  </w:style>
  <w:style w:type="character" w:customStyle="1" w:styleId="61">
    <w:name w:val="5表文 Char Char"/>
    <w:autoRedefine/>
    <w:qFormat/>
    <w:uiPriority w:val="0"/>
    <w:rPr>
      <w:kern w:val="2"/>
      <w:sz w:val="21"/>
    </w:rPr>
  </w:style>
  <w:style w:type="character" w:customStyle="1" w:styleId="62">
    <w:name w:val="4正文 Char"/>
    <w:link w:val="58"/>
    <w:autoRedefine/>
    <w:qFormat/>
    <w:uiPriority w:val="0"/>
    <w:rPr>
      <w:szCs w:val="22"/>
      <w:lang w:val="zh-CN"/>
    </w:rPr>
  </w:style>
  <w:style w:type="paragraph" w:customStyle="1" w:styleId="63">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4">
    <w:name w:val="表格式"/>
    <w:basedOn w:val="18"/>
    <w:autoRedefine/>
    <w:qFormat/>
    <w:uiPriority w:val="0"/>
    <w:pPr>
      <w:ind w:left="0" w:firstLine="0" w:firstLineChars="0"/>
      <w:jc w:val="center"/>
    </w:pPr>
    <w:rPr>
      <w:rFonts w:ascii="宋体"/>
      <w:szCs w:val="20"/>
    </w:rPr>
  </w:style>
  <w:style w:type="paragraph" w:customStyle="1" w:styleId="65">
    <w:name w:val="表格文字"/>
    <w:basedOn w:val="1"/>
    <w:autoRedefine/>
    <w:qFormat/>
    <w:uiPriority w:val="0"/>
    <w:pPr>
      <w:spacing w:line="360" w:lineRule="auto"/>
      <w:jc w:val="center"/>
    </w:pPr>
    <w:rPr>
      <w:rFonts w:hAnsi="宋体"/>
      <w:spacing w:val="-10"/>
      <w:kern w:val="0"/>
      <w:szCs w:val="21"/>
    </w:rPr>
  </w:style>
  <w:style w:type="character" w:customStyle="1" w:styleId="66">
    <w:name w:val="标题 1 Char"/>
    <w:autoRedefine/>
    <w:qFormat/>
    <w:uiPriority w:val="0"/>
    <w:rPr>
      <w:rFonts w:eastAsia="宋体"/>
      <w:b/>
      <w:bCs/>
      <w:kern w:val="44"/>
      <w:sz w:val="44"/>
      <w:szCs w:val="44"/>
      <w:lang w:val="en-US" w:eastAsia="zh-CN" w:bidi="ar-SA"/>
    </w:rPr>
  </w:style>
  <w:style w:type="paragraph" w:customStyle="1" w:styleId="67">
    <w:name w:val="Table Paragraph"/>
    <w:basedOn w:val="1"/>
    <w:autoRedefine/>
    <w:qFormat/>
    <w:uiPriority w:val="1"/>
    <w:pPr>
      <w:jc w:val="center"/>
    </w:pPr>
    <w:rPr>
      <w:rFonts w:ascii="宋体" w:hAnsi="宋体" w:eastAsia="宋体" w:cs="宋体"/>
      <w:lang w:val="en-US" w:eastAsia="zh-CN" w:bidi="ar-SA"/>
    </w:rPr>
  </w:style>
  <w:style w:type="character" w:customStyle="1" w:styleId="68">
    <w:name w:val="font11"/>
    <w:basedOn w:val="28"/>
    <w:autoRedefine/>
    <w:qFormat/>
    <w:uiPriority w:val="0"/>
    <w:rPr>
      <w:rFonts w:hint="eastAsia" w:ascii="宋体" w:hAnsi="宋体" w:eastAsia="宋体" w:cs="宋体"/>
      <w:color w:val="0000FF"/>
      <w:sz w:val="21"/>
      <w:szCs w:val="21"/>
      <w:u w:val="none"/>
    </w:rPr>
  </w:style>
  <w:style w:type="paragraph" w:customStyle="1" w:styleId="69">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70">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1">
    <w:name w:val="表格头"/>
    <w:basedOn w:val="1"/>
    <w:autoRedefine/>
    <w:qFormat/>
    <w:uiPriority w:val="0"/>
    <w:pPr>
      <w:spacing w:line="360" w:lineRule="auto"/>
      <w:jc w:val="center"/>
    </w:pPr>
    <w:rPr>
      <w:rFonts w:ascii="Times New Roman" w:hAnsi="Times New Roman"/>
      <w:b/>
      <w:szCs w:val="21"/>
    </w:rPr>
  </w:style>
  <w:style w:type="paragraph" w:customStyle="1" w:styleId="72">
    <w:name w:val="WPSOffice手动目录 1"/>
    <w:autoRedefine/>
    <w:qFormat/>
    <w:uiPriority w:val="0"/>
    <w:pPr>
      <w:ind w:leftChars="0"/>
    </w:pPr>
    <w:rPr>
      <w:rFonts w:ascii="Times New Roman" w:hAnsi="Times New Roman" w:eastAsia="宋体" w:cs="Times New Roman"/>
      <w:sz w:val="20"/>
      <w:szCs w:val="20"/>
    </w:rPr>
  </w:style>
  <w:style w:type="paragraph" w:customStyle="1" w:styleId="73">
    <w:name w:val="1级标题"/>
    <w:basedOn w:val="1"/>
    <w:autoRedefine/>
    <w:qFormat/>
    <w:uiPriority w:val="0"/>
    <w:pPr>
      <w:outlineLvl w:val="0"/>
    </w:pPr>
    <w:rPr>
      <w:rFonts w:eastAsia="仿宋"/>
      <w:b/>
      <w:sz w:val="32"/>
      <w:szCs w:val="32"/>
    </w:rPr>
  </w:style>
  <w:style w:type="paragraph" w:customStyle="1" w:styleId="74">
    <w:name w:val="2021表格正文"/>
    <w:basedOn w:val="75"/>
    <w:autoRedefine/>
    <w:qFormat/>
    <w:uiPriority w:val="0"/>
  </w:style>
  <w:style w:type="paragraph" w:customStyle="1" w:styleId="75">
    <w:name w:val="2021表格样式"/>
    <w:basedOn w:val="76"/>
    <w:autoRedefine/>
    <w:qFormat/>
    <w:uiPriority w:val="0"/>
    <w:rPr>
      <w:rFonts w:ascii="仿宋" w:hAnsi="仿宋"/>
    </w:rPr>
  </w:style>
  <w:style w:type="paragraph" w:customStyle="1" w:styleId="76">
    <w:name w:val="2019表格"/>
    <w:basedOn w:val="77"/>
    <w:autoRedefine/>
    <w:qFormat/>
    <w:uiPriority w:val="0"/>
  </w:style>
  <w:style w:type="paragraph" w:customStyle="1" w:styleId="77">
    <w:name w:val="正文表格新"/>
    <w:basedOn w:val="78"/>
    <w:autoRedefine/>
    <w:qFormat/>
    <w:uiPriority w:val="0"/>
    <w:pPr>
      <w:spacing w:line="240" w:lineRule="auto"/>
    </w:pPr>
    <w:rPr>
      <w:rFonts w:eastAsia="仿宋"/>
    </w:rPr>
  </w:style>
  <w:style w:type="paragraph" w:customStyle="1" w:styleId="78">
    <w:name w:val="正文表格"/>
    <w:basedOn w:val="79"/>
    <w:autoRedefine/>
    <w:qFormat/>
    <w:uiPriority w:val="0"/>
    <w:pPr>
      <w:spacing w:line="240" w:lineRule="exact"/>
    </w:pPr>
  </w:style>
  <w:style w:type="paragraph" w:customStyle="1" w:styleId="79">
    <w:name w:val="正文表"/>
    <w:basedOn w:val="1"/>
    <w:autoRedefine/>
    <w:qFormat/>
    <w:uiPriority w:val="0"/>
    <w:pPr>
      <w:adjustRightInd w:val="0"/>
      <w:jc w:val="center"/>
    </w:pPr>
    <w:rPr>
      <w:bCs/>
      <w:szCs w:val="21"/>
    </w:rPr>
  </w:style>
  <w:style w:type="paragraph" w:customStyle="1" w:styleId="80">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1">
    <w:name w:val="Default"/>
    <w:basedOn w:val="8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纯文本1"/>
    <w:basedOn w:val="1"/>
    <w:qFormat/>
    <w:uiPriority w:val="0"/>
    <w:rPr>
      <w:rFonts w:ascii="宋体" w:hAnsi="Courier New" w:cs="Courier New"/>
      <w:szCs w:val="21"/>
    </w:rPr>
  </w:style>
  <w:style w:type="paragraph" w:customStyle="1" w:styleId="83">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4">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5">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_Style 16"/>
    <w:basedOn w:val="1"/>
    <w:next w:val="14"/>
    <w:autoRedefine/>
    <w:qFormat/>
    <w:uiPriority w:val="0"/>
    <w:rPr>
      <w:rFonts w:ascii="宋体" w:hAnsi="Courier New"/>
      <w:szCs w:val="20"/>
    </w:rPr>
  </w:style>
  <w:style w:type="paragraph" w:styleId="87">
    <w:name w:val="No Spacing"/>
    <w:basedOn w:val="1"/>
    <w:autoRedefine/>
    <w:qFormat/>
    <w:uiPriority w:val="1"/>
    <w:pPr>
      <w:adjustRightInd w:val="0"/>
      <w:snapToGrid w:val="0"/>
      <w:spacing w:line="360" w:lineRule="auto"/>
    </w:pPr>
    <w:rPr>
      <w:rFonts w:cstheme="minorBidi"/>
      <w:sz w:val="21"/>
      <w:szCs w:val="22"/>
    </w:rPr>
  </w:style>
  <w:style w:type="paragraph" w:customStyle="1" w:styleId="88">
    <w:name w:val="样式 标题 1 + 首行缩进:  2 字符"/>
    <w:basedOn w:val="12"/>
    <w:next w:val="1"/>
    <w:autoRedefine/>
    <w:qFormat/>
    <w:uiPriority w:val="0"/>
    <w:pPr>
      <w:ind w:firstLine="200" w:firstLineChars="200"/>
      <w:jc w:val="center"/>
    </w:pPr>
    <w:rPr>
      <w:rFonts w:cs="宋体"/>
    </w:rPr>
  </w:style>
  <w:style w:type="paragraph" w:customStyle="1" w:styleId="89">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90">
    <w:name w:val="news1"/>
    <w:autoRedefine/>
    <w:qFormat/>
    <w:uiPriority w:val="0"/>
    <w:rPr>
      <w:color w:val="000000"/>
      <w:sz w:val="18"/>
      <w:szCs w:val="18"/>
      <w:u w:val="none"/>
    </w:rPr>
  </w:style>
  <w:style w:type="paragraph" w:customStyle="1" w:styleId="91">
    <w:name w:val="样式1"/>
    <w:basedOn w:val="1"/>
    <w:next w:val="24"/>
    <w:autoRedefine/>
    <w:qFormat/>
    <w:uiPriority w:val="0"/>
    <w:pPr>
      <w:ind w:firstLine="462" w:firstLineChars="200"/>
    </w:pPr>
    <w:rPr>
      <w:rFonts w:ascii="宋体" w:hAnsi="宋体"/>
      <w:color w:val="000000"/>
      <w:kern w:val="0"/>
      <w:sz w:val="24"/>
    </w:rPr>
  </w:style>
  <w:style w:type="paragraph" w:customStyle="1" w:styleId="92">
    <w:name w:val="样式5"/>
    <w:basedOn w:val="93"/>
    <w:autoRedefine/>
    <w:qFormat/>
    <w:uiPriority w:val="0"/>
    <w:pPr>
      <w:spacing w:line="480" w:lineRule="exact"/>
      <w:ind w:firstLine="200"/>
    </w:pPr>
    <w:rPr>
      <w:sz w:val="28"/>
    </w:rPr>
  </w:style>
  <w:style w:type="paragraph" w:customStyle="1" w:styleId="93">
    <w:name w:val="样式3"/>
    <w:basedOn w:val="18"/>
    <w:next w:val="12"/>
    <w:autoRedefine/>
    <w:qFormat/>
    <w:uiPriority w:val="0"/>
    <w:pPr>
      <w:widowControl/>
      <w:spacing w:line="490" w:lineRule="exact"/>
      <w:jc w:val="left"/>
    </w:pPr>
  </w:style>
  <w:style w:type="character" w:customStyle="1" w:styleId="94">
    <w:name w:val="fontstyle01"/>
    <w:basedOn w:val="28"/>
    <w:autoRedefine/>
    <w:qFormat/>
    <w:uiPriority w:val="0"/>
    <w:rPr>
      <w:rFonts w:hint="eastAsia" w:ascii="宋体" w:hAnsi="宋体" w:eastAsia="宋体"/>
      <w:color w:val="000000"/>
      <w:sz w:val="24"/>
      <w:szCs w:val="24"/>
    </w:rPr>
  </w:style>
  <w:style w:type="paragraph" w:customStyle="1" w:styleId="95">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4957</Words>
  <Characters>6020</Characters>
  <Lines>0</Lines>
  <Paragraphs>0</Paragraphs>
  <TotalTime>0</TotalTime>
  <ScaleCrop>false</ScaleCrop>
  <LinksUpToDate>false</LinksUpToDate>
  <CharactersWithSpaces>6170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