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default"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default"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color w:val="auto"/>
          <w:kern w:val="2"/>
          <w:sz w:val="44"/>
          <w:szCs w:val="44"/>
          <w:lang w:eastAsia="zh-CN"/>
        </w:rPr>
      </w:pPr>
      <w:r>
        <w:rPr>
          <w:rFonts w:hint="default" w:ascii="Times New Roman" w:hAnsi="Times New Roman" w:eastAsia="宋体" w:cs="Times New Roman"/>
          <w:b/>
          <w:color w:val="auto"/>
          <w:kern w:val="2"/>
          <w:sz w:val="44"/>
          <w:szCs w:val="44"/>
          <w:lang w:eastAsia="zh-CN"/>
        </w:rPr>
        <w:t>建设项目</w:t>
      </w:r>
      <w:r>
        <w:rPr>
          <w:rFonts w:hint="default" w:ascii="Times New Roman" w:hAnsi="Times New Roman" w:eastAsia="宋体" w:cs="Times New Roman"/>
          <w:b/>
          <w:color w:val="auto"/>
          <w:kern w:val="2"/>
          <w:sz w:val="44"/>
          <w:szCs w:val="44"/>
        </w:rPr>
        <w:t>竣工环境保护验收</w:t>
      </w:r>
      <w:r>
        <w:rPr>
          <w:rFonts w:hint="default" w:ascii="Times New Roman" w:hAnsi="Times New Roman" w:eastAsia="宋体" w:cs="Times New Roman"/>
          <w:b/>
          <w:color w:val="auto"/>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rPr>
          <w:rFonts w:hint="default" w:ascii="Times New Roman" w:hAnsi="Times New Roman" w:cs="Times New Roman"/>
          <w:color w:val="auto"/>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0" w:line="360" w:lineRule="auto"/>
        <w:ind w:left="1674" w:leftChars="454" w:hanging="675" w:hangingChars="240"/>
        <w:jc w:val="both"/>
        <w:textAlignment w:val="auto"/>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eastAsia="zh-CN"/>
        </w:rPr>
        <w:t>项目名称：</w:t>
      </w:r>
      <w:r>
        <w:rPr>
          <w:rFonts w:hint="default" w:ascii="Times New Roman" w:hAnsi="Times New Roman" w:eastAsia="宋体" w:cs="Times New Roman"/>
          <w:b/>
          <w:color w:val="auto"/>
          <w:kern w:val="2"/>
          <w:sz w:val="28"/>
          <w:szCs w:val="28"/>
          <w:u w:val="single"/>
          <w:lang w:val="en-US" w:eastAsia="zh-CN"/>
        </w:rPr>
        <w:t xml:space="preserve">          和2H井场建设项目            </w:t>
      </w:r>
    </w:p>
    <w:p w14:paraId="33273EA4">
      <w:pPr>
        <w:keepNext w:val="0"/>
        <w:keepLines w:val="0"/>
        <w:pageBreakBefore w:val="0"/>
        <w:widowControl w:val="0"/>
        <w:kinsoku/>
        <w:wordWrap/>
        <w:overflowPunct/>
        <w:topLinePunct w:val="0"/>
        <w:autoSpaceDE/>
        <w:autoSpaceDN/>
        <w:bidi w:val="0"/>
        <w:adjustRightInd/>
        <w:snapToGrid/>
        <w:spacing w:after="0" w:afterLines="0" w:line="360" w:lineRule="auto"/>
        <w:ind w:firstLine="562" w:firstLineChars="200"/>
        <w:jc w:val="both"/>
        <w:textAlignment w:val="auto"/>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val="en-US" w:eastAsia="zh-CN"/>
        </w:rPr>
        <w:t>委托单位：</w:t>
      </w:r>
      <w:r>
        <w:rPr>
          <w:rFonts w:hint="default" w:ascii="Times New Roman" w:hAnsi="Times New Roman" w:eastAsia="宋体" w:cs="Times New Roman"/>
          <w:b/>
          <w:color w:val="auto"/>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0" w:line="360" w:lineRule="auto"/>
        <w:ind w:firstLine="1968" w:firstLineChars="700"/>
        <w:jc w:val="both"/>
        <w:textAlignment w:val="auto"/>
        <w:rPr>
          <w:rFonts w:hint="default" w:ascii="Times New Roman" w:hAnsi="Times New Roman" w:eastAsia="宋体" w:cs="Times New Roman"/>
          <w:b/>
          <w:color w:val="auto"/>
          <w:kern w:val="2"/>
          <w:sz w:val="28"/>
          <w:szCs w:val="28"/>
          <w:lang w:val="en-US" w:eastAsia="zh-CN"/>
        </w:rPr>
      </w:pPr>
      <w:r>
        <w:rPr>
          <w:rFonts w:hint="default" w:ascii="Times New Roman" w:hAnsi="Times New Roman" w:eastAsia="宋体" w:cs="Times New Roman"/>
          <w:b/>
          <w:color w:val="auto"/>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kern w:val="2"/>
          <w:sz w:val="30"/>
          <w:szCs w:val="30"/>
          <w:lang w:val="en-US" w:eastAsia="zh-CN"/>
        </w:rPr>
        <w:t>编制单位：甘肃卉昕朋环保科技有限公司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sz w:val="30"/>
          <w:szCs w:val="30"/>
        </w:rPr>
        <w:t>编制日期：</w:t>
      </w:r>
      <w:r>
        <w:rPr>
          <w:rFonts w:hint="default" w:ascii="Times New Roman" w:hAnsi="Times New Roman" w:eastAsia="宋体" w:cs="Times New Roman"/>
          <w:b/>
          <w:color w:val="auto"/>
          <w:kern w:val="2"/>
          <w:sz w:val="30"/>
          <w:szCs w:val="30"/>
          <w:lang w:val="en-US" w:eastAsia="zh-CN"/>
        </w:rPr>
        <w:t>2025年</w:t>
      </w:r>
      <w:r>
        <w:rPr>
          <w:rFonts w:hint="eastAsia" w:ascii="Times New Roman" w:hAnsi="Times New Roman" w:eastAsia="宋体" w:cs="Times New Roman"/>
          <w:b/>
          <w:color w:val="auto"/>
          <w:kern w:val="2"/>
          <w:sz w:val="30"/>
          <w:szCs w:val="30"/>
          <w:lang w:val="en-US" w:eastAsia="zh-CN"/>
        </w:rPr>
        <w:t>5</w:t>
      </w:r>
      <w:r>
        <w:rPr>
          <w:rFonts w:hint="default" w:ascii="Times New Roman" w:hAnsi="Times New Roman" w:eastAsia="宋体" w:cs="Times New Roman"/>
          <w:b/>
          <w:color w:val="auto"/>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3D418CE4">
      <w:pPr>
        <w:rPr>
          <w:rFonts w:hint="default" w:ascii="Times New Roman" w:hAnsi="Times New Roman" w:eastAsia="宋体" w:cs="Times New Roman"/>
          <w:color w:val="auto"/>
          <w:spacing w:val="0"/>
          <w:w w:val="100"/>
          <w:sz w:val="28"/>
          <w:szCs w:val="28"/>
          <w:highlight w:val="none"/>
        </w:rPr>
      </w:pPr>
    </w:p>
    <w:p w14:paraId="0E96467B">
      <w:pPr>
        <w:pStyle w:val="5"/>
        <w:rPr>
          <w:rFonts w:hint="default" w:ascii="Times New Roman" w:hAnsi="Times New Roman" w:eastAsia="宋体" w:cs="Times New Roman"/>
          <w:color w:val="auto"/>
          <w:spacing w:val="0"/>
          <w:w w:val="100"/>
          <w:sz w:val="28"/>
          <w:szCs w:val="28"/>
          <w:highlight w:val="none"/>
        </w:rPr>
      </w:pPr>
    </w:p>
    <w:p w14:paraId="42E51EBE">
      <w:pPr>
        <w:rPr>
          <w:rFonts w:hint="default" w:ascii="Times New Roman" w:hAnsi="Times New Roman" w:eastAsia="宋体" w:cs="Times New Roman"/>
          <w:color w:val="auto"/>
          <w:spacing w:val="0"/>
          <w:w w:val="100"/>
          <w:sz w:val="28"/>
          <w:szCs w:val="28"/>
          <w:highlight w:val="none"/>
        </w:rPr>
      </w:pPr>
    </w:p>
    <w:p w14:paraId="2568B795">
      <w:pPr>
        <w:pStyle w:val="5"/>
        <w:rPr>
          <w:rFonts w:hint="default" w:ascii="Times New Roman" w:hAnsi="Times New Roman" w:cs="Times New Roman"/>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ascii="Times New Roman" w:hAnsi="Times New Roman" w:cs="Times New Roman"/>
          <w:color w:val="auto"/>
        </w:rPr>
      </w:pPr>
    </w:p>
    <w:p w14:paraId="250A0111">
      <w:pPr>
        <w:spacing w:after="0" w:afterLines="-2147483648" w:line="360" w:lineRule="auto"/>
        <w:ind w:firstLine="0" w:firstLineChars="0"/>
        <w:rPr>
          <w:rFonts w:hint="default"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w:t>
      </w:r>
      <w:r>
        <w:rPr>
          <w:rFonts w:hint="default" w:ascii="Times New Roman" w:hAnsi="Times New Roman" w:eastAsia="宋体" w:cs="Times New Roman"/>
          <w:b/>
          <w:color w:val="auto"/>
          <w:sz w:val="30"/>
          <w:szCs w:val="30"/>
          <w:lang w:val="en-US" w:eastAsia="zh-CN"/>
        </w:rPr>
        <w:t>甘肃卉昕朋环保科技有限公司</w:t>
      </w:r>
    </w:p>
    <w:p w14:paraId="02276A03">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lang w:eastAsia="zh-CN"/>
        </w:rPr>
        <w:t>法定代表人</w:t>
      </w:r>
      <w:r>
        <w:rPr>
          <w:rFonts w:hint="default" w:ascii="Times New Roman" w:hAnsi="Times New Roman" w:eastAsia="宋体" w:cs="Times New Roman"/>
          <w:b/>
          <w:color w:val="auto"/>
          <w:sz w:val="30"/>
          <w:szCs w:val="30"/>
        </w:rPr>
        <w:t>：</w:t>
      </w:r>
      <w:r>
        <w:rPr>
          <w:rFonts w:hint="default" w:ascii="Times New Roman" w:hAnsi="Times New Roman" w:eastAsia="宋体" w:cs="Times New Roman"/>
          <w:b/>
          <w:color w:val="auto"/>
          <w:sz w:val="30"/>
          <w:szCs w:val="30"/>
          <w:lang w:eastAsia="zh-CN"/>
        </w:rPr>
        <w:t>李保权</w:t>
      </w:r>
    </w:p>
    <w:p w14:paraId="6E2B13C0">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default" w:ascii="Times New Roman" w:hAnsi="Times New Roman" w:eastAsia="宋体" w:cs="Times New Roman"/>
          <w:b/>
          <w:color w:val="auto"/>
          <w:sz w:val="30"/>
          <w:szCs w:val="30"/>
          <w:lang w:val="en-US" w:eastAsia="zh-CN"/>
        </w:rPr>
        <w:t>李婉君</w:t>
      </w:r>
    </w:p>
    <w:p w14:paraId="51F4834B">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default" w:ascii="Times New Roman" w:hAnsi="Times New Roman" w:eastAsia="宋体" w:cs="Times New Roman"/>
          <w:b/>
          <w:color w:val="auto"/>
          <w:sz w:val="30"/>
          <w:szCs w:val="30"/>
          <w:lang w:val="en-US" w:eastAsia="zh-CN"/>
        </w:rPr>
        <w:t>李婉君</w:t>
      </w:r>
    </w:p>
    <w:p w14:paraId="3FD86872">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default" w:ascii="Times New Roman" w:hAnsi="Times New Roman" w:eastAsia="宋体" w:cs="Times New Roman"/>
          <w:b/>
          <w:color w:val="auto"/>
          <w:sz w:val="30"/>
          <w:szCs w:val="30"/>
          <w:lang w:eastAsia="zh-CN"/>
        </w:rPr>
        <w:t>：</w:t>
      </w:r>
      <w:r>
        <w:rPr>
          <w:rFonts w:hint="default" w:ascii="Times New Roman" w:hAnsi="Times New Roman" w:eastAsia="宋体" w:cs="Times New Roman"/>
          <w:b/>
          <w:color w:val="auto"/>
          <w:sz w:val="30"/>
          <w:szCs w:val="30"/>
          <w:lang w:val="en-US" w:eastAsia="zh-CN"/>
        </w:rPr>
        <w:t>周振昕</w:t>
      </w:r>
    </w:p>
    <w:p w14:paraId="47811B82">
      <w:pPr>
        <w:spacing w:line="360" w:lineRule="auto"/>
        <w:rPr>
          <w:rFonts w:hint="default" w:ascii="Times New Roman" w:hAnsi="Times New Roman" w:eastAsia="宋体" w:cs="Times New Roman"/>
          <w:b/>
          <w:color w:val="auto"/>
          <w:sz w:val="30"/>
          <w:szCs w:val="30"/>
        </w:rPr>
      </w:pPr>
    </w:p>
    <w:p w14:paraId="6E02460B">
      <w:pPr>
        <w:spacing w:line="360" w:lineRule="auto"/>
        <w:rPr>
          <w:rFonts w:hint="default" w:ascii="Times New Roman" w:hAnsi="Times New Roman" w:eastAsia="宋体" w:cs="Times New Roman"/>
          <w:b/>
          <w:color w:val="auto"/>
          <w:sz w:val="30"/>
          <w:szCs w:val="30"/>
        </w:rPr>
      </w:pPr>
    </w:p>
    <w:p w14:paraId="0FDB3A0E">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default" w:ascii="Times New Roman" w:hAnsi="Times New Roman" w:eastAsia="宋体" w:cs="Times New Roman"/>
          <w:b/>
          <w:color w:val="auto"/>
          <w:sz w:val="30"/>
          <w:szCs w:val="30"/>
          <w:lang w:eastAsia="zh-CN"/>
        </w:rPr>
        <w:t>山东新航工程项目咨询有限公司</w:t>
      </w:r>
    </w:p>
    <w:p w14:paraId="77D91AC7">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default" w:ascii="Times New Roman" w:hAnsi="Times New Roman" w:eastAsia="宋体" w:cs="Times New Roman"/>
          <w:b/>
          <w:color w:val="auto"/>
          <w:sz w:val="30"/>
          <w:szCs w:val="30"/>
          <w:lang w:val="en-US" w:eastAsia="zh-CN"/>
        </w:rPr>
        <w:t>张彤18893820154</w:t>
      </w:r>
    </w:p>
    <w:p w14:paraId="69AC1FEB">
      <w:pPr>
        <w:spacing w:line="360" w:lineRule="auto"/>
        <w:rPr>
          <w:rFonts w:hint="default" w:ascii="Times New Roman" w:hAnsi="Times New Roman" w:eastAsia="宋体" w:cs="Times New Roman"/>
          <w:b/>
          <w:color w:val="auto"/>
          <w:sz w:val="30"/>
          <w:szCs w:val="30"/>
        </w:rPr>
      </w:pPr>
    </w:p>
    <w:p w14:paraId="2851C3C0">
      <w:pPr>
        <w:spacing w:line="360" w:lineRule="auto"/>
        <w:rPr>
          <w:rFonts w:hint="default" w:ascii="Times New Roman" w:hAnsi="Times New Roman" w:eastAsia="宋体" w:cs="Times New Roman"/>
          <w:b/>
          <w:color w:val="auto"/>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default"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传真：/</w:t>
      </w:r>
    </w:p>
    <w:p w14:paraId="677EAF0A">
      <w:pPr>
        <w:spacing w:line="360" w:lineRule="auto"/>
        <w:rPr>
          <w:rFonts w:hint="default" w:ascii="Times New Roman" w:hAnsi="Times New Roman" w:eastAsia="宋体" w:cs="Times New Roman"/>
          <w:b/>
          <w:color w:val="auto"/>
          <w:sz w:val="30"/>
          <w:szCs w:val="30"/>
          <w:lang w:val="en-US"/>
        </w:rPr>
      </w:pPr>
      <w:r>
        <w:rPr>
          <w:rFonts w:hint="default" w:ascii="Times New Roman" w:hAnsi="Times New Roman" w:eastAsia="宋体" w:cs="Times New Roman"/>
          <w:b/>
          <w:color w:val="auto"/>
          <w:sz w:val="30"/>
          <w:szCs w:val="30"/>
        </w:rPr>
        <w:t>地址：</w:t>
      </w:r>
      <w:r>
        <w:rPr>
          <w:rFonts w:hint="default" w:ascii="Times New Roman" w:hAnsi="Times New Roman" w:eastAsia="宋体" w:cs="Times New Roman"/>
          <w:b/>
          <w:color w:val="auto"/>
          <w:sz w:val="30"/>
          <w:szCs w:val="30"/>
          <w:lang w:eastAsia="zh-CN"/>
        </w:rPr>
        <w:t>甘肃省庆阳市西峰区丽晶茂</w:t>
      </w:r>
      <w:r>
        <w:rPr>
          <w:rFonts w:hint="default" w:ascii="Times New Roman" w:hAnsi="Times New Roman" w:eastAsia="宋体" w:cs="Times New Roman"/>
          <w:b/>
          <w:color w:val="auto"/>
          <w:sz w:val="30"/>
          <w:szCs w:val="30"/>
          <w:lang w:val="en-US" w:eastAsia="zh-CN"/>
        </w:rPr>
        <w:t>A栋1515室</w:t>
      </w:r>
    </w:p>
    <w:p w14:paraId="211D5400">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邮编：745000</w:t>
      </w:r>
    </w:p>
    <w:p w14:paraId="6C84D126">
      <w:pPr>
        <w:pStyle w:val="2"/>
        <w:rPr>
          <w:rFonts w:hint="default" w:ascii="Times New Roman" w:hAnsi="Times New Roman" w:eastAsia="宋体" w:cs="Times New Roman"/>
          <w:b/>
          <w:color w:val="auto"/>
          <w:sz w:val="30"/>
          <w:szCs w:val="30"/>
        </w:rPr>
      </w:pPr>
    </w:p>
    <w:p w14:paraId="798A591E">
      <w:pPr>
        <w:rPr>
          <w:rFonts w:hint="default" w:ascii="Times New Roman" w:hAnsi="Times New Roman" w:eastAsia="宋体" w:cs="Times New Roman"/>
          <w:b/>
          <w:color w:val="auto"/>
          <w:sz w:val="30"/>
          <w:szCs w:val="30"/>
        </w:rPr>
      </w:pPr>
    </w:p>
    <w:p w14:paraId="51CDC03D">
      <w:pPr>
        <w:pStyle w:val="21"/>
        <w:rPr>
          <w:rFonts w:hint="default" w:ascii="Times New Roman" w:hAnsi="Times New Roman" w:eastAsia="宋体" w:cs="Times New Roman"/>
          <w:b/>
          <w:color w:val="auto"/>
          <w:sz w:val="30"/>
          <w:szCs w:val="30"/>
        </w:rPr>
      </w:pPr>
    </w:p>
    <w:p w14:paraId="195AD460">
      <w:pPr>
        <w:rPr>
          <w:rFonts w:hint="default" w:ascii="Times New Roman" w:hAnsi="Times New Roman" w:eastAsia="宋体" w:cs="Times New Roman"/>
          <w:b/>
          <w:color w:val="auto"/>
          <w:sz w:val="30"/>
          <w:szCs w:val="30"/>
        </w:rPr>
      </w:pPr>
    </w:p>
    <w:p w14:paraId="67CE2D7A">
      <w:pPr>
        <w:rPr>
          <w:rFonts w:hint="default" w:ascii="Times New Roman" w:hAnsi="Times New Roman" w:eastAsia="宋体" w:cs="Times New Roman"/>
          <w:b/>
          <w:color w:val="auto"/>
          <w:sz w:val="30"/>
          <w:szCs w:val="30"/>
        </w:rPr>
      </w:pPr>
    </w:p>
    <w:p w14:paraId="57ACC2BC">
      <w:pPr>
        <w:rPr>
          <w:rFonts w:hint="default" w:ascii="Times New Roman" w:hAnsi="Times New Roman" w:eastAsia="宋体" w:cs="Times New Roman"/>
          <w:b/>
          <w:color w:val="auto"/>
          <w:sz w:val="30"/>
          <w:szCs w:val="30"/>
        </w:rPr>
      </w:pPr>
    </w:p>
    <w:p w14:paraId="6BEAAAE4">
      <w:pPr>
        <w:rPr>
          <w:rFonts w:hint="default" w:ascii="Times New Roman" w:hAnsi="Times New Roman" w:eastAsia="宋体" w:cs="Times New Roman"/>
          <w:b/>
          <w:color w:val="auto"/>
          <w:sz w:val="30"/>
          <w:szCs w:val="30"/>
        </w:rPr>
      </w:pPr>
    </w:p>
    <w:p w14:paraId="61341E83">
      <w:pPr>
        <w:rPr>
          <w:rFonts w:hint="default" w:ascii="Times New Roman" w:hAnsi="Times New Roman" w:eastAsia="宋体" w:cs="Times New Roman"/>
          <w:b/>
          <w:color w:val="auto"/>
          <w:sz w:val="30"/>
          <w:szCs w:val="30"/>
        </w:rPr>
      </w:pPr>
    </w:p>
    <w:p w14:paraId="7C5BA72A">
      <w:pPr>
        <w:rPr>
          <w:rFonts w:hint="default" w:ascii="Times New Roman" w:hAnsi="Times New Roman" w:eastAsia="宋体" w:cs="Times New Roman"/>
          <w:b/>
          <w:color w:val="auto"/>
          <w:sz w:val="30"/>
          <w:szCs w:val="30"/>
        </w:rPr>
      </w:pPr>
    </w:p>
    <w:p w14:paraId="200C6585">
      <w:pPr>
        <w:rPr>
          <w:rFonts w:hint="default" w:ascii="Times New Roman" w:hAnsi="Times New Roman" w:eastAsia="宋体" w:cs="Times New Roman"/>
          <w:b/>
          <w:color w:val="auto"/>
          <w:sz w:val="30"/>
          <w:szCs w:val="30"/>
        </w:rPr>
      </w:pPr>
    </w:p>
    <w:p w14:paraId="11519997">
      <w:pPr>
        <w:rPr>
          <w:rFonts w:hint="default" w:ascii="Times New Roman" w:hAnsi="Times New Roman" w:eastAsia="宋体" w:cs="Times New Roman"/>
          <w:b/>
          <w:color w:val="auto"/>
          <w:sz w:val="30"/>
          <w:szCs w:val="30"/>
        </w:rPr>
      </w:pPr>
    </w:p>
    <w:p w14:paraId="4402E846">
      <w:pPr>
        <w:rPr>
          <w:rFonts w:hint="default" w:ascii="Times New Roman" w:hAnsi="Times New Roman" w:eastAsia="宋体" w:cs="Times New Roman"/>
          <w:b/>
          <w:color w:val="auto"/>
          <w:sz w:val="30"/>
          <w:szCs w:val="30"/>
        </w:rPr>
      </w:pPr>
    </w:p>
    <w:p w14:paraId="485A8128">
      <w:pPr>
        <w:rPr>
          <w:rFonts w:hint="default" w:ascii="Times New Roman" w:hAnsi="Times New Roman" w:eastAsia="宋体" w:cs="Times New Roman"/>
          <w:b/>
          <w:color w:val="auto"/>
          <w:sz w:val="30"/>
          <w:szCs w:val="30"/>
        </w:rPr>
      </w:pPr>
    </w:p>
    <w:p w14:paraId="77D074EF">
      <w:pPr>
        <w:rPr>
          <w:rFonts w:hint="default" w:ascii="Times New Roman" w:hAnsi="Times New Roman" w:eastAsia="宋体" w:cs="Times New Roman"/>
          <w:b/>
          <w:color w:val="auto"/>
          <w:sz w:val="30"/>
          <w:szCs w:val="30"/>
        </w:rPr>
      </w:pPr>
    </w:p>
    <w:p w14:paraId="215734DB">
      <w:pPr>
        <w:rPr>
          <w:rFonts w:hint="default" w:ascii="Times New Roman" w:hAnsi="Times New Roman" w:eastAsia="宋体" w:cs="Times New Roman"/>
          <w:b/>
          <w:color w:val="auto"/>
          <w:sz w:val="30"/>
          <w:szCs w:val="30"/>
        </w:rPr>
      </w:pPr>
    </w:p>
    <w:p w14:paraId="6E4EA40E">
      <w:pPr>
        <w:rPr>
          <w:rFonts w:hint="default" w:ascii="Times New Roman" w:hAnsi="Times New Roman" w:eastAsia="宋体" w:cs="Times New Roman"/>
          <w:b/>
          <w:color w:val="auto"/>
          <w:sz w:val="30"/>
          <w:szCs w:val="30"/>
        </w:rPr>
      </w:pPr>
    </w:p>
    <w:p w14:paraId="04D55F88">
      <w:pPr>
        <w:rPr>
          <w:rFonts w:hint="default" w:ascii="Times New Roman" w:hAnsi="Times New Roman" w:eastAsia="宋体" w:cs="Times New Roman"/>
          <w:b/>
          <w:color w:val="auto"/>
          <w:sz w:val="30"/>
          <w:szCs w:val="30"/>
        </w:rPr>
      </w:pPr>
    </w:p>
    <w:p w14:paraId="78B2326B">
      <w:pPr>
        <w:rPr>
          <w:rFonts w:hint="default" w:ascii="Times New Roman" w:hAnsi="Times New Roman" w:eastAsia="宋体" w:cs="Times New Roman"/>
          <w:b/>
          <w:color w:val="auto"/>
          <w:sz w:val="30"/>
          <w:szCs w:val="30"/>
        </w:rPr>
      </w:pPr>
    </w:p>
    <w:p w14:paraId="3806C56C">
      <w:pPr>
        <w:rPr>
          <w:rFonts w:hint="default" w:ascii="Times New Roman" w:hAnsi="Times New Roman" w:eastAsia="宋体" w:cs="Times New Roman"/>
          <w:b/>
          <w:color w:val="auto"/>
          <w:sz w:val="30"/>
          <w:szCs w:val="30"/>
        </w:rPr>
      </w:pPr>
    </w:p>
    <w:p w14:paraId="4E860056">
      <w:pPr>
        <w:rPr>
          <w:rFonts w:hint="default" w:ascii="Times New Roman" w:hAnsi="Times New Roman" w:eastAsia="宋体" w:cs="Times New Roman"/>
          <w:b/>
          <w:color w:val="auto"/>
          <w:sz w:val="30"/>
          <w:szCs w:val="30"/>
        </w:rPr>
      </w:pPr>
    </w:p>
    <w:p w14:paraId="0591AC85">
      <w:pPr>
        <w:rPr>
          <w:rFonts w:hint="default" w:ascii="Times New Roman" w:hAnsi="Times New Roman" w:eastAsia="宋体" w:cs="Times New Roman"/>
          <w:b/>
          <w:color w:val="auto"/>
          <w:sz w:val="30"/>
          <w:szCs w:val="30"/>
        </w:rPr>
      </w:pPr>
    </w:p>
    <w:p w14:paraId="69767D45">
      <w:pPr>
        <w:rPr>
          <w:rFonts w:hint="default" w:ascii="Times New Roman" w:hAnsi="Times New Roman" w:eastAsia="宋体" w:cs="Times New Roman"/>
          <w:b/>
          <w:color w:val="auto"/>
          <w:sz w:val="30"/>
          <w:szCs w:val="30"/>
        </w:rPr>
      </w:pPr>
    </w:p>
    <w:p w14:paraId="60BB457F">
      <w:pPr>
        <w:rPr>
          <w:rFonts w:hint="default" w:ascii="Times New Roman" w:hAnsi="Times New Roman" w:eastAsia="宋体" w:cs="Times New Roman"/>
          <w:b/>
          <w:color w:val="auto"/>
          <w:sz w:val="30"/>
          <w:szCs w:val="30"/>
        </w:rPr>
      </w:pPr>
    </w:p>
    <w:p w14:paraId="50D9912E">
      <w:pPr>
        <w:pStyle w:val="21"/>
        <w:rPr>
          <w:rFonts w:hint="default" w:ascii="Times New Roman" w:hAnsi="Times New Roman" w:eastAsia="宋体" w:cs="Times New Roman"/>
          <w:b/>
          <w:color w:val="auto"/>
          <w:sz w:val="30"/>
          <w:szCs w:val="30"/>
        </w:rPr>
      </w:pPr>
    </w:p>
    <w:p w14:paraId="2E059AE2">
      <w:pPr>
        <w:rPr>
          <w:rFonts w:hint="default" w:ascii="Times New Roman" w:hAnsi="Times New Roman" w:eastAsia="宋体" w:cs="Times New Roman"/>
          <w:b/>
          <w:color w:val="auto"/>
          <w:sz w:val="30"/>
          <w:szCs w:val="30"/>
        </w:rPr>
      </w:pPr>
    </w:p>
    <w:p w14:paraId="5347F5B1">
      <w:pPr>
        <w:pStyle w:val="21"/>
        <w:rPr>
          <w:rFonts w:hint="default" w:ascii="Times New Roman" w:hAnsi="Times New Roman" w:eastAsia="宋体" w:cs="Times New Roman"/>
          <w:b/>
          <w:color w:val="auto"/>
          <w:sz w:val="30"/>
          <w:szCs w:val="30"/>
        </w:rPr>
      </w:pPr>
    </w:p>
    <w:p w14:paraId="4C777CE8">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bookmarkStart w:id="0" w:name="_Toc17776"/>
    </w:p>
    <w:p w14:paraId="4BD59512">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rPr>
      </w:pPr>
      <w:r>
        <w:rPr>
          <w:rFonts w:hint="default" w:ascii="Times New Roman" w:hAnsi="Times New Roman" w:eastAsia="宋体" w:cs="Times New Roman"/>
          <w:b/>
          <w:color w:val="auto"/>
          <w:kern w:val="2"/>
          <w:sz w:val="32"/>
          <w:szCs w:val="24"/>
          <w:lang w:val="en-US" w:eastAsia="zh-CN"/>
        </w:rPr>
        <w:t>1.</w:t>
      </w:r>
      <w:r>
        <w:rPr>
          <w:rFonts w:hint="default" w:ascii="Times New Roman" w:hAnsi="Times New Roman" w:eastAsia="宋体" w:cs="Times New Roman"/>
          <w:b/>
          <w:color w:val="auto"/>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1386"/>
        <w:gridCol w:w="810"/>
        <w:gridCol w:w="291"/>
        <w:gridCol w:w="193"/>
        <w:gridCol w:w="709"/>
        <w:gridCol w:w="523"/>
        <w:gridCol w:w="97"/>
        <w:gridCol w:w="58"/>
        <w:gridCol w:w="585"/>
        <w:gridCol w:w="527"/>
        <w:gridCol w:w="383"/>
        <w:gridCol w:w="879"/>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779"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和2H井场建设项目</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779"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288"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梁承春</w:t>
            </w:r>
          </w:p>
        </w:tc>
        <w:tc>
          <w:tcPr>
            <w:tcW w:w="1097"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392"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779"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default"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288"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69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363"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686"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740"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779" w:type="pct"/>
            <w:gridSpan w:val="12"/>
            <w:noWrap w:val="0"/>
            <w:vAlign w:val="center"/>
          </w:tcPr>
          <w:p w14:paraId="60539F6A">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val="en-US" w:eastAsia="zh-CN"/>
              </w:rPr>
              <w:t>宁县太昌镇肖家村</w:t>
            </w:r>
          </w:p>
          <w:p w14:paraId="17574710">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val="en-US" w:eastAsia="zh-CN"/>
              </w:rPr>
              <w:t>中心点坐标：E108°16′56.778″，N35°25′22.123″</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36"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483"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779"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和2H井场建设项目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20"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779"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庆阳衡安环保工程有限公司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20"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779"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庆阳市生态环境局</w:t>
            </w:r>
          </w:p>
        </w:tc>
        <w:tc>
          <w:tcPr>
            <w:tcW w:w="529"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庆环评表字〔2022〕45号</w:t>
            </w:r>
          </w:p>
        </w:tc>
        <w:tc>
          <w:tcPr>
            <w:tcW w:w="533"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2022年9月9日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c>
          <w:tcPr>
            <w:tcW w:w="529"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33"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779"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779"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779"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13"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1600</w:t>
            </w:r>
          </w:p>
        </w:tc>
        <w:tc>
          <w:tcPr>
            <w:tcW w:w="1175"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86.5</w:t>
            </w:r>
          </w:p>
        </w:tc>
        <w:tc>
          <w:tcPr>
            <w:tcW w:w="877"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15"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sz w:val="24"/>
                <w:szCs w:val="24"/>
                <w:highlight w:val="none"/>
                <w:lang w:val="en-US" w:eastAsia="zh-CN"/>
              </w:rPr>
              <w:t>10.81%</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13"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800</w:t>
            </w:r>
          </w:p>
        </w:tc>
        <w:tc>
          <w:tcPr>
            <w:tcW w:w="1175" w:type="pct"/>
            <w:gridSpan w:val="4"/>
            <w:noWrap w:val="0"/>
            <w:vAlign w:val="center"/>
          </w:tcPr>
          <w:p w14:paraId="793850C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其中：环境保护</w:t>
            </w:r>
          </w:p>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97.</w:t>
            </w:r>
            <w:r>
              <w:rPr>
                <w:rFonts w:hint="eastAsia" w:ascii="Times New Roman" w:hAnsi="Times New Roman" w:eastAsia="宋体" w:cs="Times New Roman"/>
                <w:color w:val="auto"/>
                <w:spacing w:val="0"/>
                <w:w w:val="100"/>
                <w:sz w:val="24"/>
                <w:szCs w:val="24"/>
                <w:highlight w:val="none"/>
                <w:lang w:val="en-US" w:eastAsia="zh-CN"/>
              </w:rPr>
              <w:t>3</w:t>
            </w:r>
          </w:p>
        </w:tc>
        <w:tc>
          <w:tcPr>
            <w:tcW w:w="877"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15"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12.16%</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0"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572" w:type="pct"/>
            <w:gridSpan w:val="4"/>
            <w:noWrap w:val="0"/>
            <w:vAlign w:val="center"/>
          </w:tcPr>
          <w:p w14:paraId="26E2A3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井深：2200m</w:t>
            </w:r>
          </w:p>
        </w:tc>
        <w:tc>
          <w:tcPr>
            <w:tcW w:w="813"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392" w:type="pct"/>
            <w:gridSpan w:val="4"/>
            <w:noWrap w:val="0"/>
            <w:vAlign w:val="center"/>
          </w:tcPr>
          <w:p w14:paraId="78E7034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 xml:space="preserve">2023-5-29 </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572" w:type="pct"/>
            <w:gridSpan w:val="4"/>
            <w:noWrap w:val="0"/>
            <w:vAlign w:val="center"/>
          </w:tcPr>
          <w:p w14:paraId="00637D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井深：2104m</w:t>
            </w:r>
          </w:p>
        </w:tc>
        <w:tc>
          <w:tcPr>
            <w:tcW w:w="813"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392"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779"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noWrap w:val="0"/>
            <w:vAlign w:val="center"/>
          </w:tcPr>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项目建设过程简述（项目立项~试运行）</w:t>
            </w:r>
          </w:p>
        </w:tc>
        <w:tc>
          <w:tcPr>
            <w:tcW w:w="3779"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default" w:ascii="Times New Roman" w:hAnsi="Times New Roman" w:eastAsia="宋体" w:cs="Times New Roman"/>
                <w:b/>
                <w:bCs/>
                <w:color w:val="auto"/>
                <w:spacing w:val="0"/>
                <w:w w:val="100"/>
                <w:sz w:val="24"/>
                <w:szCs w:val="24"/>
                <w:highlight w:val="none"/>
                <w:lang w:eastAsia="zh-CN"/>
              </w:rPr>
              <w:t>项目立项</w:t>
            </w:r>
          </w:p>
          <w:p w14:paraId="036B3D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勘探是</w:t>
            </w:r>
            <w:r>
              <w:rPr>
                <w:rFonts w:hint="default" w:ascii="Times New Roman" w:hAnsi="Times New Roman" w:eastAsia="宋体" w:cs="Times New Roman"/>
                <w:color w:val="auto"/>
                <w:spacing w:val="0"/>
                <w:w w:val="100"/>
                <w:sz w:val="24"/>
                <w:szCs w:val="24"/>
                <w:highlight w:val="none"/>
                <w:lang w:val="en-US" w:eastAsia="zh-CN"/>
              </w:rPr>
              <w:t>油田</w:t>
            </w:r>
            <w:r>
              <w:rPr>
                <w:rFonts w:hint="default" w:ascii="Times New Roman" w:hAnsi="Times New Roman" w:eastAsia="宋体" w:cs="Times New Roman"/>
                <w:color w:val="auto"/>
                <w:spacing w:val="0"/>
                <w:w w:val="100"/>
                <w:sz w:val="24"/>
                <w:szCs w:val="24"/>
                <w:highlight w:val="none"/>
                <w:lang w:eastAsia="zh-CN"/>
              </w:rPr>
              <w:t>合理开发利用的基础工程，为确保</w:t>
            </w: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勘探工作的顺利进展，中国石油化工股份有限公司华北油气分公司采油一厂在甘肃省庆阳市</w:t>
            </w:r>
            <w:r>
              <w:rPr>
                <w:rFonts w:hint="default" w:ascii="Times New Roman" w:hAnsi="Times New Roman" w:eastAsia="宋体" w:cs="Times New Roman"/>
                <w:color w:val="auto"/>
                <w:spacing w:val="0"/>
                <w:w w:val="100"/>
                <w:sz w:val="24"/>
                <w:szCs w:val="24"/>
                <w:highlight w:val="none"/>
                <w:lang w:val="en-US" w:eastAsia="zh-CN"/>
              </w:rPr>
              <w:t>宁县太昌镇肖家村</w:t>
            </w:r>
            <w:r>
              <w:rPr>
                <w:rFonts w:hint="default" w:ascii="Times New Roman" w:hAnsi="Times New Roman" w:eastAsia="宋体" w:cs="Times New Roman"/>
                <w:color w:val="auto"/>
                <w:spacing w:val="0"/>
                <w:w w:val="100"/>
                <w:sz w:val="24"/>
                <w:szCs w:val="24"/>
                <w:highlight w:val="none"/>
                <w:lang w:eastAsia="zh-CN"/>
              </w:rPr>
              <w:t>建设</w:t>
            </w:r>
            <w:r>
              <w:rPr>
                <w:rFonts w:hint="default" w:ascii="Times New Roman" w:hAnsi="Times New Roman" w:eastAsia="宋体" w:cs="Times New Roman"/>
                <w:color w:val="auto"/>
                <w:spacing w:val="0"/>
                <w:w w:val="100"/>
                <w:sz w:val="24"/>
                <w:szCs w:val="24"/>
                <w:highlight w:val="none"/>
                <w:lang w:val="en-US" w:eastAsia="zh-CN"/>
              </w:rPr>
              <w:t>和2H井场，</w:t>
            </w:r>
            <w:r>
              <w:rPr>
                <w:rFonts w:hint="default" w:ascii="Times New Roman" w:hAnsi="Times New Roman" w:eastAsia="宋体" w:cs="Times New Roman"/>
                <w:color w:val="auto"/>
                <w:spacing w:val="0"/>
                <w:w w:val="100"/>
                <w:sz w:val="24"/>
                <w:szCs w:val="24"/>
                <w:highlight w:val="none"/>
                <w:lang w:eastAsia="zh-CN"/>
              </w:rPr>
              <w:t>目的在于勘测</w:t>
            </w:r>
            <w:r>
              <w:rPr>
                <w:rFonts w:hint="default" w:ascii="Times New Roman" w:hAnsi="Times New Roman" w:eastAsia="宋体" w:cs="Times New Roman"/>
                <w:color w:val="auto"/>
                <w:spacing w:val="0"/>
                <w:w w:val="100"/>
                <w:sz w:val="24"/>
                <w:szCs w:val="24"/>
                <w:highlight w:val="none"/>
                <w:lang w:val="en-US" w:eastAsia="zh-CN"/>
              </w:rPr>
              <w:t>项目</w:t>
            </w:r>
            <w:r>
              <w:rPr>
                <w:rFonts w:hint="default" w:ascii="Times New Roman" w:hAnsi="Times New Roman" w:eastAsia="宋体" w:cs="Times New Roman"/>
                <w:color w:val="auto"/>
                <w:spacing w:val="0"/>
                <w:w w:val="100"/>
                <w:sz w:val="24"/>
                <w:szCs w:val="24"/>
                <w:highlight w:val="none"/>
                <w:lang w:eastAsia="zh-CN"/>
              </w:rPr>
              <w:t>地下资源储藏情</w:t>
            </w:r>
            <w:r>
              <w:rPr>
                <w:rFonts w:hint="default"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38602F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2022年9月，中国石油化工股份有限公司华北油气分公司采油一厂委托庆阳衡安环保工程有限公司编制完成了《和2H井场建设项目环境影响报告表》；</w:t>
            </w:r>
          </w:p>
          <w:p w14:paraId="1A5FAB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2022年9月9日，庆阳市生态环境局以庆环评表字〔2022〕45号对本项目的环境影响报告表做出批复。</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pacing w:val="0"/>
                <w:w w:val="100"/>
                <w:sz w:val="24"/>
                <w:szCs w:val="24"/>
                <w:highlight w:val="none"/>
                <w:lang w:val="en-US" w:eastAsia="zh-CN"/>
              </w:rPr>
            </w:pPr>
            <w:bookmarkStart w:id="1" w:name="OLE_LINK17"/>
            <w:r>
              <w:rPr>
                <w:rFonts w:hint="default"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5"/>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2"/>
              <w:gridCol w:w="1302"/>
              <w:gridCol w:w="1135"/>
              <w:gridCol w:w="1249"/>
              <w:gridCol w:w="1256"/>
            </w:tblGrid>
            <w:tr w14:paraId="226E6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noWrap w:val="0"/>
                  <w:vAlign w:val="center"/>
                </w:tcPr>
                <w:p w14:paraId="13263F18">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井场</w:t>
                  </w:r>
                </w:p>
              </w:tc>
              <w:tc>
                <w:tcPr>
                  <w:tcW w:w="1049" w:type="pct"/>
                  <w:noWrap w:val="0"/>
                  <w:vAlign w:val="center"/>
                </w:tcPr>
                <w:p w14:paraId="17B64CA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开钻时间</w:t>
                  </w:r>
                </w:p>
              </w:tc>
              <w:tc>
                <w:tcPr>
                  <w:tcW w:w="914" w:type="pct"/>
                  <w:noWrap w:val="0"/>
                  <w:vAlign w:val="center"/>
                </w:tcPr>
                <w:p w14:paraId="7715A03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完钻时间</w:t>
                  </w:r>
                </w:p>
              </w:tc>
              <w:tc>
                <w:tcPr>
                  <w:tcW w:w="1249" w:type="dxa"/>
                  <w:noWrap w:val="0"/>
                  <w:vAlign w:val="center"/>
                </w:tcPr>
                <w:p w14:paraId="20A991F5">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试油开始时间</w:t>
                  </w:r>
                </w:p>
              </w:tc>
              <w:tc>
                <w:tcPr>
                  <w:tcW w:w="1256" w:type="dxa"/>
                  <w:noWrap w:val="0"/>
                  <w:vAlign w:val="center"/>
                </w:tcPr>
                <w:p w14:paraId="4FBA0ED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试油结束时间</w:t>
                  </w:r>
                </w:p>
              </w:tc>
            </w:tr>
            <w:tr w14:paraId="56013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shd w:val="clear" w:color="auto" w:fill="auto"/>
                  <w:noWrap w:val="0"/>
                  <w:vAlign w:val="center"/>
                </w:tcPr>
                <w:p w14:paraId="308DAA4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和2H</w:t>
                  </w:r>
                </w:p>
              </w:tc>
              <w:tc>
                <w:tcPr>
                  <w:tcW w:w="1049" w:type="pct"/>
                  <w:shd w:val="clear" w:color="auto" w:fill="auto"/>
                  <w:noWrap w:val="0"/>
                  <w:vAlign w:val="center"/>
                </w:tcPr>
                <w:p w14:paraId="583A482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2023-5-29</w:t>
                  </w:r>
                </w:p>
              </w:tc>
              <w:tc>
                <w:tcPr>
                  <w:tcW w:w="914" w:type="pct"/>
                  <w:shd w:val="clear" w:color="auto" w:fill="auto"/>
                  <w:noWrap w:val="0"/>
                  <w:vAlign w:val="center"/>
                </w:tcPr>
                <w:p w14:paraId="3AD4A07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2023-9-12</w:t>
                  </w:r>
                </w:p>
              </w:tc>
              <w:tc>
                <w:tcPr>
                  <w:tcW w:w="1006" w:type="pct"/>
                  <w:shd w:val="clear" w:color="auto" w:fill="auto"/>
                  <w:noWrap w:val="0"/>
                  <w:vAlign w:val="center"/>
                </w:tcPr>
                <w:p w14:paraId="714D2B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2023-12-20</w:t>
                  </w:r>
                </w:p>
              </w:tc>
              <w:tc>
                <w:tcPr>
                  <w:tcW w:w="1012" w:type="pct"/>
                  <w:shd w:val="clear" w:color="auto" w:fill="auto"/>
                  <w:noWrap w:val="0"/>
                  <w:vAlign w:val="center"/>
                </w:tcPr>
                <w:p w14:paraId="146A2D4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2024-6-09</w:t>
                  </w:r>
                </w:p>
              </w:tc>
            </w:tr>
            <w:bookmarkEnd w:id="1"/>
          </w:tbl>
          <w:p w14:paraId="3DBF927C">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井场有经济利用价值，临时关井，待转产；井场现已恢复平整并进行了植被恢复。具备验收、调查条件。</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default"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default"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土壤环境进行了调查与监测。在此基础上</w:t>
            </w:r>
            <w:r>
              <w:rPr>
                <w:rFonts w:hint="default" w:ascii="Times New Roman" w:hAnsi="Times New Roman" w:eastAsia="宋体" w:cs="Times New Roman"/>
                <w:color w:val="auto"/>
                <w:spacing w:val="0"/>
                <w:w w:val="100"/>
                <w:sz w:val="24"/>
                <w:szCs w:val="24"/>
                <w:highlight w:val="none"/>
                <w:lang w:val="en-US" w:eastAsia="zh-CN"/>
              </w:rPr>
              <w:t>，编写完成了《</w:t>
            </w:r>
            <w:r>
              <w:rPr>
                <w:rFonts w:hint="default" w:ascii="Times New Roman" w:hAnsi="Times New Roman" w:eastAsia="宋体" w:cs="Times New Roman"/>
                <w:color w:val="auto"/>
                <w:spacing w:val="0"/>
                <w:w w:val="100"/>
                <w:sz w:val="24"/>
                <w:szCs w:val="24"/>
                <w:highlight w:val="none"/>
                <w:lang w:eastAsia="zh-CN"/>
              </w:rPr>
              <w:t>和2H井场建设项目竣工环境保护验收调查表</w:t>
            </w:r>
            <w:r>
              <w:rPr>
                <w:rFonts w:hint="default" w:ascii="Times New Roman" w:hAnsi="Times New Roman" w:eastAsia="宋体" w:cs="Times New Roman"/>
                <w:color w:val="auto"/>
                <w:spacing w:val="0"/>
                <w:w w:val="100"/>
                <w:sz w:val="24"/>
                <w:szCs w:val="24"/>
                <w:highlight w:val="none"/>
                <w:lang w:val="en-US" w:eastAsia="zh-CN"/>
              </w:rPr>
              <w:t>》。</w:t>
            </w:r>
          </w:p>
        </w:tc>
      </w:tr>
      <w:tr w14:paraId="0476D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shd w:val="clear" w:color="auto" w:fill="auto"/>
            <w:noWrap w:val="0"/>
            <w:vAlign w:val="center"/>
          </w:tcPr>
          <w:p w14:paraId="53FC146C">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pacing w:val="0"/>
                <w:w w:val="100"/>
                <w:kern w:val="0"/>
                <w:sz w:val="24"/>
                <w:szCs w:val="21"/>
                <w:highlight w:val="none"/>
                <w:lang w:val="en-US" w:eastAsia="zh-CN" w:bidi="ar-SA"/>
              </w:rPr>
            </w:pPr>
            <w:r>
              <w:rPr>
                <w:rFonts w:hint="default" w:ascii="Times New Roman" w:hAnsi="Times New Roman" w:cs="Times New Roman"/>
                <w:b/>
                <w:bCs/>
                <w:color w:val="auto"/>
                <w:spacing w:val="0"/>
                <w:w w:val="100"/>
                <w:kern w:val="0"/>
                <w:sz w:val="24"/>
                <w:highlight w:val="none"/>
                <w:lang w:val="en-US" w:eastAsia="zh-CN"/>
              </w:rPr>
              <w:t>调查依据</w:t>
            </w:r>
          </w:p>
        </w:tc>
        <w:tc>
          <w:tcPr>
            <w:tcW w:w="3779" w:type="pct"/>
            <w:gridSpan w:val="12"/>
            <w:shd w:val="clear" w:color="auto" w:fill="auto"/>
            <w:noWrap w:val="0"/>
            <w:vAlign w:val="center"/>
          </w:tcPr>
          <w:p w14:paraId="5A0D7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（1）《中华人民共和国环境保护法》，2015年1月1日； </w:t>
            </w:r>
          </w:p>
          <w:p w14:paraId="382EF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（2）《中华人民共和国环境影响评价法》，2018年12月29日； </w:t>
            </w:r>
          </w:p>
          <w:p w14:paraId="6562CA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（3）《中华人民共和国大气污染防治法》，2018年10月26日； </w:t>
            </w:r>
          </w:p>
          <w:p w14:paraId="0D22F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（4）《中华人民共和国水污染防治法》，2018年1月1日； </w:t>
            </w:r>
          </w:p>
          <w:p w14:paraId="6626C1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（5）《中华人民共和国噪声污染防治法》，2022年6月5日； </w:t>
            </w:r>
          </w:p>
          <w:p w14:paraId="3A3A72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（6）《中华人民共和国固体废物污染环境防治法》，2020年9 月1日； </w:t>
            </w:r>
          </w:p>
          <w:p w14:paraId="2871BD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（7）《中华人民共和国土壤污染防治法》，2019年1月1日； </w:t>
            </w:r>
          </w:p>
          <w:p w14:paraId="14F37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（8）《建设项目竣工环境保护验收暂行办法》，国环规环评[2017]4号， 2017年 11月22日； </w:t>
            </w:r>
          </w:p>
          <w:p w14:paraId="392FC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（9）《建设项目竣工环境保护验收技术规范-生态影响类》（HJ/T 394-2007）； </w:t>
            </w:r>
          </w:p>
          <w:p w14:paraId="3597F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（10）《建设项目竣工环境保护验收技术规范-石油天然气开采》 </w:t>
            </w:r>
          </w:p>
          <w:p w14:paraId="1E6E3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HJ612-2011； </w:t>
            </w:r>
          </w:p>
          <w:p w14:paraId="23D82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（11）《关于印发环评管理中部分行业建设项目重大变动清单的通知》环境保护部办公厅文件（环办[2015]52 号）； </w:t>
            </w:r>
          </w:p>
          <w:p w14:paraId="10912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（12）《生态环境部办公厅关于印发〈污染影响类建设项目重大变动清单（试行）〉的通知》环办环评函〔2020〕688 号； </w:t>
            </w:r>
          </w:p>
          <w:p w14:paraId="3E76F2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（13）《关于进一步加强石油天然气行业环境影响评价管理的通知》（环办环评函〔2019〕910号）；</w:t>
            </w:r>
          </w:p>
          <w:p w14:paraId="76CFFE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（14）《和2H井场建设项目环境影响报告表》（庆阳衡安环保工程有限公司，2022年9月）；</w:t>
            </w:r>
          </w:p>
          <w:p w14:paraId="52ED870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（15）《关于&lt;和2H井场建设项目环境影响报告表&gt;的审批意见》（</w:t>
            </w:r>
            <w:r>
              <w:rPr>
                <w:rFonts w:hint="default" w:ascii="Times New Roman" w:hAnsi="Times New Roman" w:eastAsia="宋体" w:cs="Times New Roman"/>
                <w:color w:val="auto"/>
                <w:spacing w:val="0"/>
                <w:w w:val="100"/>
                <w:kern w:val="0"/>
                <w:sz w:val="24"/>
                <w:szCs w:val="24"/>
                <w:highlight w:val="none"/>
                <w:lang w:val="en-US" w:eastAsia="zh-CN"/>
              </w:rPr>
              <w:t>庆环评表字〔2022〕45号</w:t>
            </w:r>
            <w:r>
              <w:rPr>
                <w:rFonts w:hint="default" w:ascii="Times New Roman" w:hAnsi="Times New Roman" w:eastAsia="宋体" w:cs="Times New Roman"/>
                <w:color w:val="auto"/>
                <w:spacing w:val="0"/>
                <w:w w:val="100"/>
                <w:sz w:val="24"/>
                <w:szCs w:val="24"/>
                <w:highlight w:val="none"/>
                <w:lang w:val="en-US" w:eastAsia="zh-CN"/>
              </w:rPr>
              <w:t>）（庆阳市生态环境局，2022年9月9日）。</w:t>
            </w:r>
          </w:p>
          <w:p w14:paraId="08A7F4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490B497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670159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rightChars="0" w:firstLine="0" w:firstLineChars="0"/>
              <w:jc w:val="left"/>
              <w:textAlignment w:val="auto"/>
              <w:rPr>
                <w:rFonts w:hint="default" w:ascii="Times New Roman" w:hAnsi="Times New Roman" w:eastAsia="宋体" w:cs="Times New Roman"/>
                <w:color w:val="auto"/>
                <w:spacing w:val="0"/>
                <w:w w:val="100"/>
                <w:sz w:val="21"/>
                <w:szCs w:val="21"/>
                <w:highlight w:val="none"/>
                <w:lang w:val="en-US" w:eastAsia="zh-CN" w:bidi="ar-SA"/>
              </w:rPr>
            </w:pPr>
          </w:p>
        </w:tc>
      </w:tr>
    </w:tbl>
    <w:p w14:paraId="1565420A">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2" w:name="_Toc20993"/>
      <w:r>
        <w:rPr>
          <w:rFonts w:hint="default" w:ascii="Times New Roman" w:hAnsi="Times New Roman" w:eastAsia="宋体" w:cs="Times New Roman"/>
          <w:b/>
          <w:color w:val="auto"/>
          <w:kern w:val="2"/>
          <w:sz w:val="32"/>
          <w:szCs w:val="24"/>
          <w:lang w:val="en-US" w:eastAsia="zh-CN"/>
        </w:rPr>
        <w:t>2.调查范围、因子、目标、重点</w:t>
      </w:r>
      <w:bookmarkEnd w:id="2"/>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auto"/>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default"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5"/>
              <w:gridCol w:w="1673"/>
              <w:gridCol w:w="2098"/>
              <w:gridCol w:w="2543"/>
            </w:tblGrid>
            <w:tr w14:paraId="2937F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071"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44"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629" w:type="pct"/>
                  <w:tcBorders>
                    <w:tl2br w:val="nil"/>
                    <w:tr2bl w:val="nil"/>
                  </w:tcBorders>
                  <w:noWrap w:val="0"/>
                  <w:vAlign w:val="center"/>
                </w:tcPr>
                <w:p w14:paraId="150CD1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是否一致</w:t>
                  </w:r>
                </w:p>
              </w:tc>
            </w:tr>
            <w:tr w14:paraId="1E6F88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071"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344" w:type="pct"/>
                  <w:tcBorders>
                    <w:tl2br w:val="nil"/>
                    <w:tr2bl w:val="nil"/>
                  </w:tcBorders>
                  <w:shd w:val="clear" w:color="auto" w:fill="auto"/>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629" w:type="pct"/>
                  <w:tcBorders>
                    <w:tl2br w:val="nil"/>
                    <w:tr2bl w:val="nil"/>
                  </w:tcBorders>
                  <w:shd w:val="clear" w:color="auto" w:fill="auto"/>
                  <w:noWrap w:val="0"/>
                  <w:vAlign w:val="center"/>
                </w:tcPr>
                <w:p w14:paraId="265B7B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4C60B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071"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344" w:type="pct"/>
                  <w:tcBorders>
                    <w:tl2br w:val="nil"/>
                    <w:tr2bl w:val="nil"/>
                  </w:tcBorders>
                  <w:shd w:val="clear" w:color="auto" w:fill="auto"/>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629" w:type="pct"/>
                  <w:tcBorders>
                    <w:tl2br w:val="nil"/>
                    <w:tr2bl w:val="nil"/>
                  </w:tcBorders>
                  <w:shd w:val="clear" w:color="auto" w:fill="auto"/>
                  <w:noWrap w:val="0"/>
                  <w:vAlign w:val="center"/>
                </w:tcPr>
                <w:p w14:paraId="26A051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18E10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071"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44" w:type="pct"/>
                  <w:tcBorders>
                    <w:tl2br w:val="nil"/>
                    <w:tr2bl w:val="nil"/>
                  </w:tcBorders>
                  <w:shd w:val="clear" w:color="auto" w:fill="auto"/>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629" w:type="pct"/>
                  <w:tcBorders>
                    <w:tl2br w:val="nil"/>
                    <w:tr2bl w:val="nil"/>
                  </w:tcBorders>
                  <w:shd w:val="clear" w:color="auto" w:fill="auto"/>
                  <w:noWrap w:val="0"/>
                  <w:vAlign w:val="center"/>
                </w:tcPr>
                <w:p w14:paraId="12A84A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43A1F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071"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default" w:ascii="Times New Roman" w:hAnsi="Times New Roman" w:eastAsia="宋体" w:cs="Times New Roman"/>
                      <w:color w:val="auto"/>
                      <w:spacing w:val="0"/>
                      <w:w w:val="100"/>
                      <w:sz w:val="21"/>
                      <w:szCs w:val="21"/>
                      <w:highlight w:val="none"/>
                      <w:lang w:val="en-US" w:eastAsia="zh-CN"/>
                    </w:rPr>
                    <w:t>50</w:t>
                  </w:r>
                  <w:r>
                    <w:rPr>
                      <w:rFonts w:hint="default" w:ascii="Times New Roman" w:hAnsi="Times New Roman" w:eastAsia="宋体" w:cs="Times New Roman"/>
                      <w:color w:val="auto"/>
                      <w:spacing w:val="0"/>
                      <w:w w:val="100"/>
                      <w:sz w:val="21"/>
                      <w:szCs w:val="21"/>
                      <w:highlight w:val="none"/>
                      <w:lang w:eastAsia="zh-CN"/>
                    </w:rPr>
                    <w:t>m范围</w:t>
                  </w:r>
                </w:p>
              </w:tc>
              <w:tc>
                <w:tcPr>
                  <w:tcW w:w="1344" w:type="pct"/>
                  <w:tcBorders>
                    <w:tl2br w:val="nil"/>
                    <w:tr2bl w:val="nil"/>
                  </w:tcBorders>
                  <w:shd w:val="clear" w:color="auto" w:fill="auto"/>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w:t>
                  </w:r>
                  <w:r>
                    <w:rPr>
                      <w:rFonts w:hint="default" w:ascii="Times New Roman" w:hAnsi="Times New Roman" w:eastAsia="宋体" w:cs="Times New Roman"/>
                      <w:color w:val="auto"/>
                      <w:spacing w:val="0"/>
                      <w:w w:val="100"/>
                      <w:sz w:val="21"/>
                      <w:szCs w:val="21"/>
                      <w:highlight w:val="none"/>
                      <w:lang w:val="en-US" w:eastAsia="zh-CN"/>
                    </w:rPr>
                    <w:t>50</w:t>
                  </w:r>
                  <w:r>
                    <w:rPr>
                      <w:rFonts w:hint="default" w:ascii="Times New Roman" w:hAnsi="Times New Roman" w:eastAsia="宋体" w:cs="Times New Roman"/>
                      <w:color w:val="auto"/>
                      <w:spacing w:val="0"/>
                      <w:w w:val="100"/>
                      <w:sz w:val="21"/>
                      <w:szCs w:val="21"/>
                      <w:highlight w:val="none"/>
                      <w:lang w:eastAsia="zh-CN"/>
                    </w:rPr>
                    <w:t>m范围</w:t>
                  </w:r>
                </w:p>
              </w:tc>
              <w:tc>
                <w:tcPr>
                  <w:tcW w:w="1629" w:type="pct"/>
                  <w:tcBorders>
                    <w:tl2br w:val="nil"/>
                    <w:tr2bl w:val="nil"/>
                  </w:tcBorders>
                  <w:shd w:val="clear" w:color="auto" w:fill="auto"/>
                  <w:noWrap w:val="0"/>
                  <w:vAlign w:val="center"/>
                </w:tcPr>
                <w:p w14:paraId="7CD0F7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51776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1071" w:type="pct"/>
                  <w:tcBorders>
                    <w:tl2br w:val="nil"/>
                    <w:tr2bl w:val="nil"/>
                  </w:tcBorders>
                  <w:shd w:val="clear" w:color="auto" w:fill="auto"/>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44" w:type="pct"/>
                  <w:tcBorders>
                    <w:tl2br w:val="nil"/>
                    <w:tr2bl w:val="nil"/>
                  </w:tcBorders>
                  <w:shd w:val="clear" w:color="auto" w:fill="auto"/>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629" w:type="pct"/>
                  <w:tcBorders>
                    <w:tl2br w:val="nil"/>
                    <w:tr2bl w:val="nil"/>
                  </w:tcBorders>
                  <w:shd w:val="clear" w:color="auto" w:fill="auto"/>
                  <w:noWrap w:val="0"/>
                  <w:vAlign w:val="center"/>
                </w:tcPr>
                <w:p w14:paraId="1FE769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r w14:paraId="678BA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071"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44" w:type="pct"/>
                  <w:tcBorders>
                    <w:tl2br w:val="nil"/>
                    <w:tr2bl w:val="nil"/>
                  </w:tcBorders>
                  <w:shd w:val="clear" w:color="auto" w:fill="auto"/>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629" w:type="pct"/>
                  <w:tcBorders>
                    <w:tl2br w:val="nil"/>
                    <w:tr2bl w:val="nil"/>
                  </w:tcBorders>
                  <w:shd w:val="clear" w:color="auto" w:fill="auto"/>
                  <w:noWrap w:val="0"/>
                  <w:vAlign w:val="center"/>
                </w:tcPr>
                <w:p w14:paraId="61CFE92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一致</w:t>
                  </w:r>
                </w:p>
              </w:tc>
            </w:tr>
          </w:tbl>
          <w:p w14:paraId="177B5B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调查内容/因子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pH、石油烃（</w:t>
                  </w:r>
                  <w:r>
                    <w:rPr>
                      <w:rFonts w:hint="default" w:ascii="Times New Roman" w:hAnsi="Times New Roman" w:eastAsia="宋体" w:cs="Times New Roman"/>
                      <w:color w:val="auto"/>
                      <w:spacing w:val="0"/>
                      <w:w w:val="100"/>
                      <w:sz w:val="21"/>
                      <w:szCs w:val="21"/>
                      <w:highlight w:val="none"/>
                      <w:vertAlign w:val="subscript"/>
                      <w:lang w:eastAsia="zh-CN"/>
                    </w:rPr>
                    <w:t>C10</w:t>
                  </w:r>
                  <w:r>
                    <w:rPr>
                      <w:rFonts w:hint="default" w:ascii="Times New Roman" w:hAnsi="Times New Roman" w:eastAsia="宋体" w:cs="Times New Roman"/>
                      <w:color w:val="auto"/>
                      <w:spacing w:val="0"/>
                      <w:w w:val="100"/>
                      <w:sz w:val="21"/>
                      <w:szCs w:val="21"/>
                      <w:highlight w:val="none"/>
                      <w:lang w:eastAsia="zh-CN"/>
                    </w:rPr>
                    <w:t>-C</w:t>
                  </w:r>
                  <w:r>
                    <w:rPr>
                      <w:rFonts w:hint="default" w:ascii="Times New Roman" w:hAnsi="Times New Roman" w:eastAsia="宋体" w:cs="Times New Roman"/>
                      <w:color w:val="auto"/>
                      <w:spacing w:val="0"/>
                      <w:w w:val="100"/>
                      <w:sz w:val="21"/>
                      <w:szCs w:val="21"/>
                      <w:highlight w:val="none"/>
                      <w:vertAlign w:val="subscript"/>
                      <w:lang w:eastAsia="zh-CN"/>
                    </w:rPr>
                    <w:t>40</w:t>
                  </w:r>
                  <w:r>
                    <w:rPr>
                      <w:rFonts w:hint="default" w:ascii="Times New Roman" w:hAnsi="Times New Roman" w:eastAsia="宋体" w:cs="Times New Roman"/>
                      <w:color w:val="auto"/>
                      <w:spacing w:val="0"/>
                      <w:w w:val="100"/>
                      <w:sz w:val="21"/>
                      <w:szCs w:val="21"/>
                      <w:highlight w:val="none"/>
                      <w:lang w:eastAsia="zh-CN"/>
                    </w:rPr>
                    <w:t>）及常规45项</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w:t>
                  </w:r>
                </w:p>
              </w:tc>
            </w:tr>
          </w:tbl>
          <w:p w14:paraId="5CD27E0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本</w:t>
            </w:r>
            <w:r>
              <w:rPr>
                <w:rFonts w:hint="default" w:ascii="Times New Roman" w:hAnsi="Times New Roman" w:eastAsia="宋体" w:cs="Times New Roman"/>
                <w:color w:val="auto"/>
                <w:spacing w:val="0"/>
                <w:w w:val="100"/>
                <w:sz w:val="24"/>
                <w:szCs w:val="24"/>
                <w:highlight w:val="none"/>
              </w:rPr>
              <w:t>次验收调查以环境影响评价文件</w:t>
            </w:r>
            <w:r>
              <w:rPr>
                <w:rFonts w:hint="default" w:ascii="Times New Roman" w:hAnsi="Times New Roman" w:eastAsia="宋体" w:cs="Times New Roman"/>
                <w:color w:val="auto"/>
                <w:spacing w:val="0"/>
                <w:w w:val="100"/>
                <w:sz w:val="24"/>
                <w:szCs w:val="24"/>
                <w:highlight w:val="none"/>
                <w:lang w:val="en-US" w:eastAsia="zh-CN"/>
              </w:rPr>
              <w:t>及批复文件</w:t>
            </w:r>
            <w:r>
              <w:rPr>
                <w:rFonts w:hint="default" w:ascii="Times New Roman" w:hAnsi="Times New Roman" w:eastAsia="宋体" w:cs="Times New Roman"/>
                <w:color w:val="auto"/>
                <w:spacing w:val="0"/>
                <w:w w:val="100"/>
                <w:sz w:val="24"/>
                <w:szCs w:val="24"/>
                <w:highlight w:val="none"/>
              </w:rPr>
              <w:t>为基础</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通过资料收集及实地调查</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工程</w:t>
            </w:r>
            <w:r>
              <w:rPr>
                <w:rFonts w:hint="default" w:ascii="Times New Roman" w:hAnsi="Times New Roman" w:eastAsia="宋体" w:cs="Times New Roman"/>
                <w:color w:val="auto"/>
                <w:spacing w:val="0"/>
                <w:w w:val="100"/>
                <w:sz w:val="24"/>
                <w:szCs w:val="24"/>
                <w:highlight w:val="none"/>
                <w:lang w:val="en-US" w:eastAsia="zh-CN"/>
              </w:rPr>
              <w:t>调查</w:t>
            </w:r>
            <w:r>
              <w:rPr>
                <w:rFonts w:hint="default" w:ascii="Times New Roman" w:hAnsi="Times New Roman" w:eastAsia="宋体" w:cs="Times New Roman"/>
                <w:color w:val="auto"/>
                <w:spacing w:val="0"/>
                <w:w w:val="100"/>
                <w:sz w:val="24"/>
                <w:szCs w:val="24"/>
                <w:highlight w:val="none"/>
              </w:rPr>
              <w:t>范围内无自然保护区、</w:t>
            </w:r>
            <w:r>
              <w:rPr>
                <w:rFonts w:hint="default" w:ascii="Times New Roman" w:hAnsi="Times New Roman" w:eastAsia="宋体" w:cs="Times New Roman"/>
                <w:color w:val="auto"/>
                <w:spacing w:val="0"/>
                <w:w w:val="100"/>
                <w:sz w:val="24"/>
                <w:szCs w:val="24"/>
                <w:highlight w:val="none"/>
                <w:lang w:val="en-US" w:eastAsia="zh-CN"/>
              </w:rPr>
              <w:t>水源保护区、</w:t>
            </w:r>
            <w:r>
              <w:rPr>
                <w:rFonts w:hint="default" w:ascii="Times New Roman" w:hAnsi="Times New Roman" w:eastAsia="宋体" w:cs="Times New Roman"/>
                <w:color w:val="auto"/>
                <w:spacing w:val="0"/>
                <w:w w:val="100"/>
                <w:sz w:val="24"/>
                <w:szCs w:val="24"/>
                <w:highlight w:val="none"/>
              </w:rPr>
              <w:t>风景名胜区、文物古迹等需要特殊保护的环境敏感对象</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不会因本项目的实施而改变区域环境现有功能。本次工作对环评阶段识别的环境敏感目标进行了校核</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经调查</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项目验收阶段环境敏感目标与环评阶段</w:t>
            </w:r>
            <w:r>
              <w:rPr>
                <w:rFonts w:hint="default" w:ascii="Times New Roman" w:hAnsi="Times New Roman" w:eastAsia="宋体" w:cs="Times New Roman"/>
                <w:color w:val="auto"/>
                <w:spacing w:val="0"/>
                <w:w w:val="100"/>
                <w:sz w:val="24"/>
                <w:szCs w:val="24"/>
                <w:highlight w:val="none"/>
                <w:lang w:val="en-US" w:eastAsia="zh-CN"/>
              </w:rPr>
              <w:t>保持</w:t>
            </w:r>
            <w:r>
              <w:rPr>
                <w:rFonts w:hint="default" w:ascii="Times New Roman" w:hAnsi="Times New Roman" w:eastAsia="宋体" w:cs="Times New Roman"/>
                <w:color w:val="auto"/>
                <w:spacing w:val="0"/>
                <w:w w:val="100"/>
                <w:sz w:val="24"/>
                <w:szCs w:val="24"/>
                <w:highlight w:val="none"/>
              </w:rPr>
              <w:t>一致</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和2H</w:t>
            </w:r>
            <w:r>
              <w:rPr>
                <w:rFonts w:hint="default" w:ascii="Times New Roman" w:hAnsi="Times New Roman" w:eastAsia="宋体" w:cs="Times New Roman"/>
                <w:color w:val="auto"/>
                <w:spacing w:val="0"/>
                <w:w w:val="100"/>
                <w:sz w:val="24"/>
                <w:szCs w:val="24"/>
                <w:highlight w:val="none"/>
              </w:rPr>
              <w:t>井场</w:t>
            </w:r>
            <w:r>
              <w:rPr>
                <w:rFonts w:hint="default" w:ascii="Times New Roman" w:hAnsi="Times New Roman" w:eastAsia="宋体" w:cs="Times New Roman"/>
                <w:color w:val="auto"/>
                <w:spacing w:val="0"/>
                <w:w w:val="100"/>
                <w:sz w:val="24"/>
                <w:szCs w:val="24"/>
                <w:highlight w:val="none"/>
                <w:lang w:val="en-US" w:eastAsia="zh-CN"/>
              </w:rPr>
              <w:t>5</w:t>
            </w:r>
            <w:r>
              <w:rPr>
                <w:rFonts w:hint="default" w:ascii="Times New Roman" w:hAnsi="Times New Roman" w:eastAsia="宋体" w:cs="Times New Roman"/>
                <w:color w:val="auto"/>
                <w:spacing w:val="0"/>
                <w:w w:val="100"/>
                <w:sz w:val="24"/>
                <w:szCs w:val="24"/>
                <w:highlight w:val="none"/>
              </w:rPr>
              <w:t>00m范围内</w:t>
            </w:r>
            <w:r>
              <w:rPr>
                <w:rFonts w:hint="default" w:ascii="Times New Roman" w:hAnsi="Times New Roman" w:eastAsia="宋体" w:cs="Times New Roman"/>
                <w:color w:val="auto"/>
                <w:spacing w:val="0"/>
                <w:w w:val="100"/>
                <w:sz w:val="24"/>
                <w:szCs w:val="24"/>
                <w:highlight w:val="none"/>
                <w:lang w:val="en-US" w:eastAsia="zh-CN"/>
              </w:rPr>
              <w:t>有1户村民</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4996"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815"/>
              <w:gridCol w:w="888"/>
              <w:gridCol w:w="1089"/>
              <w:gridCol w:w="740"/>
              <w:gridCol w:w="706"/>
              <w:gridCol w:w="788"/>
              <w:gridCol w:w="1373"/>
            </w:tblGrid>
            <w:tr w14:paraId="09DC4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3" w:hRule="atLeast"/>
              </w:trPr>
              <w:tc>
                <w:tcPr>
                  <w:tcW w:w="4120" w:type="pct"/>
                  <w:gridSpan w:val="8"/>
                  <w:tcBorders>
                    <w:tl2br w:val="nil"/>
                    <w:tr2bl w:val="nil"/>
                  </w:tcBorders>
                  <w:noWrap w:val="0"/>
                  <w:vAlign w:val="center"/>
                </w:tcPr>
                <w:p w14:paraId="16048E3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879" w:type="pct"/>
                  <w:vMerge w:val="restart"/>
                  <w:tcBorders>
                    <w:tl2br w:val="nil"/>
                    <w:tr2bl w:val="nil"/>
                  </w:tcBorders>
                  <w:noWrap w:val="0"/>
                  <w:vAlign w:val="center"/>
                </w:tcPr>
                <w:p w14:paraId="2CCA70E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9711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44" w:type="pct"/>
                  <w:vMerge w:val="restart"/>
                  <w:tcBorders>
                    <w:tl2br w:val="nil"/>
                    <w:tr2bl w:val="nil"/>
                  </w:tcBorders>
                  <w:noWrap w:val="0"/>
                  <w:vAlign w:val="center"/>
                </w:tcPr>
                <w:p w14:paraId="7BF0AD2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976" w:type="pct"/>
                  <w:gridSpan w:val="2"/>
                  <w:tcBorders>
                    <w:tl2br w:val="nil"/>
                    <w:tr2bl w:val="nil"/>
                  </w:tcBorders>
                  <w:noWrap w:val="0"/>
                  <w:vAlign w:val="center"/>
                </w:tcPr>
                <w:p w14:paraId="5B63C4A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UTM坐标/m</w:t>
                  </w:r>
                </w:p>
              </w:tc>
              <w:tc>
                <w:tcPr>
                  <w:tcW w:w="569" w:type="pct"/>
                  <w:vMerge w:val="restart"/>
                  <w:tcBorders>
                    <w:tl2br w:val="nil"/>
                    <w:tr2bl w:val="nil"/>
                  </w:tcBorders>
                  <w:noWrap w:val="0"/>
                  <w:vAlign w:val="center"/>
                </w:tcPr>
                <w:p w14:paraId="25DAA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保护对象</w:t>
                  </w:r>
                </w:p>
              </w:tc>
              <w:tc>
                <w:tcPr>
                  <w:tcW w:w="697" w:type="pct"/>
                  <w:vMerge w:val="restart"/>
                  <w:tcBorders>
                    <w:tl2br w:val="nil"/>
                    <w:tr2bl w:val="nil"/>
                  </w:tcBorders>
                  <w:noWrap w:val="0"/>
                  <w:vAlign w:val="center"/>
                </w:tcPr>
                <w:p w14:paraId="63FBE21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78F1A73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474" w:type="pct"/>
                  <w:vMerge w:val="restart"/>
                  <w:tcBorders>
                    <w:tl2br w:val="nil"/>
                    <w:tr2bl w:val="nil"/>
                  </w:tcBorders>
                  <w:noWrap w:val="0"/>
                  <w:vAlign w:val="center"/>
                </w:tcPr>
                <w:p w14:paraId="2A098A4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52" w:type="pct"/>
                  <w:vMerge w:val="restart"/>
                  <w:tcBorders>
                    <w:tl2br w:val="nil"/>
                    <w:tr2bl w:val="nil"/>
                  </w:tcBorders>
                  <w:noWrap w:val="0"/>
                  <w:vAlign w:val="center"/>
                </w:tcPr>
                <w:p w14:paraId="3E822B0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504" w:type="pct"/>
                  <w:vMerge w:val="restart"/>
                  <w:tcBorders>
                    <w:tl2br w:val="nil"/>
                    <w:tr2bl w:val="nil"/>
                  </w:tcBorders>
                  <w:noWrap w:val="0"/>
                  <w:vAlign w:val="center"/>
                </w:tcPr>
                <w:p w14:paraId="16096E0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879" w:type="pct"/>
                  <w:vMerge w:val="continue"/>
                  <w:tcBorders>
                    <w:tl2br w:val="nil"/>
                    <w:tr2bl w:val="nil"/>
                  </w:tcBorders>
                  <w:noWrap w:val="0"/>
                  <w:vAlign w:val="center"/>
                </w:tcPr>
                <w:p w14:paraId="602645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3EF97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4" w:type="pct"/>
                  <w:vMerge w:val="continue"/>
                  <w:tcBorders>
                    <w:tl2br w:val="nil"/>
                    <w:tr2bl w:val="nil"/>
                  </w:tcBorders>
                  <w:noWrap w:val="0"/>
                  <w:vAlign w:val="center"/>
                </w:tcPr>
                <w:p w14:paraId="4984E7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54" w:type="pct"/>
                  <w:tcBorders>
                    <w:tl2br w:val="nil"/>
                    <w:tr2bl w:val="nil"/>
                  </w:tcBorders>
                  <w:noWrap w:val="0"/>
                  <w:vAlign w:val="center"/>
                </w:tcPr>
                <w:p w14:paraId="3D8DFE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X</w:t>
                  </w:r>
                </w:p>
              </w:tc>
              <w:tc>
                <w:tcPr>
                  <w:tcW w:w="522" w:type="pct"/>
                  <w:tcBorders>
                    <w:tl2br w:val="nil"/>
                    <w:tr2bl w:val="nil"/>
                  </w:tcBorders>
                  <w:noWrap w:val="0"/>
                  <w:vAlign w:val="center"/>
                </w:tcPr>
                <w:p w14:paraId="30D46A6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Y</w:t>
                  </w:r>
                </w:p>
              </w:tc>
              <w:tc>
                <w:tcPr>
                  <w:tcW w:w="569" w:type="pct"/>
                  <w:vMerge w:val="continue"/>
                  <w:tcBorders>
                    <w:tl2br w:val="nil"/>
                    <w:tr2bl w:val="nil"/>
                  </w:tcBorders>
                  <w:noWrap w:val="0"/>
                  <w:vAlign w:val="center"/>
                </w:tcPr>
                <w:p w14:paraId="4ADF3B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97" w:type="pct"/>
                  <w:vMerge w:val="continue"/>
                  <w:tcBorders>
                    <w:tl2br w:val="nil"/>
                    <w:tr2bl w:val="nil"/>
                  </w:tcBorders>
                  <w:noWrap w:val="0"/>
                  <w:vAlign w:val="center"/>
                </w:tcPr>
                <w:p w14:paraId="684992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74" w:type="pct"/>
                  <w:vMerge w:val="continue"/>
                  <w:tcBorders>
                    <w:tl2br w:val="nil"/>
                    <w:tr2bl w:val="nil"/>
                  </w:tcBorders>
                  <w:noWrap w:val="0"/>
                  <w:vAlign w:val="center"/>
                </w:tcPr>
                <w:p w14:paraId="44F2C7C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52" w:type="pct"/>
                  <w:vMerge w:val="continue"/>
                  <w:tcBorders>
                    <w:tl2br w:val="nil"/>
                    <w:tr2bl w:val="nil"/>
                  </w:tcBorders>
                  <w:noWrap w:val="0"/>
                  <w:vAlign w:val="center"/>
                </w:tcPr>
                <w:p w14:paraId="607BEE1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504" w:type="pct"/>
                  <w:vMerge w:val="continue"/>
                  <w:tcBorders>
                    <w:tl2br w:val="nil"/>
                    <w:tr2bl w:val="nil"/>
                  </w:tcBorders>
                  <w:noWrap w:val="0"/>
                  <w:vAlign w:val="center"/>
                </w:tcPr>
                <w:p w14:paraId="03ED32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879" w:type="pct"/>
                  <w:vMerge w:val="continue"/>
                  <w:tcBorders>
                    <w:tl2br w:val="nil"/>
                    <w:tr2bl w:val="nil"/>
                  </w:tcBorders>
                  <w:noWrap w:val="0"/>
                  <w:vAlign w:val="center"/>
                </w:tcPr>
                <w:p w14:paraId="441F158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370039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tcBorders>
                    <w:tl2br w:val="nil"/>
                    <w:tr2bl w:val="nil"/>
                  </w:tcBorders>
                  <w:noWrap w:val="0"/>
                  <w:vAlign w:val="center"/>
                </w:tcPr>
                <w:p w14:paraId="48E85BB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大气</w:t>
                  </w:r>
                </w:p>
                <w:p w14:paraId="0837FD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454" w:type="pct"/>
                  <w:tcBorders>
                    <w:tl2br w:val="nil"/>
                    <w:tr2bl w:val="nil"/>
                  </w:tcBorders>
                  <w:shd w:val="clear" w:color="auto" w:fill="auto"/>
                  <w:noWrap w:val="0"/>
                  <w:vAlign w:val="center"/>
                </w:tcPr>
                <w:p w14:paraId="5D1DE11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753350</w:t>
                  </w:r>
                </w:p>
              </w:tc>
              <w:tc>
                <w:tcPr>
                  <w:tcW w:w="522" w:type="pct"/>
                  <w:tcBorders>
                    <w:tl2br w:val="nil"/>
                    <w:tr2bl w:val="nil"/>
                  </w:tcBorders>
                  <w:shd w:val="clear" w:color="auto" w:fill="auto"/>
                  <w:noWrap w:val="0"/>
                  <w:vAlign w:val="center"/>
                </w:tcPr>
                <w:p w14:paraId="6E08F3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3918323</w:t>
                  </w:r>
                </w:p>
              </w:tc>
              <w:tc>
                <w:tcPr>
                  <w:tcW w:w="569" w:type="pct"/>
                  <w:tcBorders>
                    <w:tl2br w:val="nil"/>
                    <w:tr2bl w:val="nil"/>
                  </w:tcBorders>
                  <w:noWrap w:val="0"/>
                  <w:vAlign w:val="center"/>
                </w:tcPr>
                <w:p w14:paraId="67EC128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1户农户/5人</w:t>
                  </w:r>
                </w:p>
              </w:tc>
              <w:tc>
                <w:tcPr>
                  <w:tcW w:w="697" w:type="pct"/>
                  <w:tcBorders>
                    <w:tl2br w:val="nil"/>
                    <w:tr2bl w:val="nil"/>
                  </w:tcBorders>
                  <w:noWrap w:val="0"/>
                  <w:vAlign w:val="center"/>
                </w:tcPr>
                <w:p w14:paraId="21E26EB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大气环境质量</w:t>
                  </w:r>
                </w:p>
              </w:tc>
              <w:tc>
                <w:tcPr>
                  <w:tcW w:w="474" w:type="pct"/>
                  <w:tcBorders>
                    <w:tl2br w:val="nil"/>
                    <w:tr2bl w:val="nil"/>
                  </w:tcBorders>
                  <w:noWrap w:val="0"/>
                  <w:vAlign w:val="center"/>
                </w:tcPr>
                <w:p w14:paraId="168DDB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二级</w:t>
                  </w:r>
                </w:p>
              </w:tc>
              <w:tc>
                <w:tcPr>
                  <w:tcW w:w="452" w:type="pct"/>
                  <w:tcBorders>
                    <w:tl2br w:val="nil"/>
                    <w:tr2bl w:val="nil"/>
                  </w:tcBorders>
                  <w:shd w:val="clear" w:color="auto" w:fill="auto"/>
                  <w:noWrap w:val="0"/>
                  <w:vAlign w:val="center"/>
                </w:tcPr>
                <w:p w14:paraId="7636E5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SW</w:t>
                  </w:r>
                </w:p>
              </w:tc>
              <w:tc>
                <w:tcPr>
                  <w:tcW w:w="504" w:type="pct"/>
                  <w:tcBorders>
                    <w:tl2br w:val="nil"/>
                    <w:tr2bl w:val="nil"/>
                  </w:tcBorders>
                  <w:shd w:val="clear" w:color="auto" w:fill="auto"/>
                  <w:noWrap w:val="0"/>
                  <w:vAlign w:val="center"/>
                </w:tcPr>
                <w:p w14:paraId="7D2AD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445</w:t>
                  </w:r>
                </w:p>
              </w:tc>
              <w:tc>
                <w:tcPr>
                  <w:tcW w:w="879" w:type="pct"/>
                  <w:tcBorders>
                    <w:tl2br w:val="nil"/>
                    <w:tr2bl w:val="nil"/>
                  </w:tcBorders>
                  <w:noWrap w:val="0"/>
                  <w:vAlign w:val="center"/>
                </w:tcPr>
                <w:p w14:paraId="3F94D7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7656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444" w:type="pct"/>
                  <w:tcBorders>
                    <w:tl2br w:val="nil"/>
                    <w:tr2bl w:val="nil"/>
                  </w:tcBorders>
                  <w:noWrap w:val="0"/>
                  <w:vAlign w:val="center"/>
                </w:tcPr>
                <w:p w14:paraId="63222BA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10DE3B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545" w:type="pct"/>
                  <w:gridSpan w:val="3"/>
                  <w:tcBorders>
                    <w:tl2br w:val="nil"/>
                    <w:tr2bl w:val="nil"/>
                  </w:tcBorders>
                  <w:noWrap w:val="0"/>
                  <w:vAlign w:val="center"/>
                </w:tcPr>
                <w:p w14:paraId="03B951A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井场周边1km范围内</w:t>
                  </w:r>
                </w:p>
              </w:tc>
              <w:tc>
                <w:tcPr>
                  <w:tcW w:w="697" w:type="pct"/>
                  <w:tcBorders>
                    <w:tl2br w:val="nil"/>
                    <w:tr2bl w:val="nil"/>
                  </w:tcBorders>
                  <w:noWrap w:val="0"/>
                  <w:vAlign w:val="center"/>
                </w:tcPr>
                <w:p w14:paraId="39E49F7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431" w:type="pct"/>
                  <w:gridSpan w:val="3"/>
                  <w:tcBorders>
                    <w:tl2br w:val="nil"/>
                    <w:tr2bl w:val="nil"/>
                  </w:tcBorders>
                  <w:noWrap w:val="0"/>
                  <w:vAlign w:val="center"/>
                </w:tcPr>
                <w:p w14:paraId="1CFEAC2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879" w:type="pct"/>
                  <w:vMerge w:val="restart"/>
                  <w:tcBorders>
                    <w:tl2br w:val="nil"/>
                    <w:tr2bl w:val="nil"/>
                  </w:tcBorders>
                  <w:shd w:val="clear" w:color="auto" w:fill="auto"/>
                  <w:noWrap w:val="0"/>
                  <w:vAlign w:val="center"/>
                </w:tcPr>
                <w:p w14:paraId="3D64CF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sz w:val="21"/>
                      <w:szCs w:val="21"/>
                      <w:lang w:val="en-US" w:eastAsia="zh-CN" w:bidi="ar-SA"/>
                    </w:rPr>
                  </w:pPr>
                  <w:r>
                    <w:rPr>
                      <w:rFonts w:hint="default" w:ascii="Times New Roman" w:hAnsi="Times New Roman" w:eastAsia="宋体" w:cs="Times New Roman"/>
                      <w:bCs/>
                      <w:color w:val="auto"/>
                      <w:sz w:val="21"/>
                      <w:szCs w:val="21"/>
                      <w:lang w:val="en-US" w:eastAsia="zh-CN"/>
                    </w:rPr>
                    <w:t>与环评阶段一致</w:t>
                  </w:r>
                </w:p>
              </w:tc>
            </w:tr>
            <w:tr w14:paraId="0F0E3E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444" w:type="pct"/>
                  <w:tcBorders>
                    <w:tl2br w:val="nil"/>
                    <w:tr2bl w:val="nil"/>
                  </w:tcBorders>
                  <w:noWrap w:val="0"/>
                  <w:vAlign w:val="center"/>
                </w:tcPr>
                <w:p w14:paraId="014E3A4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4129C7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545" w:type="pct"/>
                  <w:gridSpan w:val="3"/>
                  <w:tcBorders>
                    <w:tl2br w:val="nil"/>
                    <w:tr2bl w:val="nil"/>
                  </w:tcBorders>
                  <w:noWrap w:val="0"/>
                  <w:vAlign w:val="center"/>
                </w:tcPr>
                <w:p w14:paraId="32F6D7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井场及道路300m范围区域</w:t>
                  </w:r>
                </w:p>
              </w:tc>
              <w:tc>
                <w:tcPr>
                  <w:tcW w:w="697" w:type="pct"/>
                  <w:tcBorders>
                    <w:tl2br w:val="nil"/>
                    <w:tr2bl w:val="nil"/>
                  </w:tcBorders>
                  <w:noWrap w:val="0"/>
                  <w:vAlign w:val="center"/>
                </w:tcPr>
                <w:p w14:paraId="1DEAC5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431" w:type="pct"/>
                  <w:gridSpan w:val="3"/>
                  <w:tcBorders>
                    <w:tl2br w:val="nil"/>
                    <w:tr2bl w:val="nil"/>
                  </w:tcBorders>
                  <w:noWrap w:val="0"/>
                  <w:vAlign w:val="center"/>
                </w:tcPr>
                <w:p w14:paraId="3AC6F97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879" w:type="pct"/>
                  <w:vMerge w:val="continue"/>
                  <w:tcBorders>
                    <w:tl2br w:val="nil"/>
                    <w:tr2bl w:val="nil"/>
                  </w:tcBorders>
                  <w:shd w:val="clear" w:color="auto" w:fill="auto"/>
                  <w:noWrap w:val="0"/>
                  <w:vAlign w:val="center"/>
                </w:tcPr>
                <w:p w14:paraId="3B6AA97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sz w:val="21"/>
                      <w:szCs w:val="21"/>
                      <w:lang w:val="en-US" w:eastAsia="zh-CN" w:bidi="ar-SA"/>
                    </w:rPr>
                  </w:pPr>
                </w:p>
              </w:tc>
            </w:tr>
          </w:tbl>
          <w:p w14:paraId="3493C327">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default" w:ascii="Times New Roman" w:hAnsi="Times New Roman" w:eastAsia="宋体" w:cs="Times New Roman"/>
                <w:i w:val="0"/>
                <w:iCs w:val="0"/>
                <w:color w:val="auto"/>
                <w:lang w:eastAsia="zh-CN"/>
              </w:rPr>
            </w:pPr>
            <w:r>
              <w:rPr>
                <w:rStyle w:val="29"/>
                <w:rFonts w:hint="default" w:ascii="Times New Roman" w:hAnsi="Times New Roman" w:eastAsia="宋体" w:cs="Times New Roman"/>
                <w:i w:val="0"/>
                <w:iCs w:val="0"/>
                <w:color w:val="auto"/>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auto"/>
                <w:lang w:eastAsia="zh-CN"/>
              </w:rPr>
              <w:t>表</w:t>
            </w:r>
            <w:r>
              <w:rPr>
                <w:rStyle w:val="29"/>
                <w:rFonts w:hint="default" w:ascii="Times New Roman" w:hAnsi="Times New Roman" w:eastAsia="宋体" w:cs="Times New Roman"/>
                <w:i w:val="0"/>
                <w:iCs w:val="0"/>
                <w:color w:val="auto"/>
              </w:rPr>
              <w:t>和环评批复的环保要求及环境影响评价的主要结论，确定本项目的调查重点</w:t>
            </w:r>
            <w:r>
              <w:rPr>
                <w:rStyle w:val="29"/>
                <w:rFonts w:hint="default" w:ascii="Times New Roman" w:hAnsi="Times New Roman" w:eastAsia="宋体" w:cs="Times New Roman"/>
                <w:i w:val="0"/>
                <w:iCs w:val="0"/>
                <w:color w:val="auto"/>
                <w:lang w:eastAsia="zh-CN"/>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（1）调查实际工程建设内容、工程变更及环境影响情况；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（2）调查环境敏感保护目标基本情况及变化情况；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（3）调查环境影响报告表及批复中提出的环保设施和措施落实情况及其效果；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（4）调查井场及道路周围生态恢复情况；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auto"/>
              </w:rPr>
            </w:pPr>
            <w:r>
              <w:rPr>
                <w:rFonts w:hint="default" w:ascii="Times New Roman" w:hAnsi="Times New Roman" w:eastAsia="宋体" w:cs="Times New Roman"/>
                <w:color w:val="auto"/>
                <w:kern w:val="0"/>
                <w:sz w:val="24"/>
                <w:szCs w:val="24"/>
                <w:lang w:val="en-US" w:eastAsia="zh-CN" w:bidi="ar"/>
              </w:rPr>
              <w:t>（5）调查环境风险防范和应急措施的落实及有效性。</w:t>
            </w: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577CEBE0">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47B8820D">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1EC93253">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64611136">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0F06AEB3">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4D4FAF3C">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1941D8AA">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25C8156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67664F2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57A6D2F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04441DBC">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7766355D">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78AF2E4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48BB38B2">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754938E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6D9EFE82">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557FF4B2">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2D0C27CB">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1782DD3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0B9FA45A">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3" w:name="_Toc2466"/>
      <w:r>
        <w:rPr>
          <w:rFonts w:hint="default" w:ascii="Times New Roman" w:hAnsi="Times New Roman" w:eastAsia="宋体" w:cs="Times New Roman"/>
          <w:b/>
          <w:color w:val="auto"/>
          <w:kern w:val="2"/>
          <w:sz w:val="32"/>
          <w:szCs w:val="24"/>
          <w:lang w:val="en-US" w:eastAsia="zh-CN"/>
        </w:rPr>
        <w:t>3.验收执行标准</w:t>
      </w:r>
      <w:bookmarkEnd w:id="3"/>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50D55F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56FCB5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default"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default"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lang w:val="en-US" w:eastAsia="zh-CN"/>
              </w:rPr>
              <w:t>1</w:t>
            </w:r>
            <w:r>
              <w:rPr>
                <w:rFonts w:hint="default"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z w:val="24"/>
                <w:szCs w:val="24"/>
              </w:rPr>
              <w:t>环境空气质量按《环境空气质量标准》（GB3095-2012）中的二级标准验收</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并按《环境空气质量标准》（GB3095-2012）二级标准校核</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非甲烷总烃小时值执行《大气污染物综合排放标准》详解中的2</w:t>
            </w:r>
            <w:r>
              <w:rPr>
                <w:rFonts w:hint="default"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SO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O</w:t>
                  </w:r>
                  <w:r>
                    <w:rPr>
                      <w:rFonts w:hint="default" w:ascii="Times New Roman" w:hAnsi="Times New Roman" w:eastAsia="宋体" w:cs="Times New Roman"/>
                      <w:color w:val="auto"/>
                      <w:sz w:val="21"/>
                      <w:szCs w:val="21"/>
                      <w:vertAlign w:val="subscript"/>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default" w:ascii="Times New Roman" w:hAnsi="Times New Roman" w:eastAsia="宋体" w:cs="Times New Roman"/>
                <w:color w:val="auto"/>
                <w:spacing w:val="0"/>
                <w:w w:val="100"/>
                <w:sz w:val="24"/>
                <w:szCs w:val="24"/>
                <w:highlight w:val="none"/>
                <w:lang w:eastAsia="zh-CN"/>
              </w:rPr>
              <w:t>见表</w:t>
            </w:r>
            <w:r>
              <w:rPr>
                <w:rFonts w:hint="default"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表3-2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22A0EB4B">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0C4B84D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自本项目取得环评批复以来，除</w:t>
            </w:r>
            <w:r>
              <w:rPr>
                <w:rFonts w:hint="default" w:ascii="Times New Roman" w:hAnsi="Times New Roman" w:eastAsia="宋体" w:cs="Times New Roman"/>
                <w:color w:val="auto"/>
                <w:kern w:val="0"/>
                <w:sz w:val="24"/>
                <w:lang w:val="en-US" w:eastAsia="zh-CN"/>
              </w:rPr>
              <w:t>危险废物贮存污染控制标准以外，</w:t>
            </w:r>
            <w:r>
              <w:rPr>
                <w:rFonts w:hint="default" w:ascii="Times New Roman" w:hAnsi="Times New Roman" w:eastAsia="宋体" w:cs="Times New Roman"/>
                <w:b w:val="0"/>
                <w:bCs w:val="0"/>
                <w:color w:val="auto"/>
                <w:sz w:val="24"/>
                <w:szCs w:val="24"/>
                <w:highlight w:val="none"/>
                <w:lang w:val="en-US" w:eastAsia="zh-CN" w:bidi="ar-SA"/>
              </w:rPr>
              <w:t>其他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1、废气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中无组织排放监控浓度限值；非甲烷总烃无组织排放执行《陆上石油石油开采工业大气污染物排放标准》（GB39728-2020）。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default"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w:t>
            </w:r>
            <w:r>
              <w:rPr>
                <w:rFonts w:hint="eastAsia" w:ascii="Times New Roman" w:hAnsi="Times New Roman" w:eastAsia="宋体" w:cs="Times New Roman"/>
                <w:b w:val="0"/>
                <w:bCs w:val="0"/>
                <w:color w:val="auto"/>
                <w:sz w:val="24"/>
                <w:szCs w:val="24"/>
                <w:highlight w:val="none"/>
                <w:lang w:val="en-US" w:eastAsia="zh-CN" w:bidi="ar-SA"/>
              </w:rPr>
              <w:t>5</w:t>
            </w:r>
            <w:r>
              <w:rPr>
                <w:rFonts w:hint="default" w:ascii="Times New Roman" w:hAnsi="Times New Roman" w:eastAsia="宋体" w:cs="Times New Roman"/>
                <w:b w:val="0"/>
                <w:bCs w:val="0"/>
                <w:color w:val="auto"/>
                <w:sz w:val="24"/>
                <w:szCs w:val="24"/>
                <w:highlight w:val="none"/>
                <w:lang w:val="en-US" w:eastAsia="zh-CN" w:bidi="ar-SA"/>
              </w:rPr>
              <w:t>。</w:t>
            </w:r>
          </w:p>
          <w:p w14:paraId="580E1EEF">
            <w:pPr>
              <w:pStyle w:val="83"/>
              <w:keepNext w:val="0"/>
              <w:keepLines w:val="0"/>
              <w:suppressLineNumbers w:val="0"/>
              <w:spacing w:before="0" w:beforeAutospacing="0" w:after="0" w:afterAutospacing="0" w:line="240" w:lineRule="auto"/>
              <w:ind w:left="0" w:right="0" w:firstLine="0" w:firstLineChars="0"/>
              <w:rPr>
                <w:rFonts w:hint="default" w:ascii="Times New Roman" w:hAnsi="Times New Roman" w:eastAsia="宋体" w:cs="Times New Roman"/>
                <w:b/>
                <w:bCs/>
                <w:snapToGrid/>
                <w:color w:val="auto"/>
                <w:kern w:val="2"/>
                <w:sz w:val="21"/>
                <w:szCs w:val="21"/>
              </w:rPr>
            </w:pPr>
            <w:r>
              <w:rPr>
                <w:rFonts w:hint="default" w:ascii="Times New Roman" w:hAnsi="Times New Roman" w:eastAsia="宋体" w:cs="Times New Roman"/>
                <w:b/>
                <w:bCs/>
                <w:snapToGrid/>
                <w:color w:val="auto"/>
                <w:kern w:val="2"/>
                <w:sz w:val="21"/>
                <w:szCs w:val="21"/>
              </w:rPr>
              <w:t>表</w:t>
            </w:r>
            <w:r>
              <w:rPr>
                <w:rFonts w:hint="default" w:ascii="Times New Roman" w:hAnsi="Times New Roman" w:eastAsia="宋体" w:cs="Times New Roman"/>
                <w:b/>
                <w:bCs/>
                <w:snapToGrid/>
                <w:color w:val="auto"/>
                <w:kern w:val="2"/>
                <w:sz w:val="21"/>
                <w:szCs w:val="21"/>
                <w:lang w:val="en-US" w:eastAsia="zh-CN"/>
              </w:rPr>
              <w:t>3-</w:t>
            </w:r>
            <w:r>
              <w:rPr>
                <w:rFonts w:hint="eastAsia" w:eastAsia="宋体" w:cs="Times New Roman"/>
                <w:b/>
                <w:bCs/>
                <w:snapToGrid/>
                <w:color w:val="auto"/>
                <w:kern w:val="2"/>
                <w:sz w:val="21"/>
                <w:szCs w:val="21"/>
                <w:lang w:val="en-US" w:eastAsia="zh-CN"/>
              </w:rPr>
              <w:t>5</w:t>
            </w:r>
            <w:r>
              <w:rPr>
                <w:rFonts w:hint="default" w:ascii="Times New Roman" w:hAnsi="Times New Roman" w:eastAsia="宋体" w:cs="Times New Roman"/>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昼间dB（A）</w:t>
                  </w:r>
                </w:p>
              </w:tc>
              <w:tc>
                <w:tcPr>
                  <w:tcW w:w="2499" w:type="pct"/>
                  <w:tcBorders>
                    <w:tl2br w:val="nil"/>
                    <w:tr2bl w:val="nil"/>
                  </w:tcBorders>
                  <w:noWrap w:val="0"/>
                  <w:vAlign w:val="center"/>
                </w:tcPr>
                <w:p w14:paraId="5CB100DC">
                  <w:pPr>
                    <w:pStyle w:val="8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70</w:t>
                  </w:r>
                </w:p>
              </w:tc>
              <w:tc>
                <w:tcPr>
                  <w:tcW w:w="2499" w:type="pct"/>
                  <w:tcBorders>
                    <w:tl2br w:val="nil"/>
                    <w:tr2bl w:val="nil"/>
                  </w:tcBorders>
                  <w:noWrap w:val="0"/>
                  <w:vAlign w:val="center"/>
                </w:tcPr>
                <w:p w14:paraId="2ED45DF7">
                  <w:pPr>
                    <w:pStyle w:val="8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本项目废水拉运至泾河8撬装式水净化站处理达标后回注油层，不外排。该站执行《碎屑岩油藏注水水质指标技术要求及分析方法》（SY-T5329－2022）中相关回注标准要求。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固体废物执行固体废物执行《一般工业固体废物贮存和填埋污染控制标准》（GB18599-2020）；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default" w:ascii="Times New Roman" w:hAnsi="Times New Roman" w:eastAsia="宋体" w:cs="Times New Roman"/>
                <w:color w:val="auto"/>
                <w:kern w:val="0"/>
                <w:sz w:val="24"/>
                <w:lang w:val="en-US" w:eastAsia="zh-CN"/>
              </w:rPr>
              <w:t>危险废物执行《危险废物贮存污染控制标准》（GB18597-2023）中有关规定（危废标准已于2023年修订，由2001年版更新为2023年版）。</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03F8BB3E">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ascii="Times New Roman" w:hAnsi="Times New Roman" w:eastAsia="宋体" w:cs="Times New Roman"/>
                <w:b w:val="0"/>
                <w:color w:val="auto"/>
                <w:kern w:val="0"/>
                <w:sz w:val="24"/>
                <w:szCs w:val="22"/>
                <w:lang w:val="en-US" w:eastAsia="zh-CN" w:bidi="ar-SA"/>
              </w:rPr>
            </w:pPr>
            <w:r>
              <w:rPr>
                <w:rFonts w:hint="default" w:ascii="Times New Roman" w:hAnsi="Times New Roman" w:eastAsia="宋体" w:cs="Times New Roman"/>
                <w:b w:val="0"/>
                <w:color w:val="auto"/>
                <w:kern w:val="0"/>
                <w:sz w:val="24"/>
                <w:szCs w:val="22"/>
                <w:lang w:val="en-US" w:eastAsia="zh-CN" w:bidi="ar-SA"/>
              </w:rPr>
              <w:t>本项目为</w:t>
            </w:r>
            <w:r>
              <w:rPr>
                <w:rFonts w:hint="default" w:ascii="Times New Roman" w:hAnsi="Times New Roman" w:cs="Times New Roman"/>
                <w:b w:val="0"/>
                <w:color w:val="auto"/>
                <w:kern w:val="0"/>
                <w:sz w:val="24"/>
                <w:szCs w:val="22"/>
                <w:lang w:val="en-US" w:eastAsia="zh-CN" w:bidi="ar-SA"/>
              </w:rPr>
              <w:t>石油勘探</w:t>
            </w:r>
            <w:r>
              <w:rPr>
                <w:rFonts w:hint="default" w:ascii="Times New Roman" w:hAnsi="Times New Roman" w:eastAsia="宋体" w:cs="Times New Roman"/>
                <w:b w:val="0"/>
                <w:color w:val="auto"/>
                <w:kern w:val="0"/>
                <w:sz w:val="24"/>
                <w:szCs w:val="22"/>
                <w:lang w:val="en-US" w:eastAsia="zh-CN" w:bidi="ar-SA"/>
              </w:rPr>
              <w:t>项目，勘探钻井试</w:t>
            </w:r>
            <w:r>
              <w:rPr>
                <w:rFonts w:hint="default" w:ascii="Times New Roman" w:hAnsi="Times New Roman" w:cs="Times New Roman"/>
                <w:b w:val="0"/>
                <w:color w:val="auto"/>
                <w:kern w:val="0"/>
                <w:sz w:val="24"/>
                <w:szCs w:val="22"/>
                <w:lang w:val="en-US" w:eastAsia="zh-CN" w:bidi="ar-SA"/>
              </w:rPr>
              <w:t>油</w:t>
            </w:r>
            <w:r>
              <w:rPr>
                <w:rFonts w:hint="default"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default" w:ascii="Times New Roman" w:hAnsi="Times New Roman" w:eastAsia="宋体" w:cs="Times New Roman"/>
                <w:b w:val="0"/>
                <w:bCs w:val="0"/>
                <w:color w:val="auto"/>
                <w:kern w:val="0"/>
                <w:sz w:val="24"/>
                <w:szCs w:val="22"/>
                <w:lang w:val="en-US" w:eastAsia="zh-CN" w:bidi="ar-SA"/>
              </w:rPr>
              <w:t>量控制指标申</w:t>
            </w:r>
            <w:r>
              <w:rPr>
                <w:rFonts w:hint="default" w:ascii="Times New Roman" w:hAnsi="Times New Roman" w:eastAsia="宋体" w:cs="Times New Roman"/>
                <w:b w:val="0"/>
                <w:bCs w:val="0"/>
                <w:color w:val="auto"/>
                <w:kern w:val="0"/>
                <w:sz w:val="24"/>
                <w:szCs w:val="24"/>
                <w:lang w:val="en-US" w:eastAsia="zh-CN" w:bidi="ar"/>
              </w:rPr>
              <w:t>请</w:t>
            </w:r>
            <w:r>
              <w:rPr>
                <w:rFonts w:hint="default" w:ascii="Times New Roman" w:hAnsi="Times New Roman" w:eastAsia="宋体" w:cs="Times New Roman"/>
                <w:b w:val="0"/>
                <w:color w:val="auto"/>
                <w:kern w:val="0"/>
                <w:sz w:val="24"/>
                <w:szCs w:val="22"/>
                <w:lang w:val="en-US" w:eastAsia="zh-CN" w:bidi="ar-SA"/>
              </w:rPr>
              <w:t>。</w:t>
            </w:r>
          </w:p>
          <w:p w14:paraId="33998A6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73FDD87F">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4"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4"/>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6782"/>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color w:val="auto"/>
                <w:spacing w:val="0"/>
                <w:w w:val="100"/>
                <w:sz w:val="24"/>
                <w:szCs w:val="24"/>
                <w:highlight w:val="none"/>
                <w:lang w:eastAsia="zh-CN"/>
              </w:rPr>
              <w:t>和2H井场建设项目</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19EE805C">
            <w:pPr>
              <w:pStyle w:val="3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eastAsia="zh-CN"/>
              </w:rPr>
              <w:t>和2H：</w:t>
            </w:r>
            <w:r>
              <w:rPr>
                <w:rFonts w:hint="default" w:ascii="Times New Roman" w:hAnsi="Times New Roman" w:eastAsia="宋体" w:cs="Times New Roman"/>
                <w:color w:val="auto"/>
                <w:spacing w:val="0"/>
                <w:w w:val="100"/>
                <w:sz w:val="24"/>
                <w:szCs w:val="24"/>
                <w:highlight w:val="none"/>
                <w:lang w:eastAsia="zh-CN"/>
              </w:rPr>
              <w:t>甘肃省庆阳市</w:t>
            </w:r>
            <w:r>
              <w:rPr>
                <w:rFonts w:hint="default" w:ascii="Times New Roman" w:hAnsi="Times New Roman" w:cs="Times New Roman"/>
                <w:color w:val="auto"/>
                <w:spacing w:val="0"/>
                <w:w w:val="100"/>
                <w:sz w:val="24"/>
                <w:szCs w:val="24"/>
                <w:highlight w:val="none"/>
                <w:lang w:eastAsia="zh-CN"/>
              </w:rPr>
              <w:t>宁县太昌镇肖家村；</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：E108°16′56.778″，N35°25′22.123″</w:t>
            </w:r>
          </w:p>
          <w:p w14:paraId="3DF412ED">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839"/>
              <w:gridCol w:w="2077"/>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839"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2077"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和2H</w:t>
                  </w:r>
                </w:p>
              </w:tc>
              <w:tc>
                <w:tcPr>
                  <w:tcW w:w="1444" w:type="dxa"/>
                  <w:tcBorders>
                    <w:tl2br w:val="nil"/>
                    <w:tr2bl w:val="nil"/>
                  </w:tcBorders>
                  <w:shd w:val="clear" w:color="auto" w:fill="auto"/>
                  <w:vAlign w:val="center"/>
                </w:tcPr>
                <w:p w14:paraId="210B117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2104m</w:t>
                  </w:r>
                </w:p>
              </w:tc>
              <w:tc>
                <w:tcPr>
                  <w:tcW w:w="839"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直井</w:t>
                  </w:r>
                </w:p>
              </w:tc>
              <w:tc>
                <w:tcPr>
                  <w:tcW w:w="2077"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994"/>
              <w:gridCol w:w="2298"/>
              <w:gridCol w:w="2342"/>
              <w:gridCol w:w="892"/>
              <w:gridCol w:w="1315"/>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601"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389"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16"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539"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795"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38BB47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71E86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7C6CA1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601" w:type="pct"/>
                  <w:tcBorders>
                    <w:tl2br w:val="nil"/>
                    <w:tr2bl w:val="nil"/>
                  </w:tcBorders>
                  <w:noWrap w:val="0"/>
                  <w:vAlign w:val="center"/>
                </w:tcPr>
                <w:p w14:paraId="36CB34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w:t>
                  </w:r>
                  <w:r>
                    <w:rPr>
                      <w:rFonts w:hint="default" w:ascii="Times New Roman" w:hAnsi="Times New Roman" w:eastAsia="宋体" w:cs="Times New Roman"/>
                      <w:color w:val="auto"/>
                      <w:spacing w:val="0"/>
                      <w:kern w:val="21"/>
                      <w:sz w:val="21"/>
                      <w:szCs w:val="21"/>
                      <w:highlight w:val="none"/>
                    </w:rPr>
                    <w:t>工程</w:t>
                  </w:r>
                </w:p>
              </w:tc>
              <w:tc>
                <w:tcPr>
                  <w:tcW w:w="1389" w:type="pct"/>
                  <w:tcBorders>
                    <w:tl2br w:val="nil"/>
                    <w:tr2bl w:val="nil"/>
                  </w:tcBorders>
                  <w:noWrap w:val="0"/>
                  <w:vAlign w:val="center"/>
                </w:tcPr>
                <w:p w14:paraId="3021F1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井深2200m，目的层位“长8”，完钻层位“长9” （钻穿“长8</w:t>
                  </w:r>
                  <w:r>
                    <w:rPr>
                      <w:rFonts w:hint="default" w:ascii="Times New Roman" w:hAnsi="Times New Roman" w:eastAsia="宋体" w:cs="Times New Roman"/>
                      <w:color w:val="auto"/>
                      <w:spacing w:val="0"/>
                      <w:kern w:val="21"/>
                      <w:sz w:val="21"/>
                      <w:szCs w:val="21"/>
                      <w:highlight w:val="none"/>
                      <w:vertAlign w:val="superscript"/>
                    </w:rPr>
                    <w:t>2</w:t>
                  </w:r>
                  <w:r>
                    <w:rPr>
                      <w:rFonts w:hint="default" w:ascii="Times New Roman" w:hAnsi="Times New Roman" w:eastAsia="宋体" w:cs="Times New Roman"/>
                      <w:color w:val="auto"/>
                      <w:spacing w:val="0"/>
                      <w:kern w:val="21"/>
                      <w:sz w:val="21"/>
                      <w:szCs w:val="21"/>
                      <w:highlight w:val="none"/>
                    </w:rPr>
                    <w:t>” 油层后打40</w:t>
                  </w:r>
                  <w:r>
                    <w:rPr>
                      <w:rFonts w:hint="default" w:ascii="Times New Roman" w:hAnsi="Times New Roman" w:eastAsia="宋体" w:cs="Times New Roman"/>
                      <w:color w:val="auto"/>
                      <w:spacing w:val="0"/>
                      <w:kern w:val="21"/>
                      <w:sz w:val="21"/>
                      <w:szCs w:val="21"/>
                      <w:highlight w:val="none"/>
                      <w:lang w:val="en-US" w:eastAsia="zh-CN"/>
                    </w:rPr>
                    <w:t>m</w:t>
                  </w:r>
                  <w:r>
                    <w:rPr>
                      <w:rFonts w:hint="default" w:ascii="Times New Roman" w:hAnsi="Times New Roman" w:eastAsia="宋体" w:cs="Times New Roman"/>
                      <w:color w:val="auto"/>
                      <w:spacing w:val="0"/>
                      <w:kern w:val="21"/>
                      <w:sz w:val="21"/>
                      <w:szCs w:val="21"/>
                      <w:highlight w:val="none"/>
                    </w:rPr>
                    <w:t>完钻）</w:t>
                  </w:r>
                </w:p>
              </w:tc>
              <w:tc>
                <w:tcPr>
                  <w:tcW w:w="1416" w:type="pct"/>
                  <w:vMerge w:val="restart"/>
                  <w:tcBorders>
                    <w:tl2br w:val="nil"/>
                    <w:tr2bl w:val="nil"/>
                  </w:tcBorders>
                  <w:noWrap w:val="0"/>
                  <w:vAlign w:val="center"/>
                </w:tcPr>
                <w:p w14:paraId="1F39E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和2H实际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为：2104m</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为</w:t>
                  </w:r>
                  <w:r>
                    <w:rPr>
                      <w:rFonts w:hint="default" w:ascii="Times New Roman" w:hAnsi="Times New Roman" w:eastAsia="宋体" w:cs="Times New Roman"/>
                      <w:color w:val="auto"/>
                      <w:spacing w:val="0"/>
                      <w:sz w:val="21"/>
                      <w:szCs w:val="21"/>
                      <w:highlight w:val="none"/>
                      <w:lang w:val="en-US" w:eastAsia="zh-CN"/>
                    </w:rPr>
                    <w:t>直井，</w:t>
                  </w:r>
                  <w:r>
                    <w:rPr>
                      <w:rFonts w:hint="default" w:ascii="Times New Roman" w:hAnsi="Times New Roman" w:eastAsia="宋体" w:cs="Times New Roman"/>
                      <w:color w:val="auto"/>
                      <w:spacing w:val="0"/>
                      <w:kern w:val="21"/>
                      <w:sz w:val="21"/>
                      <w:szCs w:val="21"/>
                      <w:highlight w:val="none"/>
                    </w:rPr>
                    <w:t>目的层位“长8”，完钻层位“长9” （钻穿“长8</w:t>
                  </w:r>
                  <w:r>
                    <w:rPr>
                      <w:rFonts w:hint="default" w:ascii="Times New Roman" w:hAnsi="Times New Roman" w:eastAsia="宋体" w:cs="Times New Roman"/>
                      <w:color w:val="auto"/>
                      <w:spacing w:val="0"/>
                      <w:kern w:val="21"/>
                      <w:sz w:val="21"/>
                      <w:szCs w:val="21"/>
                      <w:highlight w:val="none"/>
                      <w:vertAlign w:val="superscript"/>
                    </w:rPr>
                    <w:t>2</w:t>
                  </w:r>
                  <w:r>
                    <w:rPr>
                      <w:rFonts w:hint="default" w:ascii="Times New Roman" w:hAnsi="Times New Roman" w:eastAsia="宋体" w:cs="Times New Roman"/>
                      <w:color w:val="auto"/>
                      <w:spacing w:val="0"/>
                      <w:kern w:val="21"/>
                      <w:sz w:val="21"/>
                      <w:szCs w:val="21"/>
                      <w:highlight w:val="none"/>
                    </w:rPr>
                    <w:t>” 油层后打40</w:t>
                  </w:r>
                  <w:r>
                    <w:rPr>
                      <w:rFonts w:hint="default" w:ascii="Times New Roman" w:hAnsi="Times New Roman" w:eastAsia="宋体" w:cs="Times New Roman"/>
                      <w:color w:val="auto"/>
                      <w:spacing w:val="0"/>
                      <w:kern w:val="21"/>
                      <w:sz w:val="21"/>
                      <w:szCs w:val="21"/>
                      <w:highlight w:val="none"/>
                      <w:lang w:val="en-US" w:eastAsia="zh-CN"/>
                    </w:rPr>
                    <w:t>m</w:t>
                  </w:r>
                  <w:r>
                    <w:rPr>
                      <w:rFonts w:hint="default" w:ascii="Times New Roman" w:hAnsi="Times New Roman" w:eastAsia="宋体" w:cs="Times New Roman"/>
                      <w:color w:val="auto"/>
                      <w:spacing w:val="0"/>
                      <w:kern w:val="21"/>
                      <w:sz w:val="21"/>
                      <w:szCs w:val="21"/>
                      <w:highlight w:val="none"/>
                    </w:rPr>
                    <w:t>完钻）</w:t>
                  </w:r>
                  <w:r>
                    <w:rPr>
                      <w:rFonts w:hint="default"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sz w:val="21"/>
                      <w:szCs w:val="21"/>
                      <w:highlight w:val="none"/>
                    </w:rPr>
                    <w:t>工程包括钻井成套设备搬运、安装、调试、钻进、录井、测井、固井等环节。</w:t>
                  </w:r>
                </w:p>
              </w:tc>
              <w:tc>
                <w:tcPr>
                  <w:tcW w:w="539" w:type="pct"/>
                  <w:vMerge w:val="restart"/>
                  <w:tcBorders>
                    <w:tl2br w:val="nil"/>
                    <w:tr2bl w:val="nil"/>
                  </w:tcBorders>
                  <w:noWrap w:val="0"/>
                  <w:vAlign w:val="center"/>
                </w:tcPr>
                <w:p w14:paraId="24003F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FF0000"/>
                      <w:sz w:val="21"/>
                      <w:szCs w:val="21"/>
                      <w:highlight w:val="none"/>
                      <w:lang w:val="en-US" w:eastAsia="zh-CN"/>
                    </w:rPr>
                    <w:t>基本</w:t>
                  </w:r>
                  <w:r>
                    <w:rPr>
                      <w:rFonts w:hint="default" w:ascii="Times New Roman" w:hAnsi="Times New Roman" w:eastAsia="宋体" w:cs="Times New Roman"/>
                      <w:color w:val="FF0000"/>
                      <w:sz w:val="21"/>
                      <w:szCs w:val="21"/>
                      <w:highlight w:val="none"/>
                      <w:lang w:val="en-US" w:eastAsia="zh-CN"/>
                    </w:rPr>
                    <w:t>一致</w:t>
                  </w:r>
                </w:p>
              </w:tc>
              <w:tc>
                <w:tcPr>
                  <w:tcW w:w="795" w:type="pct"/>
                  <w:vMerge w:val="restart"/>
                  <w:tcBorders>
                    <w:tl2br w:val="nil"/>
                    <w:tr2bl w:val="nil"/>
                  </w:tcBorders>
                  <w:noWrap w:val="0"/>
                  <w:vAlign w:val="center"/>
                </w:tcPr>
                <w:p w14:paraId="2B4F6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勘探深度变深，根据项目场址处实际地层情况，对钻井深度进行了微调，钻井目的层未发生改变</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钻井</w:t>
                  </w:r>
                  <w:r>
                    <w:rPr>
                      <w:rFonts w:hint="default" w:ascii="Times New Roman" w:hAnsi="Times New Roman" w:eastAsia="宋体" w:cs="Times New Roman"/>
                      <w:color w:val="auto"/>
                      <w:spacing w:val="0"/>
                      <w:kern w:val="21"/>
                      <w:sz w:val="21"/>
                      <w:szCs w:val="21"/>
                      <w:highlight w:val="none"/>
                    </w:rPr>
                    <w:t>工程</w:t>
                  </w:r>
                </w:p>
              </w:tc>
              <w:tc>
                <w:tcPr>
                  <w:tcW w:w="1389" w:type="pct"/>
                  <w:tcBorders>
                    <w:tl2br w:val="nil"/>
                    <w:tr2bl w:val="nil"/>
                  </w:tcBorders>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lang w:eastAsia="zh-CN"/>
                    </w:rPr>
                    <w:t>钻前准备、钻井过程、固井、完井、测井</w:t>
                  </w:r>
                </w:p>
              </w:tc>
              <w:tc>
                <w:tcPr>
                  <w:tcW w:w="1416" w:type="pct"/>
                  <w:vMerge w:val="continue"/>
                  <w:tcBorders>
                    <w:tl2br w:val="nil"/>
                    <w:tr2bl w:val="nil"/>
                  </w:tcBorders>
                  <w:noWrap w:val="0"/>
                  <w:vAlign w:val="center"/>
                </w:tcPr>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p>
              </w:tc>
              <w:tc>
                <w:tcPr>
                  <w:tcW w:w="539" w:type="pct"/>
                  <w:vMerge w:val="continue"/>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c>
                <w:tcPr>
                  <w:tcW w:w="795" w:type="pct"/>
                  <w:vMerge w:val="continue"/>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601"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生活设施</w:t>
                  </w:r>
                </w:p>
              </w:tc>
              <w:tc>
                <w:tcPr>
                  <w:tcW w:w="1389" w:type="pct"/>
                  <w:tcBorders>
                    <w:tl2br w:val="nil"/>
                    <w:tr2bl w:val="nil"/>
                  </w:tcBorders>
                  <w:shd w:val="clear" w:color="auto" w:fill="auto"/>
                  <w:noWrap w:val="0"/>
                  <w:vAlign w:val="center"/>
                </w:tcPr>
                <w:p w14:paraId="7A240DBF">
                  <w:pPr>
                    <w:keepNext w:val="0"/>
                    <w:keepLines w:val="0"/>
                    <w:pageBreakBefore w:val="0"/>
                    <w:widowControl w:val="0"/>
                    <w:suppressLineNumbers w:val="0"/>
                    <w:tabs>
                      <w:tab w:val="left" w:pos="525"/>
                    </w:tabs>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eastAsia="zh-CN"/>
                    </w:rPr>
                    <w:t>场内设置旱厕，定期清掏，用于周边农田堆肥</w:t>
                  </w:r>
                </w:p>
              </w:tc>
              <w:tc>
                <w:tcPr>
                  <w:tcW w:w="1416"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项目地设置1座移动式环保厕所，</w:t>
                  </w:r>
                  <w:r>
                    <w:rPr>
                      <w:rFonts w:hint="default" w:ascii="Times New Roman" w:hAnsi="Times New Roman" w:eastAsia="宋体" w:cs="Times New Roman"/>
                      <w:bCs/>
                      <w:color w:val="auto"/>
                      <w:spacing w:val="0"/>
                      <w:sz w:val="21"/>
                      <w:szCs w:val="21"/>
                      <w:highlight w:val="none"/>
                      <w:lang w:eastAsia="zh-CN"/>
                    </w:rPr>
                    <w:t>定期清掏，用于周边农田堆肥</w:t>
                  </w:r>
                </w:p>
              </w:tc>
              <w:tc>
                <w:tcPr>
                  <w:tcW w:w="539"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5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601"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进井道路</w:t>
                  </w:r>
                </w:p>
              </w:tc>
              <w:tc>
                <w:tcPr>
                  <w:tcW w:w="1389"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拟建井场需新修道路</w:t>
                  </w:r>
                  <w:r>
                    <w:rPr>
                      <w:rFonts w:hint="default" w:ascii="Times New Roman" w:hAnsi="Times New Roman" w:eastAsia="宋体" w:cs="Times New Roman"/>
                      <w:color w:val="auto"/>
                      <w:spacing w:val="0"/>
                      <w:sz w:val="21"/>
                      <w:szCs w:val="21"/>
                      <w:highlight w:val="none"/>
                      <w:lang w:val="en-US" w:eastAsia="zh-CN"/>
                    </w:rPr>
                    <w:t>20</w:t>
                  </w:r>
                  <w:r>
                    <w:rPr>
                      <w:rFonts w:hint="default" w:ascii="Times New Roman" w:hAnsi="Times New Roman" w:eastAsia="宋体" w:cs="Times New Roman"/>
                      <w:color w:val="auto"/>
                      <w:spacing w:val="0"/>
                      <w:sz w:val="21"/>
                      <w:szCs w:val="21"/>
                      <w:highlight w:val="none"/>
                      <w:lang w:val="en-US"/>
                    </w:rPr>
                    <w:t>m，宽度为6m，</w:t>
                  </w:r>
                  <w:r>
                    <w:rPr>
                      <w:rFonts w:hint="default" w:ascii="Times New Roman" w:hAnsi="Times New Roman" w:eastAsia="宋体" w:cs="Times New Roman"/>
                      <w:color w:val="auto"/>
                      <w:spacing w:val="0"/>
                      <w:sz w:val="21"/>
                      <w:szCs w:val="21"/>
                      <w:highlight w:val="none"/>
                    </w:rPr>
                    <w:t>从</w:t>
                  </w:r>
                  <w:r>
                    <w:rPr>
                      <w:rFonts w:hint="default" w:ascii="Times New Roman" w:hAnsi="Times New Roman" w:eastAsia="宋体" w:cs="Times New Roman"/>
                      <w:color w:val="auto"/>
                      <w:spacing w:val="0"/>
                      <w:sz w:val="21"/>
                      <w:szCs w:val="21"/>
                      <w:highlight w:val="none"/>
                      <w:lang w:eastAsia="zh-CN"/>
                    </w:rPr>
                    <w:t>东</w:t>
                  </w:r>
                  <w:r>
                    <w:rPr>
                      <w:rFonts w:hint="eastAsia" w:ascii="Times New Roman" w:hAnsi="Times New Roman" w:eastAsia="宋体" w:cs="Times New Roman"/>
                      <w:color w:val="auto"/>
                      <w:spacing w:val="0"/>
                      <w:sz w:val="21"/>
                      <w:szCs w:val="21"/>
                      <w:highlight w:val="none"/>
                      <w:lang w:val="en-US" w:eastAsia="zh-CN"/>
                    </w:rPr>
                    <w:t>南</w:t>
                  </w:r>
                  <w:r>
                    <w:rPr>
                      <w:rFonts w:hint="default" w:ascii="Times New Roman" w:hAnsi="Times New Roman" w:eastAsia="宋体" w:cs="Times New Roman"/>
                      <w:color w:val="auto"/>
                      <w:spacing w:val="0"/>
                      <w:sz w:val="21"/>
                      <w:szCs w:val="21"/>
                      <w:highlight w:val="none"/>
                    </w:rPr>
                    <w:t>进入井场</w:t>
                  </w:r>
                </w:p>
              </w:tc>
              <w:tc>
                <w:tcPr>
                  <w:tcW w:w="1416"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已</w:t>
                  </w:r>
                  <w:r>
                    <w:rPr>
                      <w:rFonts w:hint="default" w:ascii="Times New Roman" w:hAnsi="Times New Roman" w:eastAsia="宋体" w:cs="Times New Roman"/>
                      <w:color w:val="auto"/>
                      <w:spacing w:val="0"/>
                      <w:kern w:val="21"/>
                      <w:sz w:val="21"/>
                      <w:szCs w:val="21"/>
                      <w:highlight w:val="none"/>
                      <w:lang w:eastAsia="zh-CN"/>
                    </w:rPr>
                    <w:t>建进场施工便道</w:t>
                  </w:r>
                  <w:r>
                    <w:rPr>
                      <w:rFonts w:hint="default" w:ascii="Times New Roman" w:hAnsi="Times New Roman" w:eastAsia="宋体" w:cs="Times New Roman"/>
                      <w:color w:val="auto"/>
                      <w:spacing w:val="0"/>
                      <w:kern w:val="21"/>
                      <w:sz w:val="21"/>
                      <w:szCs w:val="21"/>
                      <w:highlight w:val="none"/>
                      <w:lang w:val="en-US" w:eastAsia="zh-CN"/>
                    </w:rPr>
                    <w:t>20m</w:t>
                  </w:r>
                  <w:r>
                    <w:rPr>
                      <w:rFonts w:hint="default" w:ascii="Times New Roman" w:hAnsi="Times New Roman" w:eastAsia="宋体" w:cs="Times New Roman"/>
                      <w:color w:val="auto"/>
                      <w:spacing w:val="0"/>
                      <w:kern w:val="21"/>
                      <w:sz w:val="21"/>
                      <w:szCs w:val="21"/>
                      <w:highlight w:val="none"/>
                      <w:lang w:eastAsia="zh-CN"/>
                    </w:rPr>
                    <w:t>，与乡村道路相连接，道路宽度为6m，</w:t>
                  </w:r>
                  <w:r>
                    <w:rPr>
                      <w:rFonts w:hint="default" w:ascii="Times New Roman" w:hAnsi="Times New Roman" w:eastAsia="宋体" w:cs="Times New Roman"/>
                      <w:color w:val="auto"/>
                      <w:spacing w:val="0"/>
                      <w:sz w:val="21"/>
                      <w:szCs w:val="21"/>
                      <w:highlight w:val="none"/>
                    </w:rPr>
                    <w:t>从</w:t>
                  </w:r>
                  <w:r>
                    <w:rPr>
                      <w:rFonts w:hint="eastAsia" w:ascii="Times New Roman" w:hAnsi="Times New Roman" w:eastAsia="宋体" w:cs="Times New Roman"/>
                      <w:color w:val="auto"/>
                      <w:spacing w:val="0"/>
                      <w:sz w:val="21"/>
                      <w:szCs w:val="21"/>
                      <w:highlight w:val="none"/>
                      <w:lang w:val="en-US" w:eastAsia="zh-CN"/>
                    </w:rPr>
                    <w:t>南</w:t>
                  </w:r>
                  <w:r>
                    <w:rPr>
                      <w:rFonts w:hint="default" w:ascii="Times New Roman" w:hAnsi="Times New Roman" w:eastAsia="宋体" w:cs="Times New Roman"/>
                      <w:color w:val="auto"/>
                      <w:spacing w:val="0"/>
                      <w:sz w:val="21"/>
                      <w:szCs w:val="21"/>
                      <w:highlight w:val="none"/>
                      <w:lang w:eastAsia="zh-CN"/>
                    </w:rPr>
                    <w:t>侧</w:t>
                  </w:r>
                  <w:r>
                    <w:rPr>
                      <w:rFonts w:hint="default" w:ascii="Times New Roman" w:hAnsi="Times New Roman" w:eastAsia="宋体" w:cs="Times New Roman"/>
                      <w:color w:val="auto"/>
                      <w:spacing w:val="0"/>
                      <w:sz w:val="21"/>
                      <w:szCs w:val="21"/>
                      <w:highlight w:val="none"/>
                    </w:rPr>
                    <w:t>进入井场</w:t>
                  </w:r>
                  <w:r>
                    <w:rPr>
                      <w:rFonts w:hint="default" w:ascii="Times New Roman" w:hAnsi="Times New Roman" w:eastAsia="宋体" w:cs="Times New Roman"/>
                      <w:color w:val="auto"/>
                      <w:spacing w:val="0"/>
                      <w:sz w:val="21"/>
                      <w:szCs w:val="21"/>
                      <w:highlight w:val="none"/>
                      <w:lang w:eastAsia="zh-CN"/>
                    </w:rPr>
                    <w:t>。</w:t>
                  </w:r>
                </w:p>
              </w:tc>
              <w:tc>
                <w:tcPr>
                  <w:tcW w:w="539"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601"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供电工程</w:t>
                  </w:r>
                </w:p>
              </w:tc>
              <w:tc>
                <w:tcPr>
                  <w:tcW w:w="1389"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由柴油发电机供给</w:t>
                  </w:r>
                </w:p>
              </w:tc>
              <w:tc>
                <w:tcPr>
                  <w:tcW w:w="1416"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由柴油发电机供给</w:t>
                  </w:r>
                </w:p>
              </w:tc>
              <w:tc>
                <w:tcPr>
                  <w:tcW w:w="539"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供</w:t>
                  </w:r>
                  <w:r>
                    <w:rPr>
                      <w:rFonts w:hint="default" w:ascii="Times New Roman" w:hAnsi="Times New Roman" w:eastAsia="宋体" w:cs="Times New Roman"/>
                      <w:color w:val="auto"/>
                      <w:spacing w:val="0"/>
                      <w:sz w:val="21"/>
                      <w:szCs w:val="21"/>
                      <w:highlight w:val="none"/>
                      <w:lang w:eastAsia="zh-CN"/>
                    </w:rPr>
                    <w:t>水</w:t>
                  </w:r>
                  <w:r>
                    <w:rPr>
                      <w:rFonts w:hint="default" w:ascii="Times New Roman" w:hAnsi="Times New Roman" w:eastAsia="宋体" w:cs="Times New Roman"/>
                      <w:color w:val="auto"/>
                      <w:spacing w:val="0"/>
                      <w:sz w:val="21"/>
                      <w:szCs w:val="21"/>
                      <w:highlight w:val="none"/>
                    </w:rPr>
                    <w:t>工程</w:t>
                  </w:r>
                </w:p>
              </w:tc>
              <w:tc>
                <w:tcPr>
                  <w:tcW w:w="1389"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附近地表水</w:t>
                  </w:r>
                  <w:r>
                    <w:rPr>
                      <w:rFonts w:hint="default" w:ascii="Times New Roman" w:hAnsi="Times New Roman" w:eastAsia="宋体" w:cs="Times New Roman"/>
                      <w:color w:val="auto"/>
                      <w:spacing w:val="0"/>
                      <w:sz w:val="21"/>
                      <w:szCs w:val="21"/>
                      <w:highlight w:val="none"/>
                    </w:rPr>
                    <w:t>供给</w:t>
                  </w:r>
                </w:p>
              </w:tc>
              <w:tc>
                <w:tcPr>
                  <w:tcW w:w="1416"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539"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3F9514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725" w:hRule="atLeast"/>
                <w:jc w:val="center"/>
              </w:trPr>
              <w:tc>
                <w:tcPr>
                  <w:tcW w:w="258" w:type="pct"/>
                  <w:tcBorders>
                    <w:tl2br w:val="nil"/>
                    <w:tr2bl w:val="nil"/>
                  </w:tcBorders>
                  <w:shd w:val="clear" w:color="auto" w:fill="auto"/>
                  <w:noWrap w:val="0"/>
                  <w:vAlign w:val="center"/>
                </w:tcPr>
                <w:p w14:paraId="02254FC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储运工程</w:t>
                  </w:r>
                </w:p>
              </w:tc>
              <w:tc>
                <w:tcPr>
                  <w:tcW w:w="601" w:type="pct"/>
                  <w:tcBorders>
                    <w:tl2br w:val="nil"/>
                    <w:tr2bl w:val="nil"/>
                  </w:tcBorders>
                  <w:shd w:val="clear" w:color="auto" w:fill="auto"/>
                  <w:noWrap w:val="0"/>
                  <w:vAlign w:val="center"/>
                </w:tcPr>
                <w:p w14:paraId="5DFC835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施工期柴油及措施废液储罐设施</w:t>
                  </w:r>
                </w:p>
              </w:tc>
              <w:tc>
                <w:tcPr>
                  <w:tcW w:w="1389" w:type="pct"/>
                  <w:tcBorders>
                    <w:tl2br w:val="nil"/>
                    <w:tr2bl w:val="nil"/>
                  </w:tcBorders>
                  <w:shd w:val="clear" w:color="auto" w:fill="auto"/>
                  <w:noWrap w:val="0"/>
                  <w:vAlign w:val="center"/>
                </w:tcPr>
                <w:p w14:paraId="44423CD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2具50m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val="en-US" w:eastAsia="zh-CN"/>
                    </w:rPr>
                    <w:t>措施废液储罐</w:t>
                  </w:r>
                </w:p>
              </w:tc>
              <w:tc>
                <w:tcPr>
                  <w:tcW w:w="1416" w:type="pct"/>
                  <w:tcBorders>
                    <w:tl2br w:val="nil"/>
                    <w:tr2bl w:val="nil"/>
                  </w:tcBorders>
                  <w:noWrap w:val="0"/>
                  <w:vAlign w:val="center"/>
                </w:tcPr>
                <w:p w14:paraId="3DEBB9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井场内设置2具50m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val="en-US" w:eastAsia="zh-CN"/>
                    </w:rPr>
                    <w:t>措施废液储罐</w:t>
                  </w:r>
                </w:p>
              </w:tc>
              <w:tc>
                <w:tcPr>
                  <w:tcW w:w="539" w:type="pct"/>
                  <w:tcBorders>
                    <w:tl2br w:val="nil"/>
                    <w:tr2bl w:val="nil"/>
                  </w:tcBorders>
                  <w:shd w:val="clear" w:color="auto" w:fill="auto"/>
                  <w:noWrap w:val="0"/>
                  <w:vAlign w:val="center"/>
                </w:tcPr>
                <w:p w14:paraId="346DA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shd w:val="clear" w:color="auto" w:fill="auto"/>
                  <w:noWrap w:val="0"/>
                  <w:vAlign w:val="center"/>
                </w:tcPr>
                <w:p w14:paraId="5CA0A5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4041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601" w:type="pct"/>
                  <w:vMerge w:val="restart"/>
                  <w:tcBorders>
                    <w:tl2br w:val="nil"/>
                    <w:tr2bl w:val="nil"/>
                  </w:tcBorders>
                  <w:noWrap w:val="0"/>
                  <w:vAlign w:val="center"/>
                </w:tcPr>
                <w:p w14:paraId="0DAE3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389" w:type="pct"/>
                  <w:tcBorders>
                    <w:tl2br w:val="nil"/>
                    <w:tr2bl w:val="nil"/>
                  </w:tcBorders>
                  <w:shd w:val="clear" w:color="auto" w:fill="auto"/>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施工扬尘：施工现场设置</w:t>
                  </w:r>
                  <w:r>
                    <w:rPr>
                      <w:rFonts w:hint="default" w:ascii="Times New Roman" w:hAnsi="Times New Roman" w:eastAsia="宋体" w:cs="Times New Roman"/>
                      <w:color w:val="auto"/>
                      <w:spacing w:val="0"/>
                      <w:sz w:val="21"/>
                      <w:szCs w:val="21"/>
                      <w:highlight w:val="none"/>
                      <w:lang w:val="en-US" w:eastAsia="zh-CN"/>
                    </w:rPr>
                    <w:t>50cm高挡土墙，</w:t>
                  </w:r>
                  <w:r>
                    <w:rPr>
                      <w:rFonts w:hint="default" w:ascii="Times New Roman" w:hAnsi="Times New Roman" w:eastAsia="宋体" w:cs="Times New Roman"/>
                      <w:color w:val="auto"/>
                      <w:spacing w:val="0"/>
                      <w:sz w:val="21"/>
                      <w:szCs w:val="21"/>
                      <w:highlight w:val="none"/>
                      <w:lang w:eastAsia="zh-CN"/>
                    </w:rPr>
                    <w:t>进场道路铺设砂石、洒水抑尘，且材料运输采取篷布遮盖</w:t>
                  </w:r>
                  <w:r>
                    <w:rPr>
                      <w:rFonts w:hint="default" w:ascii="Times New Roman" w:hAnsi="Times New Roman" w:eastAsia="宋体" w:cs="Times New Roman"/>
                      <w:color w:val="auto"/>
                      <w:spacing w:val="0"/>
                      <w:sz w:val="21"/>
                      <w:szCs w:val="21"/>
                      <w:highlight w:val="none"/>
                      <w:lang w:val="en-US" w:eastAsia="zh-CN"/>
                    </w:rPr>
                    <w:t>及并设置了</w:t>
                  </w:r>
                  <w:r>
                    <w:rPr>
                      <w:rFonts w:hint="default" w:ascii="Times New Roman" w:hAnsi="Times New Roman" w:eastAsia="宋体" w:cs="Times New Roman"/>
                      <w:color w:val="auto"/>
                      <w:spacing w:val="0"/>
                      <w:sz w:val="21"/>
                      <w:szCs w:val="21"/>
                      <w:highlight w:val="none"/>
                      <w:lang w:eastAsia="zh-CN"/>
                    </w:rPr>
                    <w:t>围栏以防散落</w:t>
                  </w:r>
                </w:p>
              </w:tc>
              <w:tc>
                <w:tcPr>
                  <w:tcW w:w="1416"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施工扬尘：施工现场设置</w:t>
                  </w:r>
                  <w:r>
                    <w:rPr>
                      <w:rFonts w:hint="default" w:ascii="Times New Roman" w:hAnsi="Times New Roman" w:eastAsia="宋体" w:cs="Times New Roman"/>
                      <w:color w:val="auto"/>
                      <w:spacing w:val="0"/>
                      <w:sz w:val="21"/>
                      <w:szCs w:val="21"/>
                      <w:highlight w:val="none"/>
                      <w:lang w:val="en-US" w:eastAsia="zh-CN"/>
                    </w:rPr>
                    <w:t>50cm高挡土墙，</w:t>
                  </w:r>
                  <w:r>
                    <w:rPr>
                      <w:rFonts w:hint="default" w:ascii="Times New Roman" w:hAnsi="Times New Roman" w:eastAsia="宋体" w:cs="Times New Roman"/>
                      <w:color w:val="auto"/>
                      <w:spacing w:val="0"/>
                      <w:sz w:val="21"/>
                      <w:szCs w:val="21"/>
                      <w:highlight w:val="none"/>
                      <w:lang w:eastAsia="zh-CN"/>
                    </w:rPr>
                    <w:t>进场道路铺设砂石、洒水抑尘，且材料运输采取篷布遮盖</w:t>
                  </w:r>
                  <w:r>
                    <w:rPr>
                      <w:rFonts w:hint="default" w:ascii="Times New Roman" w:hAnsi="Times New Roman" w:eastAsia="宋体" w:cs="Times New Roman"/>
                      <w:color w:val="auto"/>
                      <w:spacing w:val="0"/>
                      <w:sz w:val="21"/>
                      <w:szCs w:val="21"/>
                      <w:highlight w:val="none"/>
                      <w:lang w:val="en-US" w:eastAsia="zh-CN"/>
                    </w:rPr>
                    <w:t>及并设置了</w:t>
                  </w:r>
                  <w:r>
                    <w:rPr>
                      <w:rFonts w:hint="default" w:ascii="Times New Roman" w:hAnsi="Times New Roman" w:eastAsia="宋体" w:cs="Times New Roman"/>
                      <w:color w:val="auto"/>
                      <w:spacing w:val="0"/>
                      <w:sz w:val="21"/>
                      <w:szCs w:val="21"/>
                      <w:highlight w:val="none"/>
                      <w:lang w:eastAsia="zh-CN"/>
                    </w:rPr>
                    <w:t>围栏以防散落</w:t>
                  </w:r>
                </w:p>
              </w:tc>
              <w:tc>
                <w:tcPr>
                  <w:tcW w:w="539"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601" w:type="pct"/>
                  <w:vMerge w:val="continue"/>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1389" w:type="pct"/>
                  <w:tcBorders>
                    <w:tl2br w:val="nil"/>
                    <w:tr2bl w:val="nil"/>
                  </w:tcBorders>
                  <w:shd w:val="clear" w:color="auto" w:fill="auto"/>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施工机械废气：主要为燃油废气，选用燃烧效率高的柴油机，采用含硫量低的柴油。</w:t>
                  </w:r>
                </w:p>
              </w:tc>
              <w:tc>
                <w:tcPr>
                  <w:tcW w:w="1416"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w:t>
                  </w:r>
                  <w:r>
                    <w:rPr>
                      <w:rFonts w:hint="default" w:ascii="Times New Roman" w:hAnsi="Times New Roman" w:eastAsia="宋体" w:cs="Times New Roman"/>
                      <w:color w:val="auto"/>
                      <w:spacing w:val="0"/>
                      <w:sz w:val="21"/>
                      <w:szCs w:val="21"/>
                      <w:highlight w:val="none"/>
                    </w:rPr>
                    <w:t>燃烧效率高的柴油机</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采用含硫量低的柴油</w:t>
                  </w:r>
                  <w:r>
                    <w:rPr>
                      <w:rFonts w:hint="default" w:ascii="Times New Roman" w:hAnsi="Times New Roman" w:eastAsia="宋体" w:cs="Times New Roman"/>
                      <w:color w:val="auto"/>
                      <w:spacing w:val="0"/>
                      <w:sz w:val="21"/>
                      <w:szCs w:val="21"/>
                      <w:highlight w:val="none"/>
                      <w:lang w:eastAsia="zh-CN"/>
                    </w:rPr>
                    <w:t>。</w:t>
                  </w:r>
                </w:p>
              </w:tc>
              <w:tc>
                <w:tcPr>
                  <w:tcW w:w="539"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389" w:type="pct"/>
                  <w:tcBorders>
                    <w:tl2br w:val="nil"/>
                    <w:tr2bl w:val="nil"/>
                  </w:tcBorders>
                  <w:shd w:val="clear" w:color="auto" w:fill="auto"/>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钻井废水、试油废水、措施返排液依托泾河8撬装式水净化站处理达标后回注油层，不外排</w:t>
                  </w:r>
                </w:p>
              </w:tc>
              <w:tc>
                <w:tcPr>
                  <w:tcW w:w="1416"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w:t>
                  </w:r>
                  <w:r>
                    <w:rPr>
                      <w:rFonts w:hint="default" w:ascii="Times New Roman" w:hAnsi="Times New Roman" w:eastAsia="宋体" w:cs="Times New Roman"/>
                      <w:color w:val="auto"/>
                      <w:spacing w:val="0"/>
                      <w:sz w:val="21"/>
                      <w:szCs w:val="21"/>
                      <w:highlight w:val="none"/>
                      <w:lang w:val="en-US" w:eastAsia="zh-CN"/>
                    </w:rPr>
                    <w:t>未</w:t>
                  </w:r>
                  <w:r>
                    <w:rPr>
                      <w:rFonts w:hint="default" w:ascii="Times New Roman" w:hAnsi="Times New Roman" w:eastAsia="宋体" w:cs="Times New Roman"/>
                      <w:color w:val="auto"/>
                      <w:spacing w:val="0"/>
                      <w:sz w:val="21"/>
                      <w:szCs w:val="21"/>
                      <w:highlight w:val="none"/>
                      <w:lang w:eastAsia="zh-CN"/>
                    </w:rPr>
                    <w:t>外排</w:t>
                  </w:r>
                </w:p>
              </w:tc>
              <w:tc>
                <w:tcPr>
                  <w:tcW w:w="539"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601"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89" w:type="pct"/>
                  <w:tcBorders>
                    <w:tl2br w:val="nil"/>
                    <w:tr2bl w:val="nil"/>
                  </w:tcBorders>
                  <w:shd w:val="clear" w:color="auto" w:fill="auto"/>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井场周边设置不低于</w:t>
                  </w:r>
                  <w:r>
                    <w:rPr>
                      <w:rFonts w:hint="default" w:ascii="Times New Roman" w:hAnsi="Times New Roman" w:eastAsia="宋体" w:cs="Times New Roman"/>
                      <w:color w:val="auto"/>
                      <w:spacing w:val="0"/>
                      <w:sz w:val="21"/>
                      <w:szCs w:val="21"/>
                      <w:highlight w:val="none"/>
                      <w:lang w:val="en-US" w:eastAsia="zh-CN"/>
                    </w:rPr>
                    <w:t>20cm高围堰</w:t>
                  </w:r>
                  <w:r>
                    <w:rPr>
                      <w:rFonts w:hint="default" w:ascii="Times New Roman" w:hAnsi="Times New Roman" w:eastAsia="宋体" w:cs="Times New Roman"/>
                      <w:color w:val="auto"/>
                      <w:spacing w:val="0"/>
                      <w:sz w:val="21"/>
                      <w:szCs w:val="21"/>
                      <w:highlight w:val="none"/>
                      <w:lang w:eastAsia="zh-CN"/>
                    </w:rPr>
                    <w:t>，确保厂区内雨水、事故废水不流入厂区外，同时保证厂区外雨水不流入厂区内</w:t>
                  </w:r>
                </w:p>
              </w:tc>
              <w:tc>
                <w:tcPr>
                  <w:tcW w:w="1416"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eastAsia="宋体" w:cs="Times New Roman"/>
                      <w:color w:val="auto"/>
                      <w:spacing w:val="0"/>
                      <w:sz w:val="21"/>
                      <w:szCs w:val="21"/>
                      <w:highlight w:val="none"/>
                      <w:lang w:eastAsia="zh-CN"/>
                    </w:rPr>
                    <w:t>，确保厂区内雨水、事故废水不流入厂区外，同时保证厂区外雨水不流入厂区内</w:t>
                  </w:r>
                </w:p>
              </w:tc>
              <w:tc>
                <w:tcPr>
                  <w:tcW w:w="539"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601"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89" w:type="pct"/>
                  <w:tcBorders>
                    <w:tl2br w:val="nil"/>
                    <w:tr2bl w:val="nil"/>
                  </w:tcBorders>
                  <w:shd w:val="clear" w:color="auto" w:fill="auto"/>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设置</w:t>
                  </w:r>
                  <w:r>
                    <w:rPr>
                      <w:rFonts w:hint="default" w:ascii="Times New Roman" w:hAnsi="Times New Roman" w:eastAsia="宋体" w:cs="Times New Roman"/>
                      <w:color w:val="auto"/>
                      <w:spacing w:val="0"/>
                      <w:sz w:val="21"/>
                      <w:szCs w:val="21"/>
                      <w:highlight w:val="none"/>
                      <w:lang w:val="en-US" w:eastAsia="zh-CN"/>
                    </w:rPr>
                    <w:t>5</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雨水池；设置</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应急池；设置</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污油罐；设置</w:t>
                  </w:r>
                  <w:r>
                    <w:rPr>
                      <w:rFonts w:hint="default" w:ascii="Times New Roman" w:hAnsi="Times New Roman" w:eastAsia="宋体" w:cs="Times New Roman"/>
                      <w:color w:val="auto"/>
                      <w:spacing w:val="0"/>
                      <w:sz w:val="21"/>
                      <w:szCs w:val="21"/>
                      <w:highlight w:val="none"/>
                      <w:lang w:val="en-US" w:eastAsia="zh-CN"/>
                    </w:rPr>
                    <w:t>4具50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清水罐和</w:t>
                  </w:r>
                  <w:r>
                    <w:rPr>
                      <w:rFonts w:hint="default" w:ascii="Times New Roman" w:hAnsi="Times New Roman" w:eastAsia="宋体" w:cs="Times New Roman"/>
                      <w:color w:val="auto"/>
                      <w:spacing w:val="0"/>
                      <w:sz w:val="21"/>
                      <w:szCs w:val="21"/>
                      <w:highlight w:val="none"/>
                      <w:lang w:val="en-US" w:eastAsia="zh-CN"/>
                    </w:rPr>
                    <w:t>5具60m³</w:t>
                  </w:r>
                  <w:r>
                    <w:rPr>
                      <w:rFonts w:hint="default" w:ascii="Times New Roman" w:hAnsi="Times New Roman" w:eastAsia="宋体" w:cs="Times New Roman"/>
                      <w:color w:val="auto"/>
                      <w:spacing w:val="0"/>
                      <w:sz w:val="21"/>
                      <w:szCs w:val="21"/>
                      <w:highlight w:val="none"/>
                      <w:lang w:eastAsia="zh-CN"/>
                    </w:rPr>
                    <w:t>泥浆罐；</w:t>
                  </w:r>
                  <w:r>
                    <w:rPr>
                      <w:rFonts w:hint="default" w:ascii="Times New Roman" w:hAnsi="Times New Roman" w:eastAsia="宋体" w:cs="Times New Roman"/>
                      <w:color w:val="auto"/>
                      <w:spacing w:val="0"/>
                      <w:sz w:val="21"/>
                      <w:szCs w:val="21"/>
                      <w:highlight w:val="none"/>
                      <w:lang w:val="en-US" w:eastAsia="zh-CN"/>
                    </w:rPr>
                    <w:t>2具50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val="en-US" w:eastAsia="zh-CN"/>
                    </w:rPr>
                    <w:t>措施废液储罐</w:t>
                  </w:r>
                </w:p>
              </w:tc>
              <w:tc>
                <w:tcPr>
                  <w:tcW w:w="1416"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val="en-US" w:eastAsia="zh-CN"/>
                    </w:rPr>
                    <w:t>井场内</w:t>
                  </w:r>
                  <w:r>
                    <w:rPr>
                      <w:rFonts w:hint="default" w:ascii="Times New Roman" w:hAnsi="Times New Roman" w:eastAsia="宋体" w:cs="Times New Roman"/>
                      <w:color w:val="auto"/>
                      <w:spacing w:val="0"/>
                      <w:sz w:val="21"/>
                      <w:szCs w:val="21"/>
                      <w:highlight w:val="none"/>
                      <w:lang w:eastAsia="zh-CN"/>
                    </w:rPr>
                    <w:t>设置</w:t>
                  </w:r>
                  <w:r>
                    <w:rPr>
                      <w:rFonts w:hint="default" w:ascii="Times New Roman" w:hAnsi="Times New Roman" w:eastAsia="宋体" w:cs="Times New Roman"/>
                      <w:color w:val="auto"/>
                      <w:spacing w:val="0"/>
                      <w:sz w:val="21"/>
                      <w:szCs w:val="21"/>
                      <w:highlight w:val="none"/>
                      <w:lang w:val="en-US" w:eastAsia="zh-CN"/>
                    </w:rPr>
                    <w:t>5</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雨水池；</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应急池；</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污油罐；</w:t>
                  </w:r>
                  <w:r>
                    <w:rPr>
                      <w:rFonts w:hint="default" w:ascii="Times New Roman" w:hAnsi="Times New Roman" w:eastAsia="宋体" w:cs="Times New Roman"/>
                      <w:color w:val="auto"/>
                      <w:spacing w:val="0"/>
                      <w:sz w:val="21"/>
                      <w:szCs w:val="21"/>
                      <w:highlight w:val="none"/>
                      <w:lang w:val="en-US" w:eastAsia="zh-CN"/>
                    </w:rPr>
                    <w:t>4具50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eastAsia="zh-CN"/>
                    </w:rPr>
                    <w:t>清水罐和</w:t>
                  </w:r>
                  <w:r>
                    <w:rPr>
                      <w:rFonts w:hint="default" w:ascii="Times New Roman" w:hAnsi="Times New Roman" w:eastAsia="宋体" w:cs="Times New Roman"/>
                      <w:color w:val="auto"/>
                      <w:spacing w:val="0"/>
                      <w:sz w:val="21"/>
                      <w:szCs w:val="21"/>
                      <w:highlight w:val="none"/>
                      <w:lang w:val="en-US" w:eastAsia="zh-CN"/>
                    </w:rPr>
                    <w:t>5具60m³</w:t>
                  </w:r>
                  <w:r>
                    <w:rPr>
                      <w:rFonts w:hint="default" w:ascii="Times New Roman" w:hAnsi="Times New Roman" w:eastAsia="宋体" w:cs="Times New Roman"/>
                      <w:color w:val="auto"/>
                      <w:spacing w:val="0"/>
                      <w:sz w:val="21"/>
                      <w:szCs w:val="21"/>
                      <w:highlight w:val="none"/>
                      <w:lang w:eastAsia="zh-CN"/>
                    </w:rPr>
                    <w:t>泥浆罐；</w:t>
                  </w:r>
                  <w:r>
                    <w:rPr>
                      <w:rFonts w:hint="default" w:ascii="Times New Roman" w:hAnsi="Times New Roman" w:eastAsia="宋体" w:cs="Times New Roman"/>
                      <w:color w:val="auto"/>
                      <w:spacing w:val="0"/>
                      <w:sz w:val="21"/>
                      <w:szCs w:val="21"/>
                      <w:highlight w:val="none"/>
                      <w:lang w:val="en-US" w:eastAsia="zh-CN"/>
                    </w:rPr>
                    <w:t>2具50</w:t>
                  </w:r>
                  <w:r>
                    <w:rPr>
                      <w:rFonts w:hint="default" w:ascii="Times New Roman" w:hAnsi="Times New Roman" w:eastAsia="宋体" w:cs="Times New Roman"/>
                      <w:color w:val="auto"/>
                      <w:spacing w:val="0"/>
                      <w:sz w:val="21"/>
                      <w:szCs w:val="21"/>
                      <w:highlight w:val="none"/>
                      <w:lang w:eastAsia="zh-CN"/>
                    </w:rPr>
                    <w:t>m</w:t>
                  </w:r>
                  <w:r>
                    <w:rPr>
                      <w:rFonts w:hint="default" w:ascii="Times New Roman" w:hAnsi="Times New Roman" w:eastAsia="宋体" w:cs="Times New Roman"/>
                      <w:color w:val="auto"/>
                      <w:spacing w:val="0"/>
                      <w:sz w:val="21"/>
                      <w:szCs w:val="21"/>
                      <w:highlight w:val="none"/>
                      <w:vertAlign w:val="superscript"/>
                      <w:lang w:eastAsia="zh-CN"/>
                    </w:rPr>
                    <w:t>3</w:t>
                  </w:r>
                  <w:r>
                    <w:rPr>
                      <w:rFonts w:hint="default" w:ascii="Times New Roman" w:hAnsi="Times New Roman" w:eastAsia="宋体" w:cs="Times New Roman"/>
                      <w:color w:val="auto"/>
                      <w:spacing w:val="0"/>
                      <w:sz w:val="21"/>
                      <w:szCs w:val="21"/>
                      <w:highlight w:val="none"/>
                      <w:lang w:val="en-US" w:eastAsia="zh-CN"/>
                    </w:rPr>
                    <w:t>措施废液储罐。现已恢复场地</w:t>
                  </w:r>
                </w:p>
              </w:tc>
              <w:tc>
                <w:tcPr>
                  <w:tcW w:w="539"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601"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89" w:type="pct"/>
                  <w:tcBorders>
                    <w:tl2br w:val="nil"/>
                    <w:tr2bl w:val="nil"/>
                  </w:tcBorders>
                  <w:shd w:val="clear" w:color="auto" w:fill="auto"/>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生活污水用于场地洒水降尘，厂区植被绿化；场内设置旱厕，定期清掏，用于周边农田堆肥</w:t>
                  </w:r>
                </w:p>
              </w:tc>
              <w:tc>
                <w:tcPr>
                  <w:tcW w:w="1416"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用于场地洒水降尘，厂区植被绿化；井场内设置移动式环保厕所，定期清掏，用于周边农田堆肥</w:t>
                  </w:r>
                </w:p>
              </w:tc>
              <w:tc>
                <w:tcPr>
                  <w:tcW w:w="539"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389" w:type="pct"/>
                  <w:tcBorders>
                    <w:tl2br w:val="nil"/>
                    <w:tr2bl w:val="nil"/>
                  </w:tcBorders>
                  <w:shd w:val="clear" w:color="auto" w:fill="auto"/>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一般岩屑、钻井泥浆</w:t>
                  </w:r>
                  <w:r>
                    <w:rPr>
                      <w:rFonts w:hint="default" w:ascii="Times New Roman" w:hAnsi="Times New Roman" w:eastAsia="宋体" w:cs="Times New Roman"/>
                      <w:color w:val="auto"/>
                      <w:spacing w:val="0"/>
                      <w:sz w:val="21"/>
                      <w:szCs w:val="21"/>
                      <w:highlight w:val="none"/>
                      <w:lang w:val="en-US" w:eastAsia="zh-CN"/>
                    </w:rPr>
                    <w:t>采用“不落地收集+板框压滤”工艺，处理后产生的液相用于配制钻井液，剩余无法循环利用的液相拉运至措施废液处理站集中处理，处理后作为油田注水开发工艺生产用水回注油层；不落地处理振动筛筛选出的颗粒类岩石质固相和板框压滤机处理后产生的固相，处置达标后可集中填埋或制作烧结砖等资源化综合利用</w:t>
                  </w:r>
                </w:p>
              </w:tc>
              <w:tc>
                <w:tcPr>
                  <w:tcW w:w="2342" w:type="dxa"/>
                  <w:tcBorders>
                    <w:tl2br w:val="nil"/>
                    <w:tr2bl w:val="nil"/>
                  </w:tcBorders>
                  <w:noWrap w:val="0"/>
                  <w:vAlign w:val="center"/>
                </w:tcPr>
                <w:p w14:paraId="09829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default"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pacing w:val="0"/>
                      <w:sz w:val="21"/>
                      <w:szCs w:val="21"/>
                      <w:highlight w:val="none"/>
                      <w:lang w:eastAsia="zh-CN"/>
                    </w:rPr>
                    <w:t>经</w:t>
                  </w:r>
                  <w:r>
                    <w:rPr>
                      <w:rFonts w:hint="default" w:ascii="Times New Roman" w:hAnsi="Times New Roman" w:eastAsia="宋体" w:cs="Times New Roman"/>
                      <w:bCs/>
                      <w:color w:val="auto"/>
                      <w:spacing w:val="0"/>
                      <w:sz w:val="21"/>
                      <w:szCs w:val="21"/>
                      <w:highlight w:val="none"/>
                      <w:lang w:val="en-US" w:eastAsia="zh-CN"/>
                    </w:rPr>
                    <w:t>固液分离</w:t>
                  </w:r>
                  <w:r>
                    <w:rPr>
                      <w:rFonts w:hint="default" w:ascii="Times New Roman" w:hAnsi="Times New Roman" w:eastAsia="宋体" w:cs="Times New Roman"/>
                      <w:bCs/>
                      <w:color w:val="auto"/>
                      <w:spacing w:val="0"/>
                      <w:sz w:val="21"/>
                      <w:szCs w:val="21"/>
                      <w:highlight w:val="none"/>
                      <w:lang w:eastAsia="zh-CN"/>
                    </w:rPr>
                    <w:t>后的液相用于配制钻井液，剩余无法循环利用的液相，拉运至</w:t>
                  </w:r>
                  <w:r>
                    <w:rPr>
                      <w:rFonts w:hint="default" w:ascii="Times New Roman" w:hAnsi="Times New Roman" w:eastAsia="宋体" w:cs="Times New Roman"/>
                      <w:bCs/>
                      <w:color w:val="auto"/>
                      <w:spacing w:val="0"/>
                      <w:sz w:val="21"/>
                      <w:szCs w:val="21"/>
                      <w:highlight w:val="none"/>
                      <w:lang w:val="en-US" w:eastAsia="zh-CN"/>
                    </w:rPr>
                    <w:t>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处理达标后回注油层，不外排</w:t>
                  </w:r>
                </w:p>
              </w:tc>
              <w:tc>
                <w:tcPr>
                  <w:tcW w:w="892" w:type="dxa"/>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vMerge w:val="restart"/>
                  <w:tcBorders>
                    <w:tl2br w:val="nil"/>
                    <w:tr2bl w:val="nil"/>
                  </w:tcBorders>
                  <w:noWrap w:val="0"/>
                  <w:vAlign w:val="center"/>
                </w:tcPr>
                <w:p w14:paraId="02D42A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389" w:type="pct"/>
                  <w:tcBorders>
                    <w:tl2br w:val="nil"/>
                    <w:tr2bl w:val="nil"/>
                  </w:tcBorders>
                  <w:shd w:val="clear" w:color="auto" w:fill="auto"/>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含油岩屑统一收集后，交由有资质单位安全处置</w:t>
                  </w:r>
                </w:p>
              </w:tc>
              <w:tc>
                <w:tcPr>
                  <w:tcW w:w="1416" w:type="pct"/>
                  <w:tcBorders>
                    <w:tl2br w:val="nil"/>
                    <w:tr2bl w:val="nil"/>
                  </w:tcBorders>
                  <w:shd w:val="clear" w:color="auto" w:fill="auto"/>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含油岩屑统一收集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539"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95"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vMerge w:val="continue"/>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389" w:type="pct"/>
                  <w:tcBorders>
                    <w:tl2br w:val="nil"/>
                    <w:tr2bl w:val="nil"/>
                  </w:tcBorders>
                  <w:shd w:val="clear" w:color="auto" w:fill="auto"/>
                  <w:noWrap w:val="0"/>
                  <w:vAlign w:val="center"/>
                </w:tcPr>
                <w:p w14:paraId="2BBF13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废弃原材料、包装材料安全合理处置</w:t>
                  </w:r>
                </w:p>
              </w:tc>
              <w:tc>
                <w:tcPr>
                  <w:tcW w:w="1416" w:type="pct"/>
                  <w:tcBorders>
                    <w:tl2br w:val="nil"/>
                    <w:tr2bl w:val="nil"/>
                  </w:tcBorders>
                  <w:shd w:val="clear" w:color="auto" w:fill="auto"/>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未被污染的</w:t>
                  </w:r>
                  <w:r>
                    <w:rPr>
                      <w:rFonts w:hint="default" w:ascii="Times New Roman" w:hAnsi="Times New Roman" w:eastAsia="宋体" w:cs="Times New Roman"/>
                      <w:color w:val="auto"/>
                      <w:spacing w:val="0"/>
                      <w:sz w:val="21"/>
                      <w:szCs w:val="21"/>
                      <w:highlight w:val="none"/>
                      <w:lang w:eastAsia="zh-CN"/>
                    </w:rPr>
                    <w:t>废弃原材料、包装材料收集后</w:t>
                  </w:r>
                  <w:r>
                    <w:rPr>
                      <w:rFonts w:hint="default" w:ascii="Times New Roman" w:hAnsi="Times New Roman" w:eastAsia="宋体" w:cs="Times New Roman"/>
                      <w:color w:val="auto"/>
                      <w:spacing w:val="0"/>
                      <w:sz w:val="21"/>
                      <w:szCs w:val="21"/>
                      <w:highlight w:val="none"/>
                      <w:lang w:val="en-US" w:eastAsia="zh-CN"/>
                    </w:rPr>
                    <w:t>由</w:t>
                  </w:r>
                  <w:r>
                    <w:rPr>
                      <w:rFonts w:hint="eastAsia" w:ascii="Times New Roman" w:hAnsi="Times New Roman" w:eastAsia="宋体" w:cs="Times New Roman"/>
                      <w:color w:val="auto"/>
                      <w:spacing w:val="0"/>
                      <w:sz w:val="21"/>
                      <w:szCs w:val="21"/>
                      <w:highlight w:val="none"/>
                      <w:lang w:val="en-US" w:eastAsia="zh-CN"/>
                    </w:rPr>
                    <w:t>五普40839HB</w:t>
                  </w:r>
                  <w:r>
                    <w:rPr>
                      <w:rFonts w:hint="default" w:ascii="Times New Roman" w:hAnsi="Times New Roman" w:eastAsia="宋体" w:cs="Times New Roman"/>
                      <w:color w:val="auto"/>
                      <w:spacing w:val="0"/>
                      <w:sz w:val="21"/>
                      <w:szCs w:val="21"/>
                      <w:highlight w:val="none"/>
                      <w:lang w:val="en-US" w:eastAsia="zh-CN"/>
                    </w:rPr>
                    <w:t>处置</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被污染的</w:t>
                  </w:r>
                  <w:r>
                    <w:rPr>
                      <w:rFonts w:hint="default" w:ascii="Times New Roman" w:hAnsi="Times New Roman" w:eastAsia="宋体" w:cs="Times New Roman"/>
                      <w:color w:val="auto"/>
                      <w:spacing w:val="0"/>
                      <w:sz w:val="21"/>
                      <w:szCs w:val="21"/>
                      <w:highlight w:val="none"/>
                      <w:lang w:eastAsia="zh-CN"/>
                    </w:rPr>
                    <w:t>废弃原材料、包装材料收集后，交由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539"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95"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389" w:type="pct"/>
                  <w:tcBorders>
                    <w:tl2br w:val="nil"/>
                    <w:tr2bl w:val="nil"/>
                  </w:tcBorders>
                  <w:shd w:val="clear" w:color="auto" w:fill="auto"/>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落地油及时回收，委托有资质单位进行处置</w:t>
                  </w:r>
                </w:p>
              </w:tc>
              <w:tc>
                <w:tcPr>
                  <w:tcW w:w="1416" w:type="pct"/>
                  <w:tcBorders>
                    <w:tl2br w:val="nil"/>
                    <w:tr2bl w:val="nil"/>
                  </w:tcBorders>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落地油收集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539" w:type="pct"/>
                  <w:tcBorders>
                    <w:tl2br w:val="nil"/>
                    <w:tr2bl w:val="nil"/>
                  </w:tcBorders>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95"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DCD0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389" w:type="pct"/>
                  <w:tcBorders>
                    <w:tl2br w:val="nil"/>
                    <w:tr2bl w:val="nil"/>
                  </w:tcBorders>
                  <w:shd w:val="clear" w:color="auto" w:fill="auto"/>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施工场地设置生活垃圾箱（桶），生活垃圾收集后清运至政府部门指定地点统一处置</w:t>
                  </w:r>
                </w:p>
              </w:tc>
              <w:tc>
                <w:tcPr>
                  <w:tcW w:w="1416" w:type="pct"/>
                  <w:tcBorders>
                    <w:tl2br w:val="nil"/>
                    <w:tr2bl w:val="nil"/>
                  </w:tcBorders>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施工场地设置生活垃圾箱（桶）收集后</w:t>
                  </w:r>
                  <w:r>
                    <w:rPr>
                      <w:rFonts w:hint="default" w:ascii="Times New Roman" w:hAnsi="Times New Roman" w:eastAsia="宋体" w:cs="Times New Roman"/>
                      <w:color w:val="auto"/>
                      <w:spacing w:val="0"/>
                      <w:sz w:val="21"/>
                      <w:szCs w:val="21"/>
                      <w:highlight w:val="none"/>
                      <w:lang w:val="en-US" w:eastAsia="zh-CN"/>
                    </w:rPr>
                    <w:t>交由就近的生活垃圾中转站处置</w:t>
                  </w:r>
                </w:p>
              </w:tc>
              <w:tc>
                <w:tcPr>
                  <w:tcW w:w="539" w:type="pct"/>
                  <w:tcBorders>
                    <w:tl2br w:val="nil"/>
                    <w:tr2bl w:val="nil"/>
                  </w:tcBorders>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95"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tcBorders>
                    <w:tl2br w:val="nil"/>
                    <w:tr2bl w:val="nil"/>
                  </w:tcBorders>
                  <w:shd w:val="clear" w:color="auto" w:fill="auto"/>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噪声治理</w:t>
                  </w:r>
                </w:p>
              </w:tc>
              <w:tc>
                <w:tcPr>
                  <w:tcW w:w="1389" w:type="pct"/>
                  <w:tcBorders>
                    <w:tl2br w:val="nil"/>
                    <w:tr2bl w:val="nil"/>
                  </w:tcBorders>
                  <w:shd w:val="clear" w:color="auto" w:fill="auto"/>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选用低噪设备，采取隔声、降噪措施；合理安排施工作业时间；墙体阻隔</w:t>
                  </w:r>
                </w:p>
              </w:tc>
              <w:tc>
                <w:tcPr>
                  <w:tcW w:w="1416" w:type="pct"/>
                  <w:tcBorders>
                    <w:tl2br w:val="nil"/>
                    <w:tr2bl w:val="nil"/>
                  </w:tcBorders>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p>
              </w:tc>
              <w:tc>
                <w:tcPr>
                  <w:tcW w:w="539" w:type="pct"/>
                  <w:tcBorders>
                    <w:tl2br w:val="nil"/>
                    <w:tr2bl w:val="nil"/>
                  </w:tcBorders>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95"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601" w:type="pct"/>
                  <w:tcBorders>
                    <w:tl2br w:val="nil"/>
                    <w:tr2bl w:val="nil"/>
                  </w:tcBorders>
                  <w:shd w:val="clear" w:color="auto" w:fill="auto"/>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绿化</w:t>
                  </w:r>
                </w:p>
              </w:tc>
              <w:tc>
                <w:tcPr>
                  <w:tcW w:w="1389" w:type="pct"/>
                  <w:tcBorders>
                    <w:tl2br w:val="nil"/>
                    <w:tr2bl w:val="nil"/>
                  </w:tcBorders>
                  <w:shd w:val="clear" w:color="auto" w:fill="auto"/>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rPr>
                    <w:t>绿化面积为0.</w:t>
                  </w:r>
                  <w:r>
                    <w:rPr>
                      <w:rFonts w:hint="eastAsia" w:ascii="Times New Roman" w:hAnsi="Times New Roman" w:eastAsia="宋体" w:cs="Times New Roman"/>
                      <w:color w:val="auto"/>
                      <w:spacing w:val="0"/>
                      <w:kern w:val="21"/>
                      <w:sz w:val="21"/>
                      <w:szCs w:val="21"/>
                      <w:highlight w:val="none"/>
                      <w:lang w:val="en-US" w:eastAsia="zh-CN"/>
                    </w:rPr>
                    <w:t>56</w:t>
                  </w:r>
                  <w:r>
                    <w:rPr>
                      <w:rFonts w:hint="default" w:ascii="Times New Roman" w:hAnsi="Times New Roman" w:eastAsia="宋体" w:cs="Times New Roman"/>
                      <w:color w:val="auto"/>
                      <w:spacing w:val="0"/>
                      <w:kern w:val="21"/>
                      <w:sz w:val="21"/>
                      <w:szCs w:val="21"/>
                      <w:highlight w:val="none"/>
                    </w:rPr>
                    <w:t>亩，绿化率5.0%</w:t>
                  </w:r>
                </w:p>
              </w:tc>
              <w:tc>
                <w:tcPr>
                  <w:tcW w:w="1416" w:type="pct"/>
                  <w:tcBorders>
                    <w:tl2br w:val="nil"/>
                    <w:tr2bl w:val="nil"/>
                  </w:tcBorders>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0000FF"/>
                      <w:spacing w:val="0"/>
                      <w:sz w:val="21"/>
                      <w:szCs w:val="21"/>
                      <w:highlight w:val="none"/>
                      <w:lang w:val="en-US" w:eastAsia="zh-CN"/>
                    </w:rPr>
                    <w:t>已平整场地，绿化面积约为300m</w:t>
                  </w:r>
                  <w:r>
                    <w:rPr>
                      <w:rFonts w:hint="default" w:ascii="Times New Roman" w:hAnsi="Times New Roman" w:eastAsia="宋体" w:cs="Times New Roman"/>
                      <w:color w:val="0000FF"/>
                      <w:spacing w:val="0"/>
                      <w:sz w:val="21"/>
                      <w:szCs w:val="21"/>
                      <w:highlight w:val="none"/>
                      <w:vertAlign w:val="superscript"/>
                      <w:lang w:val="en-US" w:eastAsia="zh-CN"/>
                    </w:rPr>
                    <w:t>2</w:t>
                  </w:r>
                  <w:r>
                    <w:rPr>
                      <w:rFonts w:hint="default" w:ascii="Times New Roman" w:hAnsi="Times New Roman" w:eastAsia="宋体" w:cs="Times New Roman"/>
                      <w:color w:val="0000FF"/>
                      <w:spacing w:val="0"/>
                      <w:sz w:val="21"/>
                      <w:szCs w:val="21"/>
                      <w:highlight w:val="none"/>
                      <w:lang w:val="en-US" w:eastAsia="zh-CN"/>
                    </w:rPr>
                    <w:t>，绿化率为5%</w:t>
                  </w:r>
                </w:p>
              </w:tc>
              <w:tc>
                <w:tcPr>
                  <w:tcW w:w="539" w:type="pct"/>
                  <w:tcBorders>
                    <w:tl2br w:val="nil"/>
                    <w:tr2bl w:val="nil"/>
                  </w:tcBorders>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95"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859" w:type="pct"/>
                  <w:gridSpan w:val="2"/>
                  <w:tcBorders>
                    <w:tl2br w:val="nil"/>
                    <w:tr2bl w:val="nil"/>
                  </w:tcBorders>
                  <w:noWrap w:val="0"/>
                  <w:vAlign w:val="center"/>
                </w:tcPr>
                <w:p w14:paraId="17AA4523">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lang w:eastAsia="zh-CN"/>
                    </w:rPr>
                    <w:t>风险管理措施</w:t>
                  </w:r>
                </w:p>
              </w:tc>
              <w:tc>
                <w:tcPr>
                  <w:tcW w:w="1389" w:type="pct"/>
                  <w:tcBorders>
                    <w:tl2br w:val="nil"/>
                    <w:tr2bl w:val="nil"/>
                  </w:tcBorders>
                  <w:noWrap w:val="0"/>
                  <w:vAlign w:val="center"/>
                </w:tcPr>
                <w:p w14:paraId="20F37A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井场周围设置不低于20cm高围堰；井场钻井设备摆放处、循环水利用设施、泥浆不落地处理设施、围堰等采取防渗漏措施；井场内的雨水池采取一般防渗措施，应急池采取重点防渗措施</w:t>
                  </w:r>
                </w:p>
              </w:tc>
              <w:tc>
                <w:tcPr>
                  <w:tcW w:w="1416"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eastAsia="宋体" w:cs="Times New Roman"/>
                      <w:color w:val="auto"/>
                      <w:spacing w:val="0"/>
                      <w:sz w:val="21"/>
                      <w:szCs w:val="21"/>
                      <w:highlight w:val="none"/>
                      <w:lang w:val="en-US" w:eastAsia="zh-CN"/>
                    </w:rPr>
                    <w:t>；井场钻井设备摆放处、循环水利用设施、泥浆不落地处理设施、围堰等采取防渗漏措施；井场内的雨水池采取一般防渗措施，应急池采取重点防渗措施，临时措施现已拆除</w:t>
                  </w:r>
                </w:p>
              </w:tc>
              <w:tc>
                <w:tcPr>
                  <w:tcW w:w="539"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95"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859" w:type="pct"/>
                  <w:gridSpan w:val="2"/>
                  <w:tcBorders>
                    <w:tl2br w:val="nil"/>
                    <w:tr2bl w:val="nil"/>
                  </w:tcBorders>
                  <w:noWrap w:val="0"/>
                  <w:vAlign w:val="center"/>
                </w:tcPr>
                <w:p w14:paraId="6694460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依托</w:t>
                  </w:r>
                  <w:r>
                    <w:rPr>
                      <w:rFonts w:hint="default" w:ascii="Times New Roman" w:hAnsi="Times New Roman" w:eastAsia="宋体" w:cs="Times New Roman"/>
                      <w:color w:val="auto"/>
                      <w:spacing w:val="0"/>
                      <w:kern w:val="21"/>
                      <w:sz w:val="21"/>
                      <w:szCs w:val="21"/>
                      <w:highlight w:val="none"/>
                    </w:rPr>
                    <w:t>工程</w:t>
                  </w:r>
                </w:p>
              </w:tc>
              <w:tc>
                <w:tcPr>
                  <w:tcW w:w="1389" w:type="pct"/>
                  <w:tcBorders>
                    <w:tl2br w:val="nil"/>
                    <w:tr2bl w:val="nil"/>
                  </w:tcBorders>
                  <w:noWrap w:val="0"/>
                  <w:vAlign w:val="center"/>
                </w:tcPr>
                <w:p w14:paraId="57ED7922">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0"/>
                      <w:kern w:val="21"/>
                      <w:sz w:val="21"/>
                      <w:szCs w:val="21"/>
                      <w:highlight w:val="none"/>
                    </w:rPr>
                    <w:t>废水处理设施</w:t>
                  </w:r>
                  <w:r>
                    <w:rPr>
                      <w:rFonts w:hint="default" w:ascii="Times New Roman" w:hAnsi="Times New Roman" w:eastAsia="宋体" w:cs="Times New Roman"/>
                      <w:color w:val="auto"/>
                      <w:spacing w:val="0"/>
                      <w:kern w:val="21"/>
                      <w:sz w:val="21"/>
                      <w:szCs w:val="21"/>
                      <w:highlight w:val="none"/>
                      <w:lang w:eastAsia="zh-CN"/>
                    </w:rPr>
                    <w:t>：试油废水、措施返排液使用罐车拉运至附近泾河8撬装式水净化站，处理后回注采油层</w:t>
                  </w:r>
                </w:p>
              </w:tc>
              <w:tc>
                <w:tcPr>
                  <w:tcW w:w="1416"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试油废水、措施返排液使用罐车拉运至附近泾河8撬装式水净化站，处理后回注采油层，</w:t>
                  </w:r>
                  <w:r>
                    <w:rPr>
                      <w:rFonts w:hint="default" w:ascii="Times New Roman" w:hAnsi="Times New Roman" w:eastAsia="宋体" w:cs="Times New Roman"/>
                      <w:color w:val="auto"/>
                      <w:spacing w:val="0"/>
                      <w:kern w:val="21"/>
                      <w:sz w:val="21"/>
                      <w:szCs w:val="21"/>
                      <w:highlight w:val="none"/>
                      <w:lang w:val="en-US" w:eastAsia="zh-CN"/>
                    </w:rPr>
                    <w:t>未外排</w:t>
                  </w:r>
                </w:p>
              </w:tc>
              <w:tc>
                <w:tcPr>
                  <w:tcW w:w="892" w:type="dxa"/>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1315" w:type="dxa"/>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依托的处理站能够处理本项目产生的废水，且尚有余量，依托可行</w:t>
                  </w:r>
                </w:p>
              </w:tc>
            </w:tr>
          </w:tbl>
          <w:p w14:paraId="6FE51D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1A54E050">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p w14:paraId="7E2CA3D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lang w:val="en-US" w:eastAsia="zh-CN"/>
              </w:rPr>
            </w:pPr>
          </w:p>
          <w:p w14:paraId="0F1A84A3">
            <w:pPr>
              <w:pStyle w:val="5"/>
              <w:widowControl w:val="0"/>
              <w:suppressLineNumbers w:val="0"/>
              <w:spacing w:before="0"/>
              <w:ind w:left="0" w:right="0"/>
              <w:jc w:val="both"/>
              <w:rPr>
                <w:rFonts w:hint="default" w:ascii="Times New Roman" w:hAnsi="Times New Roman" w:eastAsia="宋体" w:cs="Times New Roman"/>
                <w:color w:val="auto"/>
                <w:lang w:val="en-US" w:eastAsia="zh-CN"/>
              </w:rPr>
            </w:pPr>
          </w:p>
          <w:p w14:paraId="33878F6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lang w:val="en-US" w:eastAsia="zh-CN"/>
              </w:rPr>
            </w:pPr>
          </w:p>
          <w:p w14:paraId="09368EB9">
            <w:pPr>
              <w:pStyle w:val="5"/>
              <w:widowControl w:val="0"/>
              <w:suppressLineNumbers w:val="0"/>
              <w:spacing w:before="0"/>
              <w:ind w:left="0" w:right="0"/>
              <w:jc w:val="both"/>
              <w:rPr>
                <w:rFonts w:hint="default" w:ascii="Times New Roman" w:hAnsi="Times New Roman" w:eastAsia="宋体" w:cs="Times New Roman"/>
                <w:color w:val="auto"/>
                <w:lang w:val="en-US" w:eastAsia="zh-CN"/>
              </w:rPr>
            </w:pPr>
          </w:p>
          <w:p w14:paraId="56B5A16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lang w:val="en-US" w:eastAsia="zh-CN"/>
              </w:rPr>
            </w:pP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0400A40C">
      <w:pPr>
        <w:numPr>
          <w:ilvl w:val="0"/>
          <w:numId w:val="0"/>
        </w:numPr>
        <w:rPr>
          <w:rFonts w:hint="default" w:ascii="Times New Roman" w:hAnsi="Times New Roman" w:cs="Times New Roman"/>
          <w:color w:val="auto"/>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表4-3    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933"/>
        <w:gridCol w:w="2220"/>
        <w:gridCol w:w="2436"/>
        <w:gridCol w:w="4022"/>
        <w:gridCol w:w="2351"/>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88"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762"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审查意见中的要求</w:t>
            </w:r>
          </w:p>
        </w:tc>
        <w:tc>
          <w:tcPr>
            <w:tcW w:w="836"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1381"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807"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变化情况/履行情况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是否重大变动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井场工程</w:t>
            </w:r>
          </w:p>
        </w:tc>
        <w:tc>
          <w:tcPr>
            <w:tcW w:w="591"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762"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36"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381"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07"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762"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836"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1381"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直井</w:t>
            </w:r>
          </w:p>
        </w:tc>
        <w:tc>
          <w:tcPr>
            <w:tcW w:w="807"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投资</w:t>
            </w:r>
          </w:p>
        </w:tc>
        <w:tc>
          <w:tcPr>
            <w:tcW w:w="762"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bookmarkStart w:id="5" w:name="OLE_LINK1"/>
            <w:r>
              <w:rPr>
                <w:rFonts w:hint="default" w:ascii="Times New Roman" w:hAnsi="Times New Roman" w:eastAsia="宋体" w:cs="Times New Roman"/>
                <w:color w:val="auto"/>
                <w:sz w:val="21"/>
                <w:szCs w:val="21"/>
                <w:highlight w:val="none"/>
                <w:lang w:val="en-US" w:eastAsia="zh-CN"/>
              </w:rPr>
              <w:t>项目总投资</w:t>
            </w:r>
            <w:r>
              <w:rPr>
                <w:rFonts w:hint="eastAsia" w:ascii="Times New Roman" w:hAnsi="Times New Roman" w:eastAsia="宋体" w:cs="Times New Roman"/>
                <w:color w:val="auto"/>
                <w:sz w:val="21"/>
                <w:szCs w:val="21"/>
                <w:highlight w:val="none"/>
                <w:lang w:val="en-US" w:eastAsia="zh-CN"/>
              </w:rPr>
              <w:t>800万元</w:t>
            </w:r>
            <w:r>
              <w:rPr>
                <w:rFonts w:hint="default" w:ascii="Times New Roman" w:hAnsi="Times New Roman" w:eastAsia="宋体" w:cs="Times New Roman"/>
                <w:color w:val="auto"/>
                <w:sz w:val="21"/>
                <w:szCs w:val="21"/>
                <w:highlight w:val="none"/>
                <w:lang w:val="en-US" w:eastAsia="zh-CN"/>
              </w:rPr>
              <w:t>，其中环保投资约86.5万元，约占总投资的</w:t>
            </w:r>
            <w:bookmarkEnd w:id="5"/>
            <w:r>
              <w:rPr>
                <w:rFonts w:hint="eastAsia" w:ascii="Times New Roman" w:hAnsi="Times New Roman" w:eastAsia="宋体" w:cs="Times New Roman"/>
                <w:color w:val="auto"/>
                <w:sz w:val="21"/>
                <w:szCs w:val="21"/>
                <w:highlight w:val="none"/>
                <w:lang w:val="en-US" w:eastAsia="zh-CN"/>
              </w:rPr>
              <w:t>10.81%</w:t>
            </w:r>
          </w:p>
        </w:tc>
        <w:tc>
          <w:tcPr>
            <w:tcW w:w="836"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项目总投资</w:t>
            </w:r>
            <w:r>
              <w:rPr>
                <w:rFonts w:hint="eastAsia" w:ascii="Times New Roman" w:hAnsi="Times New Roman" w:eastAsia="宋体" w:cs="Times New Roman"/>
                <w:color w:val="auto"/>
                <w:sz w:val="21"/>
                <w:szCs w:val="21"/>
                <w:highlight w:val="none"/>
                <w:lang w:val="en-US" w:eastAsia="zh-CN"/>
              </w:rPr>
              <w:t>800万元</w:t>
            </w:r>
            <w:r>
              <w:rPr>
                <w:rFonts w:hint="default" w:ascii="Times New Roman" w:hAnsi="Times New Roman" w:eastAsia="宋体" w:cs="Times New Roman"/>
                <w:color w:val="auto"/>
                <w:sz w:val="21"/>
                <w:szCs w:val="21"/>
                <w:highlight w:val="none"/>
                <w:lang w:val="en-US" w:eastAsia="zh-CN"/>
              </w:rPr>
              <w:t>，其中环保投资约86.5万元，约占总投资的</w:t>
            </w:r>
            <w:r>
              <w:rPr>
                <w:rFonts w:hint="eastAsia" w:ascii="Times New Roman" w:hAnsi="Times New Roman" w:eastAsia="宋体" w:cs="Times New Roman"/>
                <w:color w:val="auto"/>
                <w:sz w:val="21"/>
                <w:szCs w:val="21"/>
                <w:highlight w:val="none"/>
                <w:lang w:val="en-US" w:eastAsia="zh-CN"/>
              </w:rPr>
              <w:t>10.81%</w:t>
            </w:r>
          </w:p>
        </w:tc>
        <w:tc>
          <w:tcPr>
            <w:tcW w:w="1381"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项目总投资</w:t>
            </w:r>
            <w:r>
              <w:rPr>
                <w:rFonts w:hint="eastAsia" w:ascii="Times New Roman" w:hAnsi="Times New Roman" w:eastAsia="宋体" w:cs="Times New Roman"/>
                <w:color w:val="auto"/>
                <w:sz w:val="21"/>
                <w:szCs w:val="21"/>
                <w:highlight w:val="none"/>
                <w:lang w:val="en-US" w:eastAsia="zh-CN"/>
              </w:rPr>
              <w:t>800</w:t>
            </w:r>
            <w:r>
              <w:rPr>
                <w:rFonts w:hint="default" w:ascii="Times New Roman" w:hAnsi="Times New Roman" w:eastAsia="宋体" w:cs="Times New Roman"/>
                <w:color w:val="auto"/>
                <w:sz w:val="21"/>
                <w:szCs w:val="21"/>
                <w:highlight w:val="none"/>
                <w:lang w:val="en-US" w:eastAsia="zh-CN"/>
              </w:rPr>
              <w:t>万元，其中环保投资约97.3万元，约占总投资的</w:t>
            </w:r>
            <w:r>
              <w:rPr>
                <w:rFonts w:hint="eastAsia" w:ascii="Times New Roman" w:hAnsi="Times New Roman" w:eastAsia="宋体" w:cs="Times New Roman"/>
                <w:color w:val="auto"/>
                <w:sz w:val="21"/>
                <w:szCs w:val="21"/>
                <w:highlight w:val="none"/>
                <w:lang w:val="en-US" w:eastAsia="zh-CN"/>
              </w:rPr>
              <w:t>12.16%</w:t>
            </w:r>
          </w:p>
        </w:tc>
        <w:tc>
          <w:tcPr>
            <w:tcW w:w="807"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因工期较短，未产生废机油、废润滑油；未产生建筑垃圾，费用降低。</w:t>
            </w:r>
            <w:r>
              <w:rPr>
                <w:rFonts w:hint="default" w:ascii="Times New Roman" w:hAnsi="Times New Roman" w:eastAsia="宋体" w:cs="Times New Roman"/>
                <w:color w:val="auto"/>
                <w:sz w:val="21"/>
                <w:szCs w:val="21"/>
                <w:highlight w:val="none"/>
                <w:lang w:val="en-US" w:eastAsia="zh-CN"/>
              </w:rPr>
              <w:t>本项目井深变浅，</w:t>
            </w:r>
            <w:r>
              <w:rPr>
                <w:rFonts w:hint="default" w:ascii="Times New Roman" w:hAnsi="Times New Roman" w:eastAsia="宋体" w:cs="Times New Roman"/>
                <w:b w:val="0"/>
                <w:bCs w:val="0"/>
                <w:color w:val="auto"/>
                <w:sz w:val="21"/>
                <w:szCs w:val="21"/>
                <w:lang w:val="en-US" w:eastAsia="zh-CN"/>
              </w:rPr>
              <w:t>环评预估值较小，</w:t>
            </w:r>
            <w:r>
              <w:rPr>
                <w:rFonts w:hint="default" w:ascii="Times New Roman" w:hAnsi="Times New Roman" w:eastAsia="宋体" w:cs="Times New Roman"/>
                <w:color w:val="auto"/>
                <w:sz w:val="21"/>
                <w:szCs w:val="21"/>
                <w:highlight w:val="none"/>
                <w:lang w:val="en-US" w:eastAsia="zh-CN"/>
              </w:rPr>
              <w:t>施工废水、钻井泥浆、岩屑等污染物</w:t>
            </w:r>
            <w:r>
              <w:rPr>
                <w:rFonts w:hint="default" w:ascii="Times New Roman" w:hAnsi="Times New Roman" w:eastAsia="宋体" w:cs="Times New Roman"/>
                <w:b w:val="0"/>
                <w:bCs w:val="0"/>
                <w:color w:val="auto"/>
                <w:sz w:val="21"/>
                <w:szCs w:val="21"/>
                <w:lang w:val="en-US" w:eastAsia="zh-CN"/>
              </w:rPr>
              <w:t>实际产生量</w:t>
            </w:r>
            <w:r>
              <w:rPr>
                <w:rFonts w:hint="default"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sz w:val="21"/>
                <w:szCs w:val="21"/>
                <w:highlight w:val="none"/>
                <w:lang w:val="en-US" w:eastAsia="zh-CN"/>
              </w:rPr>
              <w:t>综上，总投资未变化，实际环保投资增加</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产能总规模、新钻井总数量增加30%及以上</w:t>
            </w:r>
          </w:p>
        </w:tc>
        <w:tc>
          <w:tcPr>
            <w:tcW w:w="591"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建设规模</w:t>
            </w:r>
          </w:p>
        </w:tc>
        <w:tc>
          <w:tcPr>
            <w:tcW w:w="762"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836" w:type="pct"/>
            <w:tcBorders>
              <w:tl2br w:val="nil"/>
              <w:tr2bl w:val="nil"/>
            </w:tcBorders>
            <w:noWrap w:val="0"/>
            <w:vAlign w:val="center"/>
          </w:tcPr>
          <w:p w14:paraId="5BB44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井深：2200m</w:t>
            </w:r>
          </w:p>
        </w:tc>
        <w:tc>
          <w:tcPr>
            <w:tcW w:w="1381" w:type="pct"/>
            <w:tcBorders>
              <w:tl2br w:val="nil"/>
              <w:tr2bl w:val="nil"/>
            </w:tcBorders>
            <w:noWrap w:val="0"/>
            <w:vAlign w:val="center"/>
          </w:tcPr>
          <w:p w14:paraId="0EBA01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井深：2104m</w:t>
            </w:r>
          </w:p>
        </w:tc>
        <w:tc>
          <w:tcPr>
            <w:tcW w:w="807" w:type="pct"/>
            <w:tcBorders>
              <w:tl2br w:val="nil"/>
              <w:tr2bl w:val="nil"/>
            </w:tcBorders>
            <w:noWrap w:val="0"/>
            <w:vAlign w:val="center"/>
          </w:tcPr>
          <w:p w14:paraId="59F17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变深</w:t>
            </w:r>
            <w:r>
              <w:rPr>
                <w:rFonts w:hint="eastAsia" w:ascii="Times New Roman" w:hAnsi="Times New Roman" w:eastAsia="宋体" w:cs="Times New Roman"/>
                <w:color w:val="auto"/>
                <w:spacing w:val="0"/>
                <w:w w:val="100"/>
                <w:sz w:val="21"/>
                <w:szCs w:val="21"/>
                <w:highlight w:val="none"/>
                <w:lang w:val="en-US" w:eastAsia="zh-CN"/>
              </w:rPr>
              <w:t>96</w:t>
            </w:r>
            <w:r>
              <w:rPr>
                <w:rFonts w:hint="default" w:ascii="Times New Roman" w:hAnsi="Times New Roman" w:eastAsia="宋体" w:cs="Times New Roman"/>
                <w:color w:val="auto"/>
                <w:spacing w:val="0"/>
                <w:w w:val="100"/>
                <w:sz w:val="21"/>
                <w:szCs w:val="21"/>
                <w:highlight w:val="none"/>
                <w:lang w:val="en-US" w:eastAsia="zh-CN"/>
              </w:rPr>
              <w:t>m，变化率为</w:t>
            </w:r>
            <w:r>
              <w:rPr>
                <w:rFonts w:hint="eastAsia" w:ascii="Times New Roman" w:hAnsi="Times New Roman" w:eastAsia="宋体" w:cs="Times New Roman"/>
                <w:color w:val="auto"/>
                <w:spacing w:val="0"/>
                <w:w w:val="100"/>
                <w:sz w:val="21"/>
                <w:szCs w:val="21"/>
                <w:highlight w:val="none"/>
                <w:lang w:val="en-US" w:eastAsia="zh-CN"/>
              </w:rPr>
              <w:t>4.36</w:t>
            </w:r>
            <w:r>
              <w:rPr>
                <w:rFonts w:hint="default" w:ascii="Times New Roman" w:hAnsi="Times New Roman" w:eastAsia="宋体" w:cs="Times New Roman"/>
                <w:color w:val="auto"/>
                <w:spacing w:val="0"/>
                <w:w w:val="100"/>
                <w:sz w:val="21"/>
                <w:szCs w:val="21"/>
                <w:highlight w:val="none"/>
                <w:lang w:val="en-US" w:eastAsia="zh-CN"/>
              </w:rPr>
              <w:t>%，未超过30%</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412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shd w:val="clear" w:color="auto" w:fill="auto"/>
            <w:noWrap w:val="0"/>
            <w:vAlign w:val="center"/>
          </w:tcPr>
          <w:p w14:paraId="3B374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762" w:type="pct"/>
            <w:tcBorders>
              <w:tl2br w:val="nil"/>
              <w:tr2bl w:val="nil"/>
            </w:tcBorders>
            <w:shd w:val="clear" w:color="auto" w:fill="auto"/>
            <w:noWrap w:val="0"/>
            <w:vAlign w:val="center"/>
          </w:tcPr>
          <w:p w14:paraId="5506C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w:t>
            </w:r>
          </w:p>
        </w:tc>
        <w:tc>
          <w:tcPr>
            <w:tcW w:w="836" w:type="pct"/>
            <w:tcBorders>
              <w:tl2br w:val="nil"/>
              <w:tr2bl w:val="nil"/>
            </w:tcBorders>
            <w:shd w:val="clear" w:color="auto" w:fill="auto"/>
            <w:noWrap w:val="0"/>
            <w:vAlign w:val="center"/>
          </w:tcPr>
          <w:p w14:paraId="2AC326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井深：2200m</w:t>
            </w:r>
          </w:p>
        </w:tc>
        <w:tc>
          <w:tcPr>
            <w:tcW w:w="1381" w:type="pct"/>
            <w:tcBorders>
              <w:tl2br w:val="nil"/>
              <w:tr2bl w:val="nil"/>
            </w:tcBorders>
            <w:shd w:val="clear" w:color="auto" w:fill="auto"/>
            <w:noWrap w:val="0"/>
            <w:vAlign w:val="center"/>
          </w:tcPr>
          <w:p w14:paraId="5147F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未新增生产装置外的其他装置，井深：2104m</w:t>
            </w:r>
          </w:p>
        </w:tc>
        <w:tc>
          <w:tcPr>
            <w:tcW w:w="807" w:type="pct"/>
            <w:tcBorders>
              <w:tl2br w:val="nil"/>
              <w:tr2bl w:val="nil"/>
            </w:tcBorders>
            <w:shd w:val="clear" w:color="auto" w:fill="auto"/>
            <w:noWrap w:val="0"/>
            <w:vAlign w:val="center"/>
          </w:tcPr>
          <w:p w14:paraId="5BAE8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未新增生产装置外的其他装置，井深</w:t>
            </w:r>
            <w:r>
              <w:rPr>
                <w:rFonts w:hint="eastAsia" w:ascii="Times New Roman" w:hAnsi="Times New Roman" w:eastAsia="宋体" w:cs="Times New Roman"/>
                <w:color w:val="auto"/>
                <w:spacing w:val="0"/>
                <w:w w:val="100"/>
                <w:sz w:val="21"/>
                <w:szCs w:val="21"/>
                <w:highlight w:val="none"/>
                <w:lang w:val="en-US" w:eastAsia="zh-CN"/>
              </w:rPr>
              <w:t>变浅4.36</w:t>
            </w:r>
            <w:r>
              <w:rPr>
                <w:rFonts w:hint="default" w:ascii="Times New Roman" w:hAnsi="Times New Roman" w:eastAsia="宋体" w:cs="Times New Roman"/>
                <w:color w:val="auto"/>
                <w:spacing w:val="0"/>
                <w:w w:val="100"/>
                <w:sz w:val="21"/>
                <w:szCs w:val="21"/>
                <w:highlight w:val="none"/>
                <w:lang w:val="en-US" w:eastAsia="zh-CN"/>
              </w:rPr>
              <w:t>%，导致相关污染物增加，但是均得到有效处置</w:t>
            </w:r>
          </w:p>
        </w:tc>
        <w:tc>
          <w:tcPr>
            <w:tcW w:w="223" w:type="pct"/>
            <w:tcBorders>
              <w:tl2br w:val="nil"/>
              <w:tr2bl w:val="nil"/>
            </w:tcBorders>
            <w:shd w:val="clear" w:color="auto" w:fill="auto"/>
            <w:noWrap w:val="0"/>
            <w:vAlign w:val="center"/>
          </w:tcPr>
          <w:p w14:paraId="0947E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762" w:type="pct"/>
            <w:tcBorders>
              <w:tl2br w:val="nil"/>
              <w:tr2bl w:val="nil"/>
            </w:tcBorders>
            <w:noWrap w:val="0"/>
            <w:vAlign w:val="center"/>
          </w:tcPr>
          <w:p w14:paraId="6DF2A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836"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1381"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不涉及</w:t>
            </w:r>
          </w:p>
        </w:tc>
        <w:tc>
          <w:tcPr>
            <w:tcW w:w="807"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91"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762"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该建设项目位于宁县太昌镇，井场坐标为X:3916498，Y:36481291</w:t>
            </w:r>
          </w:p>
        </w:tc>
        <w:tc>
          <w:tcPr>
            <w:tcW w:w="836" w:type="pct"/>
            <w:tcBorders>
              <w:tl2br w:val="nil"/>
              <w:tr2bl w:val="nil"/>
            </w:tcBorders>
            <w:shd w:val="clear" w:color="auto" w:fill="auto"/>
            <w:noWrap w:val="0"/>
            <w:vAlign w:val="center"/>
          </w:tcPr>
          <w:p w14:paraId="7FC08C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宁县太昌镇肖家村</w:t>
            </w:r>
          </w:p>
          <w:p w14:paraId="6BC076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中心点坐标：E108°16′56.778″，N35°25′22.123″</w:t>
            </w:r>
          </w:p>
        </w:tc>
        <w:tc>
          <w:tcPr>
            <w:tcW w:w="1381" w:type="pct"/>
            <w:tcBorders>
              <w:tl2br w:val="nil"/>
              <w:tr2bl w:val="nil"/>
            </w:tcBorders>
            <w:shd w:val="clear" w:color="auto" w:fill="auto"/>
            <w:noWrap w:val="0"/>
            <w:vAlign w:val="center"/>
          </w:tcPr>
          <w:p w14:paraId="144D9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宁县太昌镇肖家村</w:t>
            </w:r>
          </w:p>
          <w:p w14:paraId="718EB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中心点坐标：E108°16′56.778″，N35°25′22.123″</w:t>
            </w:r>
          </w:p>
        </w:tc>
        <w:tc>
          <w:tcPr>
            <w:tcW w:w="807"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88"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762"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836"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1381"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w:t>
            </w:r>
          </w:p>
        </w:tc>
        <w:tc>
          <w:tcPr>
            <w:tcW w:w="807"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生产工艺</w:t>
            </w:r>
          </w:p>
        </w:tc>
        <w:tc>
          <w:tcPr>
            <w:tcW w:w="762"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w:t>
            </w:r>
          </w:p>
        </w:tc>
        <w:tc>
          <w:tcPr>
            <w:tcW w:w="836"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钻前工程(建设内容主要为井场的平整、修建设备基础、降排水(污)措施、泥浆罐等)、钻井工程(建设内容主要为钻井、测井、录井、固井等)及完井测试(主要包括完井作业、洗井、射孔、压裂、试油等)</w:t>
            </w:r>
          </w:p>
        </w:tc>
        <w:tc>
          <w:tcPr>
            <w:tcW w:w="1381"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钻前工程(建设内容主要为井场的平整、修建设备基础、降排水(污)措施、泥浆罐等)、钻井工程(建设内容主要为钻井、测井、录井、固井等)及完井测试(主要包括完井作业、洗井、射孔、压裂、试油等)</w:t>
            </w:r>
          </w:p>
        </w:tc>
        <w:tc>
          <w:tcPr>
            <w:tcW w:w="807"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未变：完井后经试油，井场具有开采价值，已采取临时关井措施</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320" w:type="pct"/>
            <w:tcBorders>
              <w:tl2br w:val="nil"/>
              <w:tr2bl w:val="nil"/>
            </w:tcBorders>
            <w:shd w:val="clear" w:color="auto" w:fill="auto"/>
            <w:noWrap w:val="0"/>
            <w:vAlign w:val="center"/>
          </w:tcPr>
          <w:p w14:paraId="75ABC3BD">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施工扬尘</w:t>
            </w:r>
          </w:p>
        </w:tc>
        <w:tc>
          <w:tcPr>
            <w:tcW w:w="762" w:type="pct"/>
            <w:vMerge w:val="restart"/>
            <w:tcBorders>
              <w:tl2br w:val="nil"/>
              <w:tr2bl w:val="nil"/>
            </w:tcBorders>
            <w:noWrap w:val="0"/>
            <w:vAlign w:val="center"/>
          </w:tcPr>
          <w:p w14:paraId="55A643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钻前阶段应制定合理的施工方案和进出场路线，严格控制作业范围，尽量减少工程占地和对地表扰动，在敏感目标一侧建设减震沟。施工道路、井场及管线的土方开挖应当避开大风天气，对作业面要适当洒水降尘，弃土、弃渣要做到妥善处置，做好井场建设中受影响居民的补偿等工作。</w:t>
            </w:r>
          </w:p>
        </w:tc>
        <w:tc>
          <w:tcPr>
            <w:tcW w:w="836"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auto"/>
                <w:sz w:val="21"/>
                <w:szCs w:val="21"/>
                <w:highlight w:val="none"/>
                <w:lang w:val="en-US" w:eastAsia="zh-CN"/>
              </w:rPr>
              <w:t>施工现场设置</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0cm高</w:t>
            </w:r>
            <w:r>
              <w:rPr>
                <w:rFonts w:hint="eastAsia" w:ascii="Times New Roman" w:hAnsi="Times New Roman" w:eastAsia="宋体" w:cs="Times New Roman"/>
                <w:color w:val="auto"/>
                <w:sz w:val="21"/>
                <w:szCs w:val="21"/>
                <w:highlight w:val="none"/>
                <w:lang w:val="en-US" w:eastAsia="zh-CN"/>
              </w:rPr>
              <w:t>围堰</w:t>
            </w:r>
            <w:r>
              <w:rPr>
                <w:rFonts w:hint="default" w:ascii="Times New Roman" w:hAnsi="Times New Roman" w:eastAsia="宋体" w:cs="Times New Roman"/>
                <w:color w:val="auto"/>
                <w:sz w:val="21"/>
                <w:szCs w:val="21"/>
                <w:highlight w:val="none"/>
                <w:lang w:val="en-US" w:eastAsia="zh-CN"/>
              </w:rPr>
              <w:t>，进场道路铺设砂石、洒水抑尘，且材料运输采取篷布遮盖及并设置了围栏以防散落</w:t>
            </w:r>
          </w:p>
        </w:tc>
        <w:tc>
          <w:tcPr>
            <w:tcW w:w="1381" w:type="pct"/>
            <w:tcBorders>
              <w:tl2br w:val="nil"/>
              <w:tr2bl w:val="nil"/>
            </w:tcBorders>
            <w:noWrap w:val="0"/>
            <w:vAlign w:val="center"/>
          </w:tcPr>
          <w:p w14:paraId="34F93F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（1）开挖土方过程避开了大风天气，</w:t>
            </w:r>
            <w:r>
              <w:rPr>
                <w:rFonts w:hint="default" w:ascii="Times New Roman" w:hAnsi="Times New Roman" w:eastAsia="宋体" w:cs="Times New Roman"/>
                <w:color w:val="0000FF"/>
                <w:sz w:val="21"/>
                <w:szCs w:val="21"/>
                <w:highlight w:val="none"/>
                <w:lang w:val="en-US" w:eastAsia="zh-CN"/>
              </w:rPr>
              <w:t>井场四周20cm高的土围堰；80cm高砖混围墙，作为临时设施，现已拆除，</w:t>
            </w:r>
            <w:r>
              <w:rPr>
                <w:rFonts w:hint="default" w:ascii="Times New Roman" w:hAnsi="Times New Roman" w:eastAsia="宋体" w:cs="Times New Roman"/>
                <w:color w:val="auto"/>
                <w:sz w:val="21"/>
                <w:szCs w:val="21"/>
                <w:highlight w:val="none"/>
                <w:lang w:val="en-US" w:eastAsia="zh-CN"/>
              </w:rPr>
              <w:t>进场道路铺设砂石、洒水抑尘，且材料运输采取篷布遮盖及并设置了围栏以防散落</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弃土、弃渣及</w:t>
            </w:r>
            <w:r>
              <w:rPr>
                <w:rFonts w:hint="default" w:ascii="Times New Roman" w:hAnsi="Times New Roman" w:eastAsia="宋体" w:cs="Times New Roman"/>
                <w:color w:val="auto"/>
                <w:spacing w:val="0"/>
                <w:sz w:val="21"/>
                <w:szCs w:val="21"/>
                <w:highlight w:val="none"/>
              </w:rPr>
              <w:t>抛撒料、渣</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挖方用篷布遮盖，减少扬尘产生量。</w:t>
            </w:r>
          </w:p>
          <w:p w14:paraId="738AAF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运输车辆加盖篷布，对施工道路、井场进行适量洒水，以降低扬尘。 </w:t>
            </w:r>
          </w:p>
          <w:p w14:paraId="09772D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采用了燃烧效率高的柴油机以及含硫量低的柴油，减少了污染物排放； </w:t>
            </w:r>
          </w:p>
          <w:p w14:paraId="7D26065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少量试油伴生气逸散；本项目试油过程中无井喷事故发生。</w:t>
            </w:r>
          </w:p>
          <w:p w14:paraId="0E217C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（2）</w:t>
            </w:r>
            <w:r>
              <w:rPr>
                <w:rFonts w:hint="default" w:ascii="Times New Roman" w:hAnsi="Times New Roman" w:eastAsia="宋体" w:cs="Times New Roman"/>
                <w:color w:val="0000FF"/>
                <w:sz w:val="21"/>
                <w:szCs w:val="21"/>
                <w:lang w:val="en-US" w:eastAsia="zh-CN"/>
              </w:rPr>
              <w:t>钻前阶段制定了合理的施工方案和进出场路线，严格控制作业范围，尽量减少工程占地和对地表扰动，在敏感目标一侧建设减震沟。施工过程中未对居民造成影响，无补偿等工作。</w:t>
            </w:r>
          </w:p>
        </w:tc>
        <w:tc>
          <w:tcPr>
            <w:tcW w:w="807"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87EFF2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柴油发电机燃烧烟气</w:t>
            </w:r>
          </w:p>
        </w:tc>
        <w:tc>
          <w:tcPr>
            <w:tcW w:w="762"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选用环保型柴油发电机</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使用优质轻柴油</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简易排气筒排放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排气管朝向避开农户分布及项目区工作人员办公生活的方位</w:t>
            </w:r>
          </w:p>
        </w:tc>
        <w:tc>
          <w:tcPr>
            <w:tcW w:w="1381"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柴油发电机选用符合国家质量标准的柴油，</w:t>
            </w:r>
            <w:r>
              <w:rPr>
                <w:rFonts w:hint="default" w:ascii="Times New Roman" w:hAnsi="Times New Roman" w:eastAsia="宋体" w:cs="Times New Roman"/>
                <w:color w:val="auto"/>
                <w:sz w:val="21"/>
                <w:szCs w:val="21"/>
              </w:rPr>
              <w:t>通过简易排气筒排放</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highlight w:val="none"/>
                <w:lang w:eastAsia="zh-CN"/>
              </w:rPr>
              <w:t>排气管朝向避开项目区工作人员办公生活的方位。</w:t>
            </w:r>
          </w:p>
        </w:tc>
        <w:tc>
          <w:tcPr>
            <w:tcW w:w="807"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A06C25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汽车尾气</w:t>
            </w:r>
          </w:p>
        </w:tc>
        <w:tc>
          <w:tcPr>
            <w:tcW w:w="762"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车辆排放的尾气为流动的线源，影响范围较大，但其污染不集中且扩散能力相对较快，</w:t>
            </w:r>
            <w:r>
              <w:rPr>
                <w:rFonts w:hint="default" w:ascii="Times New Roman" w:hAnsi="Times New Roman" w:eastAsia="宋体" w:cs="Times New Roman"/>
                <w:color w:val="auto"/>
                <w:sz w:val="21"/>
                <w:szCs w:val="21"/>
                <w:lang w:val="en-US" w:eastAsia="zh-CN"/>
              </w:rPr>
              <w:t>影响较小</w:t>
            </w:r>
          </w:p>
        </w:tc>
        <w:tc>
          <w:tcPr>
            <w:tcW w:w="1381"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w:t>
            </w:r>
          </w:p>
        </w:tc>
        <w:tc>
          <w:tcPr>
            <w:tcW w:w="807"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585EB38">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伴生气</w:t>
            </w:r>
          </w:p>
        </w:tc>
        <w:tc>
          <w:tcPr>
            <w:tcW w:w="762"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伴生气产生量很小，无法量化，无组织排放</w:t>
            </w:r>
          </w:p>
        </w:tc>
        <w:tc>
          <w:tcPr>
            <w:tcW w:w="1381"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w:t>
            </w:r>
          </w:p>
        </w:tc>
        <w:tc>
          <w:tcPr>
            <w:tcW w:w="807"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320"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生产废水</w:t>
            </w:r>
          </w:p>
        </w:tc>
        <w:tc>
          <w:tcPr>
            <w:tcW w:w="762" w:type="pct"/>
            <w:vMerge w:val="restart"/>
            <w:tcBorders>
              <w:tl2br w:val="nil"/>
              <w:tr2bl w:val="nil"/>
            </w:tcBorders>
            <w:noWrap w:val="0"/>
            <w:vAlign w:val="center"/>
          </w:tcPr>
          <w:p w14:paraId="6640BE3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钻井施工严禁开采和使用浅层可饮用地下水;落实钻井泥浆不落地措施井场内的泥浆、岩屑收集处置设施等要采取有效措施防止渗漏和泄漏;钻井废水和泥浆、岩屑泥沙等要入罐收集，随钻处理，严禁随意抛洒或堆置。</w:t>
            </w:r>
          </w:p>
          <w:p w14:paraId="1B7A6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lang w:val="en-US" w:eastAsia="zh-CN"/>
              </w:rPr>
              <w:t>强化井口、贮油罐及地面污油水收集处置措施。作业现场必须铺设防渗布，防渗布四周设不低于20cm高围堰，防止含油污水渗漏;设置收集贮存设施及时回收落地原油;禁止掩埋试油作业中散落的原油和油水混合物，落地原油和废物应收集，并安全规范处置;试油废水、井下作业废水循环利用，选用无毒无害压裂液含油废水全部运至油田作业废水处理站处理达标后回注油层，不外排。钻井固液分离后液相循环利用，无法再利用送至油田作业废水处理站处理达标后回注采油层不外排。雨水全收集。</w:t>
            </w:r>
          </w:p>
        </w:tc>
        <w:tc>
          <w:tcPr>
            <w:tcW w:w="836"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1381" w:type="pct"/>
            <w:tcBorders>
              <w:tl2br w:val="nil"/>
              <w:tr2bl w:val="nil"/>
            </w:tcBorders>
            <w:noWrap w:val="0"/>
            <w:vAlign w:val="center"/>
          </w:tcPr>
          <w:p w14:paraId="08A4D5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0000FF"/>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default"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，废水不外排；生活污水收集沉淀后用于站场浇洒。井场营地内设置的移动式环保厕所，定期清掏用作农肥。</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厂区内雨水有效收集，未外排；</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w:t>
            </w: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p>
          <w:p w14:paraId="6BAEB5F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2）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eastAsia="宋体" w:cs="Times New Roman"/>
                <w:color w:val="0000FF"/>
                <w:sz w:val="21"/>
                <w:szCs w:val="21"/>
                <w:lang w:val="en-US" w:eastAsia="zh-CN"/>
              </w:rPr>
              <w:t>防渗布四周设20cm高围堰</w:t>
            </w:r>
            <w:r>
              <w:rPr>
                <w:rFonts w:hint="default" w:ascii="Times New Roman" w:hAnsi="Times New Roman" w:eastAsia="宋体" w:cs="Times New Roman"/>
                <w:color w:val="auto"/>
                <w:sz w:val="21"/>
                <w:szCs w:val="21"/>
                <w:lang w:val="en-US" w:eastAsia="zh-CN"/>
              </w:rPr>
              <w:t>，防止含油污水渗漏；设置收集贮存设施及时回收落地原油；未掩埋试油作业中散落的原油和油水混合物。</w:t>
            </w:r>
          </w:p>
        </w:tc>
        <w:tc>
          <w:tcPr>
            <w:tcW w:w="807"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生活污水</w:t>
            </w:r>
          </w:p>
        </w:tc>
        <w:tc>
          <w:tcPr>
            <w:tcW w:w="762" w:type="pct"/>
            <w:vMerge w:val="continue"/>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1381" w:type="pct"/>
            <w:tcBorders>
              <w:tl2br w:val="nil"/>
              <w:tr2bl w:val="nil"/>
            </w:tcBorders>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施工期生活污水均排入移动式环保厕所，粪便定期清运，盥洗废水就地泼洒用于施工场地抑尘。</w:t>
            </w:r>
          </w:p>
        </w:tc>
        <w:tc>
          <w:tcPr>
            <w:tcW w:w="807"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320"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0000FF"/>
                <w:sz w:val="21"/>
                <w:szCs w:val="21"/>
                <w:highlight w:val="none"/>
                <w:lang w:val="en-US" w:eastAsia="zh-CN"/>
              </w:rPr>
            </w:pPr>
            <w:r>
              <w:rPr>
                <w:rFonts w:hint="default" w:ascii="Times New Roman" w:hAnsi="Times New Roman" w:eastAsia="宋体" w:cs="Times New Roman"/>
                <w:color w:val="0000FF"/>
                <w:sz w:val="21"/>
                <w:szCs w:val="21"/>
                <w:lang w:val="en-US" w:eastAsia="zh-CN"/>
              </w:rPr>
              <w:t>设备噪声</w:t>
            </w:r>
          </w:p>
        </w:tc>
        <w:tc>
          <w:tcPr>
            <w:tcW w:w="762" w:type="pct"/>
            <w:tcBorders>
              <w:tl2br w:val="nil"/>
              <w:tr2bl w:val="nil"/>
            </w:tcBorders>
            <w:shd w:val="clear" w:color="auto" w:fill="auto"/>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lang w:val="en-US" w:eastAsia="zh-CN" w:bidi="ar-SA"/>
              </w:rPr>
            </w:pPr>
            <w:r>
              <w:rPr>
                <w:rFonts w:hint="eastAsia" w:ascii="Times New Roman" w:hAnsi="Times New Roman" w:eastAsia="宋体" w:cs="Times New Roman"/>
                <w:color w:val="0000FF"/>
                <w:sz w:val="21"/>
                <w:szCs w:val="21"/>
                <w:lang w:val="en-US" w:eastAsia="zh-CN" w:bidi="ar-SA"/>
              </w:rPr>
              <w:t>/</w:t>
            </w:r>
          </w:p>
        </w:tc>
        <w:tc>
          <w:tcPr>
            <w:tcW w:w="836" w:type="pct"/>
            <w:tcBorders>
              <w:tl2br w:val="nil"/>
              <w:tr2bl w:val="nil"/>
            </w:tcBorders>
            <w:noWrap w:val="0"/>
            <w:vAlign w:val="center"/>
          </w:tcPr>
          <w:p w14:paraId="7D82E4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选用低噪设备，采取隔声、降噪措施；合理安排施工作业时间；墙体阻隔</w:t>
            </w:r>
          </w:p>
        </w:tc>
        <w:tc>
          <w:tcPr>
            <w:tcW w:w="1381" w:type="pct"/>
            <w:tcBorders>
              <w:tl2br w:val="nil"/>
              <w:tr2bl w:val="nil"/>
            </w:tcBorders>
            <w:noWrap w:val="0"/>
            <w:vAlign w:val="center"/>
          </w:tcPr>
          <w:p w14:paraId="2549D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p>
        </w:tc>
        <w:tc>
          <w:tcPr>
            <w:tcW w:w="807"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固体废物</w:t>
            </w:r>
          </w:p>
        </w:tc>
        <w:tc>
          <w:tcPr>
            <w:tcW w:w="320"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0000FF"/>
                <w:sz w:val="21"/>
                <w:szCs w:val="21"/>
                <w:lang w:val="en-US" w:eastAsia="zh-CN" w:bidi="ar-SA"/>
              </w:rPr>
            </w:pPr>
            <w:r>
              <w:rPr>
                <w:rFonts w:hint="default" w:ascii="Times New Roman" w:hAnsi="Times New Roman" w:eastAsia="宋体" w:cs="Times New Roman"/>
                <w:color w:val="0000FF"/>
                <w:sz w:val="21"/>
                <w:szCs w:val="21"/>
              </w:rPr>
              <w:t>生活垃圾</w:t>
            </w:r>
          </w:p>
        </w:tc>
        <w:tc>
          <w:tcPr>
            <w:tcW w:w="762" w:type="pct"/>
            <w:tcBorders>
              <w:tl2br w:val="nil"/>
              <w:tr2bl w:val="nil"/>
            </w:tcBorders>
            <w:shd w:val="clear" w:color="auto" w:fill="auto"/>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bidi="ar-SA"/>
              </w:rPr>
            </w:pPr>
            <w:r>
              <w:rPr>
                <w:rFonts w:hint="eastAsia" w:ascii="Times New Roman" w:hAnsi="Times New Roman" w:eastAsia="宋体" w:cs="Times New Roman"/>
                <w:color w:val="0000FF"/>
                <w:sz w:val="21"/>
                <w:szCs w:val="21"/>
                <w:highlight w:val="none"/>
                <w:lang w:val="en-US" w:eastAsia="zh-CN"/>
              </w:rPr>
              <w:t>/</w:t>
            </w:r>
          </w:p>
        </w:tc>
        <w:tc>
          <w:tcPr>
            <w:tcW w:w="836"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经收集后由当地环卫部门处理。</w:t>
            </w:r>
          </w:p>
        </w:tc>
        <w:tc>
          <w:tcPr>
            <w:tcW w:w="1381"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井场设置垃圾收集箱，经收集后运至就近的垃圾中转站处理，未产生二次污染</w:t>
            </w:r>
          </w:p>
        </w:tc>
        <w:tc>
          <w:tcPr>
            <w:tcW w:w="807"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762" w:type="pct"/>
            <w:vMerge w:val="restart"/>
            <w:tcBorders>
              <w:tl2br w:val="nil"/>
              <w:tr2bl w:val="nil"/>
            </w:tcBorders>
            <w:noWrap w:val="0"/>
            <w:vAlign w:val="center"/>
          </w:tcPr>
          <w:p w14:paraId="05812D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钻井施工现场应当整洁有序，钻井前应当沿井场四周修筑</w:t>
            </w:r>
            <w:r>
              <w:rPr>
                <w:rFonts w:hint="default" w:ascii="Times New Roman" w:hAnsi="Times New Roman" w:eastAsia="宋体" w:cs="Times New Roman"/>
                <w:color w:val="0000FF"/>
                <w:sz w:val="21"/>
                <w:szCs w:val="21"/>
                <w:highlight w:val="none"/>
                <w:lang w:val="en-US" w:eastAsia="zh-CN"/>
              </w:rPr>
              <w:t>不低于</w:t>
            </w:r>
            <w:r>
              <w:rPr>
                <w:rFonts w:hint="eastAsia" w:ascii="Times New Roman" w:hAnsi="Times New Roman" w:eastAsia="宋体" w:cs="Times New Roman"/>
                <w:color w:val="0000FF"/>
                <w:sz w:val="21"/>
                <w:szCs w:val="21"/>
                <w:highlight w:val="none"/>
                <w:lang w:val="en-US" w:eastAsia="zh-CN"/>
              </w:rPr>
              <w:t>80cm高的砖混围墙</w:t>
            </w:r>
            <w:r>
              <w:rPr>
                <w:rFonts w:hint="default" w:ascii="Times New Roman" w:hAnsi="Times New Roman" w:eastAsia="宋体" w:cs="Times New Roman"/>
                <w:color w:val="0000FF"/>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钻井、固井辅料、添加剂等应当集中堆放，并做好防雨淋、防渗漏、防泄漏等措施，泥浆、岩屑收集处置措施等布设应当远离沟坎边。</w:t>
            </w:r>
          </w:p>
          <w:p w14:paraId="5FFCB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试油工段产生的各种工业固体废物和生活垃圾等固废应及时规范处置，分类收集;产生的油泥和含油岩屑等危险废物及时送有资质单位安全处置。水基钻井废弃泥浆经大罐收集、沉降、破胶脱稳、板框压滤后固相含水率不得大于60%，送至集中处置单位规范填埋处置或制作烧结砖资源化利用。废弃原材料、包装材料等一般固废要及时清运至工业固废填埋场进行安全处置。</w:t>
            </w:r>
          </w:p>
          <w:p w14:paraId="2AF101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1381"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钻井前应当沿井场四周修筑</w:t>
            </w:r>
            <w:r>
              <w:rPr>
                <w:rFonts w:hint="default" w:ascii="Times New Roman" w:hAnsi="Times New Roman" w:eastAsia="宋体" w:cs="Times New Roman"/>
                <w:color w:val="0000FF"/>
                <w:spacing w:val="0"/>
                <w:sz w:val="21"/>
                <w:szCs w:val="21"/>
                <w:highlight w:val="none"/>
                <w:lang w:val="en-US" w:eastAsia="zh-CN"/>
              </w:rPr>
              <w:t>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eastAsia="宋体" w:cs="Times New Roman"/>
                <w:color w:val="0000FF"/>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钻井、固井辅料、添加剂等应当集中堆放，并做好防雨淋、防渗漏、防泄漏等措施，泥浆、岩屑收集处置措施等布设远离沟坎边。</w:t>
            </w: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default"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w:t>
            </w:r>
            <w:r>
              <w:rPr>
                <w:rFonts w:hint="default" w:ascii="Times New Roman" w:hAnsi="Times New Roman" w:eastAsia="宋体" w:cs="Times New Roman"/>
                <w:color w:val="auto"/>
                <w:sz w:val="21"/>
                <w:szCs w:val="21"/>
                <w:highlight w:val="none"/>
                <w:lang w:val="en-US" w:eastAsia="zh-CN"/>
              </w:rPr>
              <w:t>固相含水率不大于60%</w:t>
            </w:r>
            <w:r>
              <w:rPr>
                <w:rFonts w:hint="default" w:ascii="Times New Roman" w:hAnsi="Times New Roman" w:eastAsia="宋体" w:cs="Times New Roman"/>
                <w:bCs/>
                <w:color w:val="auto"/>
                <w:sz w:val="21"/>
                <w:szCs w:val="21"/>
                <w:highlight w:val="none"/>
                <w:lang w:val="en-US" w:eastAsia="zh-CN"/>
              </w:rPr>
              <w:t>）暂存于固渣暂存处</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val="en-US" w:eastAsia="zh-CN"/>
              </w:rPr>
              <w:t>暂存未超过一个月，</w:t>
            </w:r>
            <w:r>
              <w:rPr>
                <w:rFonts w:hint="default" w:ascii="Times New Roman" w:hAnsi="Times New Roman" w:eastAsia="宋体" w:cs="Times New Roman"/>
                <w:bCs/>
                <w:color w:val="auto"/>
                <w:sz w:val="21"/>
                <w:szCs w:val="21"/>
                <w:highlight w:val="none"/>
                <w:lang w:eastAsia="zh-CN"/>
              </w:rPr>
              <w:t>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 w:val="21"/>
                <w:szCs w:val="21"/>
                <w:lang w:val="en-US" w:eastAsia="zh-CN"/>
              </w:rPr>
              <w:t>建立了管理台账及转移联单，未产生二次污染</w:t>
            </w:r>
          </w:p>
        </w:tc>
        <w:tc>
          <w:tcPr>
            <w:tcW w:w="807" w:type="pct"/>
            <w:tcBorders>
              <w:tl2br w:val="nil"/>
              <w:tr2bl w:val="nil"/>
            </w:tcBorders>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762"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vMerge w:val="restart"/>
            <w:tcBorders>
              <w:tl2br w:val="nil"/>
              <w:tr2bl w:val="nil"/>
            </w:tcBorders>
            <w:shd w:val="clear" w:color="auto" w:fill="auto"/>
            <w:noWrap w:val="0"/>
            <w:vAlign w:val="center"/>
          </w:tcPr>
          <w:p w14:paraId="5C744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废弃原材料、包装材料安全合理处置</w:t>
            </w:r>
          </w:p>
        </w:tc>
        <w:tc>
          <w:tcPr>
            <w:tcW w:w="1381"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eastAsia" w:ascii="Times New Roman" w:hAnsi="Times New Roman" w:eastAsia="宋体" w:cs="Times New Roman"/>
                <w:color w:val="auto"/>
                <w:kern w:val="0"/>
                <w:sz w:val="21"/>
                <w:szCs w:val="21"/>
                <w:lang w:val="en-US" w:eastAsia="zh-CN" w:bidi="ar"/>
              </w:rPr>
              <w:t>五普40839HB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762"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vMerge w:val="continue"/>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381"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eastAsia" w:ascii="Times New Roman" w:hAnsi="Times New Roman" w:eastAsia="宋体" w:cs="Times New Roman"/>
                <w:color w:val="auto"/>
                <w:kern w:val="0"/>
                <w:sz w:val="21"/>
                <w:szCs w:val="21"/>
                <w:lang w:val="en-US" w:eastAsia="zh-CN" w:bidi="ar"/>
              </w:rPr>
              <w:t>五普40839HB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732F2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762"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vMerge w:val="continue"/>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381"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废过硫酸钾包装袋经专用桶收集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z w:val="21"/>
                <w:szCs w:val="21"/>
                <w:lang w:val="en-US" w:eastAsia="zh-CN"/>
              </w:rPr>
              <w:t>，委托庆阳丰泰环保有限责任公司处置，未产生二次污染</w:t>
            </w:r>
          </w:p>
        </w:tc>
        <w:tc>
          <w:tcPr>
            <w:tcW w:w="807"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762"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vMerge w:val="continue"/>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381"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default" w:ascii="Times New Roman" w:hAnsi="Times New Roman" w:eastAsia="宋体" w:cs="Times New Roman"/>
                <w:color w:val="auto"/>
                <w:sz w:val="21"/>
                <w:szCs w:val="21"/>
                <w:lang w:val="en-US" w:eastAsia="zh-CN"/>
              </w:rPr>
              <w:t>经袋装后收集至临时危废贮存库暂存后，委托庆阳丰泰环保有限责任公司处置，未产生二次污染</w:t>
            </w:r>
          </w:p>
        </w:tc>
        <w:tc>
          <w:tcPr>
            <w:tcW w:w="807"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762"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落地油及时回收，委托有资质单位进行处置</w:t>
            </w:r>
          </w:p>
        </w:tc>
        <w:tc>
          <w:tcPr>
            <w:tcW w:w="1381"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rPr>
              <w:t>落地油经专用桶收集，</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rPr>
              <w:t>废机油</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废润滑油</w:t>
            </w:r>
          </w:p>
        </w:tc>
        <w:tc>
          <w:tcPr>
            <w:tcW w:w="762"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381"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本项目钻井施工时间短，未产生废机油、</w:t>
            </w:r>
            <w:r>
              <w:rPr>
                <w:rFonts w:hint="default" w:ascii="Times New Roman" w:hAnsi="Times New Roman" w:eastAsia="宋体" w:cs="Times New Roman"/>
                <w:bCs/>
                <w:color w:val="auto"/>
                <w:sz w:val="21"/>
                <w:szCs w:val="21"/>
                <w:highlight w:val="none"/>
                <w:lang w:val="en-US" w:eastAsia="zh-CN"/>
              </w:rPr>
              <w:t>废润滑油</w:t>
            </w:r>
          </w:p>
        </w:tc>
        <w:tc>
          <w:tcPr>
            <w:tcW w:w="807"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废含油抹布</w:t>
            </w:r>
          </w:p>
        </w:tc>
        <w:tc>
          <w:tcPr>
            <w:tcW w:w="762"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381"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废含油抹布</w:t>
            </w:r>
            <w:r>
              <w:rPr>
                <w:rFonts w:hint="default" w:ascii="Times New Roman" w:hAnsi="Times New Roman" w:eastAsia="宋体" w:cs="Times New Roman"/>
                <w:bCs/>
                <w:color w:val="auto"/>
                <w:sz w:val="21"/>
                <w:szCs w:val="21"/>
                <w:highlight w:val="none"/>
                <w:lang w:val="en-US" w:eastAsia="zh-CN"/>
              </w:rPr>
              <w:t>经专用桶收集，</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含油岩屑</w:t>
            </w:r>
          </w:p>
        </w:tc>
        <w:tc>
          <w:tcPr>
            <w:tcW w:w="762"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含油岩屑统一收集后，交由有资质单位安全处置</w:t>
            </w:r>
          </w:p>
        </w:tc>
        <w:tc>
          <w:tcPr>
            <w:tcW w:w="1381"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含油岩屑产生后立即装袋、密封，</w:t>
            </w:r>
            <w:r>
              <w:rPr>
                <w:rFonts w:hint="default" w:ascii="Times New Roman" w:hAnsi="Times New Roman" w:eastAsia="宋体" w:cs="Times New Roman"/>
                <w:bCs/>
                <w:color w:val="auto"/>
                <w:sz w:val="21"/>
                <w:szCs w:val="21"/>
                <w:highlight w:val="none"/>
                <w:lang w:eastAsia="zh-CN"/>
              </w:rPr>
              <w:t>暂存于</w:t>
            </w:r>
            <w:r>
              <w:rPr>
                <w:rFonts w:hint="default" w:ascii="Times New Roman" w:hAnsi="Times New Roman" w:eastAsia="宋体" w:cs="Times New Roman"/>
                <w:bCs/>
                <w:color w:val="auto"/>
                <w:sz w:val="21"/>
                <w:szCs w:val="21"/>
                <w:highlight w:val="none"/>
                <w:lang w:val="en-US" w:eastAsia="zh-CN"/>
              </w:rPr>
              <w:t>临时</w:t>
            </w:r>
            <w:r>
              <w:rPr>
                <w:rFonts w:hint="default"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454"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生态环境保护措施</w:t>
            </w:r>
          </w:p>
        </w:tc>
        <w:tc>
          <w:tcPr>
            <w:tcW w:w="762"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勘探结束后，要对临时占地进行原貌恢复或绿化;对进场道路及井场周边等及时进行绿化,对施工形成的边坡要采用工程和植物护坡的方式进行治理，提高植被覆盖率，减少水土流失。</w:t>
            </w:r>
          </w:p>
        </w:tc>
        <w:tc>
          <w:tcPr>
            <w:tcW w:w="836"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绿化面积为0.</w:t>
            </w:r>
            <w:r>
              <w:rPr>
                <w:rFonts w:hint="eastAsia" w:ascii="Times New Roman" w:hAnsi="Times New Roman" w:eastAsia="宋体" w:cs="Times New Roman"/>
                <w:color w:val="auto"/>
                <w:sz w:val="21"/>
                <w:szCs w:val="21"/>
                <w:highlight w:val="none"/>
                <w:lang w:val="en-US" w:eastAsia="zh-CN"/>
              </w:rPr>
              <w:t>56</w:t>
            </w:r>
            <w:r>
              <w:rPr>
                <w:rFonts w:hint="default" w:ascii="Times New Roman" w:hAnsi="Times New Roman" w:eastAsia="宋体" w:cs="Times New Roman"/>
                <w:color w:val="auto"/>
                <w:sz w:val="21"/>
                <w:szCs w:val="21"/>
                <w:highlight w:val="none"/>
                <w:lang w:val="en-US" w:eastAsia="zh-CN"/>
              </w:rPr>
              <w:t>亩，绿化率5.0%</w:t>
            </w:r>
          </w:p>
        </w:tc>
        <w:tc>
          <w:tcPr>
            <w:tcW w:w="1381" w:type="pct"/>
            <w:tcBorders>
              <w:tl2br w:val="nil"/>
              <w:tr2bl w:val="nil"/>
            </w:tcBorders>
            <w:shd w:val="clear" w:color="auto" w:fill="auto"/>
            <w:noWrap w:val="0"/>
            <w:vAlign w:val="center"/>
          </w:tcPr>
          <w:p w14:paraId="546226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施工结束后，场地恢复平整，对井口进行临时关井，待转产，除预留转为生产开发所需的面积外，对其余临时占地进行恢复。</w:t>
            </w:r>
            <w:r>
              <w:rPr>
                <w:rFonts w:hint="default" w:ascii="Times New Roman" w:hAnsi="Times New Roman" w:eastAsia="宋体" w:cs="Times New Roman"/>
                <w:color w:val="auto"/>
                <w:sz w:val="21"/>
                <w:szCs w:val="21"/>
                <w:highlight w:val="none"/>
                <w:lang w:val="en-US" w:eastAsia="zh-CN"/>
              </w:rPr>
              <w:t>对进场道路及井场周边等及时进行绿化，对施工形成的边坡要采用工程和植物护坡的方式进行治理，提高植被覆盖率，减少水土流失。绿化面积为300m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，绿化率6.2%；</w:t>
            </w:r>
          </w:p>
        </w:tc>
        <w:tc>
          <w:tcPr>
            <w:tcW w:w="807"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其他</w:t>
            </w:r>
          </w:p>
        </w:tc>
        <w:tc>
          <w:tcPr>
            <w:tcW w:w="454"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风险防范措施、</w:t>
            </w:r>
          </w:p>
          <w:p w14:paraId="2FA47F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762" w:type="pct"/>
            <w:vMerge w:val="restart"/>
            <w:tcBorders>
              <w:tl2br w:val="nil"/>
              <w:tr2bl w:val="nil"/>
            </w:tcBorders>
            <w:shd w:val="clear" w:color="auto" w:fill="auto"/>
            <w:noWrap w:val="0"/>
            <w:vAlign w:val="center"/>
          </w:tcPr>
          <w:p w14:paraId="33541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加强实施周期内废水、噪声、废气、固废等污染防治和环境风险管理，并加强场站巡查频次，不定期开展应急演练，加强对污染物处置的跟踪监管，严格车辆运输管理，控制行车速度，随车携带吸油毡等，积极预防和应对突发性环境污染事件。</w:t>
            </w:r>
          </w:p>
          <w:p w14:paraId="535449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lang w:val="en-US" w:eastAsia="zh-CN" w:bidi="ar-SA"/>
              </w:rPr>
            </w:pPr>
          </w:p>
        </w:tc>
        <w:tc>
          <w:tcPr>
            <w:tcW w:w="836" w:type="pct"/>
            <w:vMerge w:val="restart"/>
            <w:tcBorders>
              <w:tl2br w:val="nil"/>
              <w:tr2bl w:val="nil"/>
            </w:tcBorders>
            <w:shd w:val="clear" w:color="auto" w:fill="auto"/>
            <w:noWrap w:val="0"/>
            <w:vAlign w:val="center"/>
          </w:tcPr>
          <w:p w14:paraId="58763B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井场周围设置不低于20cm高围堰；井场钻井设备摆放处、循环水利用设施、泥浆不落地处理设施、围堰等采取防渗漏措施；井场内的雨水池采取一般防渗措施，应急池采取重点防渗措施</w:t>
            </w:r>
          </w:p>
          <w:p w14:paraId="3A3ABFC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p>
        </w:tc>
        <w:tc>
          <w:tcPr>
            <w:tcW w:w="1381" w:type="pct"/>
            <w:vMerge w:val="restart"/>
            <w:tcBorders>
              <w:tl2br w:val="nil"/>
              <w:tr2bl w:val="nil"/>
            </w:tcBorders>
            <w:shd w:val="clear" w:color="auto" w:fill="auto"/>
            <w:noWrap w:val="0"/>
            <w:vAlign w:val="center"/>
          </w:tcPr>
          <w:p w14:paraId="667F7C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施工期间，</w:t>
            </w:r>
            <w:r>
              <w:rPr>
                <w:rFonts w:hint="default" w:ascii="Times New Roman" w:hAnsi="Times New Roman" w:eastAsia="宋体" w:cs="Times New Roman"/>
                <w:color w:val="auto"/>
                <w:kern w:val="2"/>
                <w:sz w:val="21"/>
                <w:szCs w:val="21"/>
                <w:lang w:val="en-US" w:eastAsia="zh-CN" w:bidi="ar-SA"/>
              </w:rPr>
              <w:t>项目区设置灭火器、正压式呼吸器、便携式可燃气体检测仪等，</w:t>
            </w: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eastAsia="宋体" w:cs="Times New Roman"/>
                <w:color w:val="auto"/>
                <w:kern w:val="2"/>
                <w:sz w:val="21"/>
                <w:szCs w:val="21"/>
                <w:lang w:val="en-US" w:eastAsia="zh-CN" w:bidi="ar-SA"/>
              </w:rPr>
              <w:t>，采油一厂</w:t>
            </w:r>
            <w:r>
              <w:rPr>
                <w:rFonts w:hint="default" w:ascii="Times New Roman" w:hAnsi="Times New Roman" w:eastAsia="宋体" w:cs="Times New Roman"/>
                <w:color w:val="auto"/>
                <w:sz w:val="21"/>
                <w:szCs w:val="21"/>
                <w:highlight w:val="none"/>
                <w:lang w:val="en-US" w:eastAsia="zh-CN"/>
              </w:rPr>
              <w:t>已制定了突发环境事件应急预案，并于</w:t>
            </w:r>
            <w:r>
              <w:rPr>
                <w:rFonts w:hint="eastAsia" w:ascii="Times New Roman" w:hAnsi="Times New Roman" w:eastAsia="宋体" w:cs="Times New Roman"/>
                <w:color w:val="auto"/>
                <w:sz w:val="21"/>
                <w:szCs w:val="21"/>
                <w:highlight w:val="none"/>
                <w:lang w:val="en-US" w:eastAsia="zh-CN"/>
              </w:rPr>
              <w:t>2023年1月11日</w:t>
            </w:r>
            <w:r>
              <w:rPr>
                <w:rFonts w:hint="default" w:ascii="Times New Roman" w:hAnsi="Times New Roman" w:eastAsia="宋体" w:cs="Times New Roman"/>
                <w:color w:val="auto"/>
                <w:sz w:val="21"/>
                <w:szCs w:val="21"/>
                <w:highlight w:val="none"/>
                <w:lang w:val="en-US" w:eastAsia="zh-CN"/>
              </w:rPr>
              <w:t>取得了庆阳市生态环境局</w:t>
            </w:r>
            <w:r>
              <w:rPr>
                <w:rFonts w:hint="eastAsia" w:ascii="Times New Roman" w:hAnsi="Times New Roman" w:eastAsia="宋体" w:cs="Times New Roman"/>
                <w:color w:val="auto"/>
                <w:sz w:val="21"/>
                <w:szCs w:val="21"/>
                <w:highlight w:val="none"/>
                <w:lang w:val="en-US" w:eastAsia="zh-CN"/>
              </w:rPr>
              <w:t>宁县分局</w:t>
            </w:r>
            <w:r>
              <w:rPr>
                <w:rFonts w:hint="default" w:ascii="Times New Roman" w:hAnsi="Times New Roman" w:eastAsia="宋体" w:cs="Times New Roman"/>
                <w:color w:val="auto"/>
                <w:sz w:val="21"/>
                <w:szCs w:val="21"/>
                <w:highlight w:val="none"/>
                <w:lang w:val="en-US" w:eastAsia="zh-CN"/>
              </w:rPr>
              <w:t>预案备案文件（见附件），并按照预案中相关应急措施进行定期演练。施工期未发生环境事件。</w:t>
            </w:r>
            <w:r>
              <w:rPr>
                <w:rFonts w:hint="default" w:ascii="Times New Roman" w:hAnsi="Times New Roman" w:eastAsia="宋体" w:cs="Times New Roman"/>
                <w:color w:val="0000FF"/>
                <w:sz w:val="21"/>
                <w:szCs w:val="21"/>
                <w:highlight w:val="none"/>
                <w:lang w:val="en-US" w:eastAsia="zh-CN"/>
              </w:rPr>
              <w:t>加强对污染物处置的跟踪监管，严格车辆运输管理，控制行车速度，随车携带吸油毡等，积极预防和应对突发性环境污染事件</w:t>
            </w:r>
            <w:r>
              <w:rPr>
                <w:rFonts w:hint="eastAsia" w:ascii="Times New Roman" w:hAnsi="Times New Roman" w:eastAsia="宋体" w:cs="Times New Roman"/>
                <w:color w:val="0000FF"/>
                <w:sz w:val="21"/>
                <w:szCs w:val="21"/>
                <w:highlight w:val="none"/>
                <w:lang w:val="en-US" w:eastAsia="zh-CN"/>
              </w:rPr>
              <w:t>。</w:t>
            </w:r>
          </w:p>
          <w:p w14:paraId="18B61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该应急预案修编日期为</w:t>
            </w:r>
            <w:r>
              <w:rPr>
                <w:rFonts w:hint="eastAsia" w:ascii="Times New Roman" w:hAnsi="Times New Roman" w:eastAsia="宋体" w:cs="Times New Roman"/>
                <w:color w:val="auto"/>
                <w:sz w:val="21"/>
                <w:szCs w:val="21"/>
                <w:highlight w:val="none"/>
                <w:lang w:val="en-US" w:eastAsia="zh-CN"/>
              </w:rPr>
              <w:t>2026年1月11日</w:t>
            </w:r>
            <w:r>
              <w:rPr>
                <w:rFonts w:hint="default" w:ascii="Times New Roman" w:hAnsi="Times New Roman" w:eastAsia="宋体" w:cs="Times New Roman"/>
                <w:color w:val="auto"/>
                <w:sz w:val="21"/>
                <w:szCs w:val="21"/>
                <w:highlight w:val="none"/>
                <w:lang w:val="en-US" w:eastAsia="zh-CN"/>
              </w:rPr>
              <w:t>，在本项目验收时间范围内。</w:t>
            </w:r>
          </w:p>
        </w:tc>
        <w:tc>
          <w:tcPr>
            <w:tcW w:w="807"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454"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762"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36" w:type="pct"/>
            <w:vMerge w:val="continue"/>
            <w:tcBorders>
              <w:tl2br w:val="nil"/>
              <w:tr2bl w:val="nil"/>
            </w:tcBorders>
            <w:noWrap w:val="0"/>
            <w:vAlign w:val="center"/>
          </w:tcPr>
          <w:p w14:paraId="105C3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81" w:type="pct"/>
            <w:vMerge w:val="continue"/>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07"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454"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762" w:type="pct"/>
            <w:vMerge w:val="continue"/>
            <w:tcBorders>
              <w:tl2br w:val="nil"/>
              <w:tr2bl w:val="nil"/>
            </w:tcBorders>
            <w:shd w:val="clear" w:color="auto" w:fill="auto"/>
            <w:noWrap w:val="0"/>
            <w:vAlign w:val="center"/>
          </w:tcPr>
          <w:p w14:paraId="1BA0703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lang w:val="en-US" w:eastAsia="zh-CN" w:bidi="ar-SA"/>
              </w:rPr>
            </w:pPr>
          </w:p>
        </w:tc>
        <w:tc>
          <w:tcPr>
            <w:tcW w:w="836" w:type="pct"/>
            <w:vMerge w:val="continue"/>
            <w:tcBorders>
              <w:tl2br w:val="nil"/>
              <w:tr2bl w:val="nil"/>
            </w:tcBorders>
            <w:shd w:val="clear" w:color="auto" w:fill="auto"/>
            <w:noWrap w:val="0"/>
            <w:vAlign w:val="center"/>
          </w:tcPr>
          <w:p w14:paraId="7BB011D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p>
        </w:tc>
        <w:tc>
          <w:tcPr>
            <w:tcW w:w="1381"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rPr>
              <w:t>井场钻井设备摆放处、循环水利用设施、泥浆不落地处理设施、围堰等采取防渗漏措施；井场内的雨水池采取一般防渗措施，应急池采取重点防渗措施</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tc>
        <w:tc>
          <w:tcPr>
            <w:tcW w:w="807"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不属于</w:t>
            </w:r>
          </w:p>
        </w:tc>
      </w:tr>
    </w:tbl>
    <w:p w14:paraId="5FE0603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76CF715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2EE7573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default"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default" w:ascii="Times New Roman" w:hAnsi="Times New Roman" w:eastAsia="宋体" w:cs="Times New Roman"/>
                <w:color w:val="auto"/>
                <w:sz w:val="24"/>
                <w:szCs w:val="24"/>
                <w:highlight w:val="none"/>
                <w:lang w:eastAsia="zh-CN"/>
              </w:rPr>
              <w:t>，井场</w:t>
            </w:r>
            <w:r>
              <w:rPr>
                <w:rFonts w:hint="default"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default" w:ascii="Times New Roman" w:hAnsi="Times New Roman" w:eastAsia="宋体" w:cs="Times New Roman"/>
                <w:color w:val="auto"/>
                <w:sz w:val="24"/>
                <w:szCs w:val="24"/>
                <w:highlight w:val="none"/>
                <w:lang w:val="en-US" w:eastAsia="zh-CN"/>
              </w:rPr>
              <w:t>待转产</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bCs/>
                <w:color w:val="auto"/>
                <w:sz w:val="24"/>
                <w:lang w:val="en-US" w:eastAsia="zh-CN"/>
              </w:rPr>
              <w:t>4.3.1钻井工程</w:t>
            </w:r>
          </w:p>
          <w:p w14:paraId="236FF2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本项目生产工艺包括：钻前工程、钻井工程、完井测试、完井搬迁。具体生产工艺流程见图4-1。</w:t>
            </w:r>
          </w:p>
          <w:p w14:paraId="55FA54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 xml:space="preserve">1、钻前工程 </w:t>
            </w:r>
          </w:p>
          <w:p w14:paraId="0424478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164CDFC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 xml:space="preserve">2、钻井工程 </w:t>
            </w:r>
          </w:p>
          <w:p w14:paraId="1BBAEB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⑴钻井与固井 </w:t>
            </w:r>
          </w:p>
          <w:p w14:paraId="2A33E4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血液”起到冷却钻头、喷射破坏岩石和携带地层岩屑返回地面的作用。 </w:t>
            </w:r>
          </w:p>
          <w:p w14:paraId="6C16095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487DD7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2104m）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油不至于井喷，同时也便于采集。</w:t>
            </w:r>
          </w:p>
          <w:p w14:paraId="0E898D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2C97C7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石油资源。主要采用电测井方法，测井仪器主要由下井仪器、绞车、电缆及井口装置、地面测量、记录和控制系统组成。 </w:t>
            </w:r>
          </w:p>
          <w:p w14:paraId="0213EA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79A28A9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井眼钻至2104m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7ABB66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2DF201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采用高压水枪射孔，在井底煤层、岩层中制造孔洞、空腔，然后由压裂液（成分为水凝胶）携带支撑剂（石英砂或陶粒），通过高压泵车注入目的层，在目的层中铺置形成一条疏松的石油高渗透带，加快地层流体流向井筒的速率。 </w:t>
            </w:r>
          </w:p>
          <w:p w14:paraId="53BE003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7C5D24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采用电缆射孔和油管输送射孔两种方式，能够满足直井、大斜度井、水平井等各种井况下的射孔作业。</w:t>
            </w:r>
          </w:p>
          <w:p w14:paraId="10BAB7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3、完井试油</w:t>
            </w:r>
          </w:p>
          <w:p w14:paraId="45E91F2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⑴试油 </w:t>
            </w:r>
          </w:p>
          <w:p w14:paraId="700EFE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default" w:ascii="Times New Roman" w:hAnsi="Times New Roman" w:eastAsia="宋体" w:cs="Times New Roman"/>
                <w:color w:val="auto"/>
                <w:kern w:val="0"/>
                <w:sz w:val="24"/>
                <w:szCs w:val="24"/>
                <w:lang w:val="en-US" w:eastAsia="zh-CN" w:bidi="ar"/>
              </w:rPr>
              <w:t>。它主要包括对目的层进行射孔、洗井、</w:t>
            </w:r>
            <w:r>
              <w:rPr>
                <w:rFonts w:hint="default" w:ascii="Times New Roman" w:hAnsi="Times New Roman" w:eastAsia="宋体" w:cs="Times New Roman"/>
                <w:color w:val="auto"/>
                <w:sz w:val="24"/>
                <w:szCs w:val="24"/>
                <w:highlight w:val="none"/>
                <w:lang w:val="en-US" w:eastAsia="zh-CN"/>
              </w:rPr>
              <w:t xml:space="preserve">诱流和测试等。 </w:t>
            </w:r>
          </w:p>
          <w:p w14:paraId="09185B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⑵封井</w:t>
            </w:r>
          </w:p>
          <w:p w14:paraId="283E48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试油完成后，确定和2H井场具备工业开采的价值，进行临时关井。根据开发区域油藏地质特点，完井方式选择套管射孔完井，套管头采用卡瓦简易套管头。 </w:t>
            </w:r>
          </w:p>
          <w:p w14:paraId="25F0F32F">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4、完井搬迁 </w:t>
            </w:r>
          </w:p>
          <w:p w14:paraId="359B731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45C475A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07AC6C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240" w:lineRule="auto"/>
              <w:ind w:left="0" w:right="0" w:firstLine="0" w:firstLineChars="0"/>
              <w:jc w:val="center"/>
              <w:textAlignment w:val="auto"/>
              <w:rPr>
                <w:rFonts w:hint="default" w:ascii="Times New Roman" w:hAnsi="Times New Roman" w:eastAsia="宋体" w:cs="Times New Roman"/>
                <w:color w:val="auto"/>
                <w:spacing w:val="0"/>
                <w:sz w:val="24"/>
                <w:highlight w:val="none"/>
              </w:rPr>
            </w:pPr>
            <w:r>
              <w:rPr>
                <w:rFonts w:hint="default" w:ascii="Times New Roman" w:hAnsi="Times New Roman" w:eastAsia="宋体" w:cs="Times New Roman"/>
                <w:color w:val="auto"/>
                <w:sz w:val="21"/>
                <w:szCs w:val="21"/>
                <w:highlight w:val="none"/>
              </w:rPr>
              <w:object>
                <v:shape id="_x0000_i1025" o:spt="75" type="#_x0000_t75" style="height:309.65pt;width:359.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14:paraId="54D4649B">
            <w:pPr>
              <w:keepNext w:val="0"/>
              <w:keepLines w:val="0"/>
              <w:widowControl w:val="0"/>
              <w:suppressLineNumbers w:val="0"/>
              <w:adjustRightInd w:val="0"/>
              <w:snapToGrid w:val="0"/>
              <w:spacing w:before="0" w:beforeAutospacing="0" w:afterAutospacing="0" w:line="360" w:lineRule="auto"/>
              <w:ind w:left="0" w:right="0"/>
              <w:jc w:val="center"/>
              <w:rPr>
                <w:rFonts w:hint="default" w:ascii="Times New Roman" w:hAnsi="Times New Roman" w:eastAsia="宋体" w:cs="Times New Roman"/>
                <w:b/>
                <w:bCs/>
                <w:color w:val="auto"/>
                <w:spacing w:val="0"/>
                <w:sz w:val="24"/>
                <w:szCs w:val="24"/>
                <w:highlight w:val="none"/>
              </w:rPr>
            </w:pPr>
            <w:r>
              <w:rPr>
                <w:rFonts w:hint="default" w:ascii="Times New Roman" w:hAnsi="Times New Roman" w:eastAsia="宋体" w:cs="Times New Roman"/>
                <w:b/>
                <w:bCs/>
                <w:color w:val="auto"/>
                <w:spacing w:val="0"/>
                <w:sz w:val="24"/>
                <w:szCs w:val="24"/>
                <w:highlight w:val="none"/>
                <w:lang w:val="en-US" w:eastAsia="zh-CN"/>
              </w:rPr>
              <w:t>图4-1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二、运营期 </w:t>
            </w:r>
          </w:p>
          <w:p w14:paraId="14CC8294">
            <w:pPr>
              <w:keepNext w:val="0"/>
              <w:keepLines w:val="0"/>
              <w:widowControl/>
              <w:suppressLineNumbers w:val="0"/>
              <w:spacing w:before="0" w:beforeAutospacing="0" w:afterAutospacing="0"/>
              <w:ind w:left="0" w:right="0" w:firstLine="480" w:firstLineChars="20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试油结果表明该井具有工业开采价值。现阶段已拆除与采油无关的设备，保 </w:t>
            </w:r>
          </w:p>
          <w:p w14:paraId="091DAE67">
            <w:pPr>
              <w:keepNext w:val="0"/>
              <w:keepLines w:val="0"/>
              <w:widowControl/>
              <w:suppressLineNumbers w:val="0"/>
              <w:spacing w:before="0" w:beforeAutospacing="0" w:afterAutospacing="0"/>
              <w:ind w:left="0" w:right="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留临时关井设施，待转产，后续进行环境影响评价等工作。 </w:t>
            </w:r>
          </w:p>
          <w:p w14:paraId="4AAD7BD9">
            <w:pPr>
              <w:keepNext w:val="0"/>
              <w:keepLines w:val="0"/>
              <w:widowControl/>
              <w:suppressLineNumbers w:val="0"/>
              <w:spacing w:before="0" w:beforeAutospacing="0" w:afterAutospacing="0"/>
              <w:ind w:left="0" w:right="0" w:firstLine="482" w:firstLineChars="200"/>
              <w:jc w:val="left"/>
              <w:rPr>
                <w:rFonts w:hint="default" w:ascii="Times New Roman" w:hAnsi="Times New Roman" w:cs="Times New Roman"/>
                <w:color w:val="auto"/>
              </w:rPr>
            </w:pPr>
            <w:r>
              <w:rPr>
                <w:rFonts w:hint="default" w:ascii="Times New Roman" w:hAnsi="Times New Roman" w:eastAsia="宋体" w:cs="Times New Roman"/>
                <w:b/>
                <w:bCs/>
                <w:color w:val="auto"/>
                <w:kern w:val="0"/>
                <w:sz w:val="24"/>
                <w:szCs w:val="24"/>
                <w:lang w:val="en-US" w:eastAsia="zh-CN" w:bidi="ar"/>
              </w:rPr>
              <w:t xml:space="preserve">三、封井期主要工艺过程 </w:t>
            </w:r>
          </w:p>
          <w:p w14:paraId="48F2CEB0">
            <w:pPr>
              <w:keepNext w:val="0"/>
              <w:keepLines w:val="0"/>
              <w:widowControl/>
              <w:suppressLineNumbers w:val="0"/>
              <w:spacing w:before="0" w:beforeAutospacing="0" w:afterAutospacing="0"/>
              <w:ind w:left="0" w:right="0" w:firstLine="480" w:firstLineChars="200"/>
              <w:jc w:val="left"/>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 xml:space="preserve">本项目经勘探具有开采价值，但暂不规模开采，进行完测井分析后随即临时 </w:t>
            </w:r>
          </w:p>
          <w:p w14:paraId="309D7D89">
            <w:pPr>
              <w:keepNext w:val="0"/>
              <w:keepLines w:val="0"/>
              <w:widowControl/>
              <w:suppressLineNumbers w:val="0"/>
              <w:spacing w:before="0" w:beforeAutospacing="0" w:afterAutospacing="0"/>
              <w:ind w:left="0" w:right="0"/>
              <w:jc w:val="left"/>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kern w:val="0"/>
                <w:sz w:val="24"/>
                <w:szCs w:val="24"/>
                <w:lang w:val="en-US" w:eastAsia="zh-CN" w:bidi="ar"/>
              </w:rPr>
              <w:t>关井，因此不涉及闭井期。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46E35B2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w:t>
            </w:r>
            <w:r>
              <w:rPr>
                <w:rFonts w:hint="default" w:ascii="Times New Roman" w:hAnsi="Times New Roman" w:cs="Times New Roman"/>
                <w:b w:val="0"/>
                <w:color w:val="auto"/>
                <w:spacing w:val="0"/>
                <w:w w:val="100"/>
                <w:sz w:val="24"/>
                <w:szCs w:val="24"/>
                <w:highlight w:val="none"/>
                <w:lang w:val="en-US" w:eastAsia="zh-CN" w:bidi="ar-SA"/>
              </w:rPr>
              <w:t>关井</w:t>
            </w:r>
            <w:r>
              <w:rPr>
                <w:rFonts w:hint="default" w:ascii="Times New Roman" w:hAnsi="Times New Roman" w:eastAsia="宋体" w:cs="Times New Roman"/>
                <w:b w:val="0"/>
                <w:color w:val="auto"/>
                <w:spacing w:val="0"/>
                <w:w w:val="100"/>
                <w:sz w:val="24"/>
                <w:szCs w:val="24"/>
                <w:highlight w:val="none"/>
                <w:lang w:val="en-US" w:eastAsia="zh-CN" w:bidi="ar-SA"/>
              </w:rPr>
              <w:t>。场址临时占地主要包括井场</w:t>
            </w:r>
            <w:r>
              <w:rPr>
                <w:rFonts w:hint="default" w:ascii="Times New Roman" w:hAnsi="Times New Roman"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及附属设施占地、生活区占地及表土堆放区；本项目占地均为临时占地</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default" w:ascii="Times New Roman" w:hAnsi="Times New Roman" w:cs="Times New Roman"/>
                <w:b w:val="0"/>
                <w:bCs w:val="0"/>
                <w:color w:val="auto"/>
                <w:sz w:val="24"/>
                <w:highlight w:val="none"/>
              </w:rPr>
              <w:t>项目占地面积约</w:t>
            </w:r>
            <w:r>
              <w:rPr>
                <w:rFonts w:hint="eastAsia" w:ascii="Times New Roman" w:hAnsi="Times New Roman" w:cs="Times New Roman"/>
                <w:b w:val="0"/>
                <w:bCs w:val="0"/>
                <w:color w:val="auto"/>
                <w:sz w:val="24"/>
                <w:highlight w:val="none"/>
                <w:lang w:val="en-US" w:eastAsia="zh-CN"/>
              </w:rPr>
              <w:t>7400</w:t>
            </w:r>
            <w:r>
              <w:rPr>
                <w:rFonts w:hint="default" w:ascii="Times New Roman" w:hAnsi="Times New Roman" w:cs="Times New Roman"/>
                <w:b w:val="0"/>
                <w:bCs w:val="0"/>
                <w:color w:val="auto"/>
                <w:sz w:val="24"/>
                <w:highlight w:val="none"/>
                <w:lang w:val="en-US" w:eastAsia="zh-CN"/>
              </w:rPr>
              <w:t>m</w:t>
            </w:r>
            <w:r>
              <w:rPr>
                <w:rFonts w:hint="default" w:ascii="Times New Roman" w:hAnsi="Times New Roman" w:cs="Times New Roman"/>
                <w:b w:val="0"/>
                <w:bCs w:val="0"/>
                <w:color w:val="auto"/>
                <w:sz w:val="24"/>
                <w:highlight w:val="none"/>
                <w:vertAlign w:val="superscript"/>
                <w:lang w:val="en-US" w:eastAsia="zh-CN"/>
              </w:rPr>
              <w:t>2</w:t>
            </w:r>
            <w:r>
              <w:rPr>
                <w:rFonts w:hint="default" w:ascii="Times New Roman" w:hAnsi="Times New Roman" w:cs="Times New Roman"/>
                <w:b w:val="0"/>
                <w:bCs w:val="0"/>
                <w:color w:val="auto"/>
                <w:sz w:val="24"/>
                <w:highlight w:val="none"/>
                <w:lang w:eastAsia="zh-CN"/>
              </w:rPr>
              <w:t>，</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default" w:ascii="Times New Roman" w:hAnsi="Times New Roman" w:cs="Times New Roman"/>
                <w:b w:val="0"/>
                <w:color w:val="auto"/>
                <w:spacing w:val="0"/>
                <w:w w:val="100"/>
                <w:sz w:val="24"/>
                <w:szCs w:val="24"/>
                <w:highlight w:val="none"/>
                <w:lang w:val="en-US" w:eastAsia="zh-CN" w:bidi="ar-SA"/>
              </w:rPr>
              <w:t>耕地。</w:t>
            </w:r>
            <w:r>
              <w:rPr>
                <w:rFonts w:hint="default" w:ascii="Times New Roman" w:hAnsi="Times New Roman" w:eastAsia="宋体" w:cs="Times New Roman"/>
                <w:b w:val="0"/>
                <w:color w:val="auto"/>
                <w:spacing w:val="0"/>
                <w:w w:val="100"/>
                <w:sz w:val="24"/>
                <w:szCs w:val="24"/>
                <w:highlight w:val="none"/>
                <w:lang w:val="en-US" w:eastAsia="zh-CN" w:bidi="ar-SA"/>
              </w:rPr>
              <w:t>目前</w:t>
            </w:r>
            <w:r>
              <w:rPr>
                <w:rFonts w:hint="default" w:ascii="Times New Roman" w:hAnsi="Times New Roman" w:cs="Times New Roman"/>
                <w:b w:val="0"/>
                <w:color w:val="auto"/>
                <w:spacing w:val="0"/>
                <w:w w:val="100"/>
                <w:sz w:val="24"/>
                <w:szCs w:val="24"/>
                <w:highlight w:val="none"/>
                <w:lang w:val="en-US" w:eastAsia="zh-CN" w:bidi="ar-SA"/>
              </w:rPr>
              <w:t>，勘探</w:t>
            </w:r>
            <w:r>
              <w:rPr>
                <w:rFonts w:hint="default" w:ascii="Times New Roman" w:hAnsi="Times New Roman" w:eastAsia="宋体" w:cs="Times New Roman"/>
                <w:b w:val="0"/>
                <w:color w:val="auto"/>
                <w:spacing w:val="0"/>
                <w:w w:val="100"/>
                <w:sz w:val="24"/>
                <w:szCs w:val="24"/>
                <w:highlight w:val="none"/>
                <w:lang w:val="en-US" w:eastAsia="zh-CN" w:bidi="ar-SA"/>
              </w:rPr>
              <w:t>井除转生产所需占地以外的临时占地</w:t>
            </w:r>
            <w:r>
              <w:rPr>
                <w:rFonts w:hint="default" w:ascii="Times New Roman" w:hAnsi="Times New Roman" w:cs="Times New Roman"/>
                <w:b w:val="0"/>
                <w:color w:val="auto"/>
                <w:spacing w:val="0"/>
                <w:w w:val="100"/>
                <w:sz w:val="24"/>
                <w:szCs w:val="24"/>
                <w:highlight w:val="none"/>
                <w:lang w:val="en-US" w:eastAsia="zh-CN" w:bidi="ar-SA"/>
              </w:rPr>
              <w:t>均</w:t>
            </w:r>
            <w:r>
              <w:rPr>
                <w:rFonts w:hint="default" w:ascii="Times New Roman" w:hAnsi="Times New Roman" w:eastAsia="宋体" w:cs="Times New Roman"/>
                <w:b w:val="0"/>
                <w:color w:val="auto"/>
                <w:spacing w:val="0"/>
                <w:w w:val="100"/>
                <w:sz w:val="24"/>
                <w:szCs w:val="24"/>
                <w:highlight w:val="none"/>
                <w:lang w:val="en-US" w:eastAsia="zh-CN" w:bidi="ar-SA"/>
              </w:rPr>
              <w:t xml:space="preserve">进行了平整及植被恢复；同时施工阶段有效控制了作业范围，未新增占地面积。 </w:t>
            </w:r>
          </w:p>
          <w:p w14:paraId="6EE2FBBB">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trPr>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根据环评文本，本项目总投资</w:t>
            </w:r>
            <w:r>
              <w:rPr>
                <w:rFonts w:hint="eastAsia" w:ascii="Times New Roman" w:hAnsi="Times New Roman" w:eastAsia="宋体" w:cs="Times New Roman"/>
                <w:color w:val="auto"/>
                <w:spacing w:val="0"/>
                <w:sz w:val="24"/>
                <w:highlight w:val="none"/>
                <w:lang w:val="en-US" w:eastAsia="zh-CN"/>
              </w:rPr>
              <w:t>800万元</w:t>
            </w:r>
            <w:r>
              <w:rPr>
                <w:rFonts w:hint="default" w:ascii="Times New Roman" w:hAnsi="Times New Roman" w:eastAsia="宋体" w:cs="Times New Roman"/>
                <w:color w:val="auto"/>
                <w:spacing w:val="0"/>
                <w:sz w:val="24"/>
                <w:highlight w:val="none"/>
              </w:rPr>
              <w:t>，</w:t>
            </w:r>
            <w:r>
              <w:rPr>
                <w:rFonts w:hint="default" w:ascii="Times New Roman" w:hAnsi="Times New Roman" w:eastAsia="宋体" w:cs="Times New Roman"/>
                <w:color w:val="auto"/>
                <w:spacing w:val="0"/>
                <w:sz w:val="24"/>
                <w:highlight w:val="none"/>
                <w:lang w:val="en-US" w:eastAsia="zh-CN"/>
              </w:rPr>
              <w:t>其中</w:t>
            </w:r>
            <w:r>
              <w:rPr>
                <w:rFonts w:hint="default" w:ascii="Times New Roman" w:hAnsi="Times New Roman" w:eastAsia="宋体" w:cs="Times New Roman"/>
                <w:color w:val="auto"/>
                <w:spacing w:val="0"/>
                <w:sz w:val="24"/>
                <w:highlight w:val="none"/>
              </w:rPr>
              <w:t>环保投资</w:t>
            </w:r>
            <w:r>
              <w:rPr>
                <w:rFonts w:hint="default" w:ascii="Times New Roman" w:hAnsi="Times New Roman" w:eastAsia="宋体" w:cs="Times New Roman"/>
                <w:color w:val="auto"/>
                <w:spacing w:val="0"/>
                <w:sz w:val="24"/>
                <w:highlight w:val="none"/>
                <w:lang w:val="en-US" w:eastAsia="zh-CN"/>
              </w:rPr>
              <w:t>86.5</w:t>
            </w:r>
            <w:r>
              <w:rPr>
                <w:rFonts w:hint="default" w:ascii="Times New Roman" w:hAnsi="Times New Roman" w:eastAsia="宋体" w:cs="Times New Roman"/>
                <w:color w:val="auto"/>
                <w:spacing w:val="0"/>
                <w:sz w:val="24"/>
                <w:highlight w:val="none"/>
              </w:rPr>
              <w:t>万元，占总投资的</w:t>
            </w:r>
            <w:r>
              <w:rPr>
                <w:rFonts w:hint="eastAsia" w:ascii="Times New Roman" w:hAnsi="Times New Roman" w:eastAsia="宋体" w:cs="Times New Roman"/>
                <w:color w:val="auto"/>
                <w:spacing w:val="0"/>
                <w:sz w:val="24"/>
                <w:highlight w:val="none"/>
                <w:lang w:val="en-US" w:eastAsia="zh-CN"/>
              </w:rPr>
              <w:t>10.81%</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8</w:t>
            </w:r>
            <w:r>
              <w:rPr>
                <w:rFonts w:hint="default" w:ascii="Times New Roman" w:hAnsi="Times New Roman" w:eastAsia="宋体" w:cs="Times New Roman"/>
                <w:color w:val="auto"/>
                <w:sz w:val="24"/>
                <w:szCs w:val="24"/>
                <w:highlight w:val="none"/>
                <w:lang w:val="en-US" w:eastAsia="zh-CN" w:bidi="ar-SA"/>
              </w:rPr>
              <w:t>00万元，实际环保投资97.3万元，占实际总投资的</w:t>
            </w:r>
            <w:r>
              <w:rPr>
                <w:rFonts w:hint="eastAsia" w:ascii="Times New Roman" w:hAnsi="Times New Roman" w:eastAsia="宋体" w:cs="Times New Roman"/>
                <w:color w:val="auto"/>
                <w:sz w:val="24"/>
                <w:szCs w:val="24"/>
                <w:highlight w:val="none"/>
                <w:lang w:val="en-US" w:eastAsia="zh-CN" w:bidi="ar-SA"/>
              </w:rPr>
              <w:t>12.16%</w:t>
            </w:r>
            <w:r>
              <w:rPr>
                <w:rFonts w:hint="default" w:ascii="Times New Roman" w:hAnsi="Times New Roman" w:eastAsia="宋体" w:cs="Times New Roman"/>
                <w:color w:val="auto"/>
                <w:sz w:val="24"/>
                <w:szCs w:val="24"/>
                <w:highlight w:val="none"/>
                <w:lang w:val="en-US" w:eastAsia="zh-CN" w:bidi="ar-SA"/>
              </w:rPr>
              <w:t>。（见表4-4）。</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表4-4项目实际环保投资和环评阶段变化情况对比一览表   单位：（万元）</w:t>
            </w:r>
          </w:p>
          <w:tbl>
            <w:tblPr>
              <w:tblStyle w:val="25"/>
              <w:tblW w:w="83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26"/>
              <w:gridCol w:w="2013"/>
              <w:gridCol w:w="992"/>
              <w:gridCol w:w="1488"/>
              <w:gridCol w:w="1483"/>
              <w:gridCol w:w="1477"/>
            </w:tblGrid>
            <w:tr w14:paraId="540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 w:type="dxa"/>
                  <w:gridSpan w:val="2"/>
                  <w:tcBorders>
                    <w:tl2br w:val="nil"/>
                    <w:tr2bl w:val="nil"/>
                  </w:tcBorders>
                  <w:noWrap w:val="0"/>
                  <w:vAlign w:val="center"/>
                </w:tcPr>
                <w:p w14:paraId="50047A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序号</w:t>
                  </w:r>
                </w:p>
              </w:tc>
              <w:tc>
                <w:tcPr>
                  <w:tcW w:w="2013" w:type="dxa"/>
                  <w:tcBorders>
                    <w:tl2br w:val="nil"/>
                    <w:tr2bl w:val="nil"/>
                  </w:tcBorders>
                  <w:noWrap w:val="0"/>
                  <w:vAlign w:val="center"/>
                </w:tcPr>
                <w:p w14:paraId="6025A8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主要环保设施</w:t>
                  </w:r>
                </w:p>
              </w:tc>
              <w:tc>
                <w:tcPr>
                  <w:tcW w:w="992" w:type="dxa"/>
                  <w:tcBorders>
                    <w:tl2br w:val="nil"/>
                    <w:tr2bl w:val="nil"/>
                  </w:tcBorders>
                  <w:noWrap w:val="0"/>
                  <w:vAlign w:val="center"/>
                </w:tcPr>
                <w:p w14:paraId="29B5B83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投资估算</w:t>
                  </w:r>
                </w:p>
              </w:tc>
              <w:tc>
                <w:tcPr>
                  <w:tcW w:w="1488" w:type="dxa"/>
                  <w:tcBorders>
                    <w:tl2br w:val="nil"/>
                    <w:tr2bl w:val="nil"/>
                  </w:tcBorders>
                  <w:noWrap w:val="0"/>
                  <w:vAlign w:val="center"/>
                </w:tcPr>
                <w:p w14:paraId="7D825F3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备  注</w:t>
                  </w:r>
                </w:p>
              </w:tc>
              <w:tc>
                <w:tcPr>
                  <w:tcW w:w="1483" w:type="dxa"/>
                  <w:tcBorders>
                    <w:tl2br w:val="nil"/>
                    <w:tr2bl w:val="nil"/>
                  </w:tcBorders>
                  <w:noWrap w:val="0"/>
                  <w:vAlign w:val="center"/>
                </w:tcPr>
                <w:p w14:paraId="5BCC2E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实际投资情况</w:t>
                  </w:r>
                </w:p>
              </w:tc>
              <w:tc>
                <w:tcPr>
                  <w:tcW w:w="1477" w:type="dxa"/>
                  <w:tcBorders>
                    <w:tl2br w:val="nil"/>
                    <w:tr2bl w:val="nil"/>
                  </w:tcBorders>
                  <w:noWrap w:val="0"/>
                  <w:vAlign w:val="center"/>
                </w:tcPr>
                <w:p w14:paraId="7CF5E6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实际环保投资</w:t>
                  </w:r>
                </w:p>
              </w:tc>
            </w:tr>
            <w:tr w14:paraId="39C04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426" w:type="dxa"/>
                  <w:vMerge w:val="restart"/>
                  <w:tcBorders>
                    <w:tl2br w:val="nil"/>
                    <w:tr2bl w:val="nil"/>
                  </w:tcBorders>
                  <w:noWrap w:val="0"/>
                  <w:vAlign w:val="center"/>
                </w:tcPr>
                <w:p w14:paraId="777EB7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施工期</w:t>
                  </w:r>
                </w:p>
              </w:tc>
              <w:tc>
                <w:tcPr>
                  <w:tcW w:w="426" w:type="dxa"/>
                  <w:tcBorders>
                    <w:tl2br w:val="nil"/>
                    <w:tr2bl w:val="nil"/>
                  </w:tcBorders>
                  <w:noWrap w:val="0"/>
                  <w:vAlign w:val="center"/>
                </w:tcPr>
                <w:p w14:paraId="372506BD">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1</w:t>
                  </w:r>
                </w:p>
              </w:tc>
              <w:tc>
                <w:tcPr>
                  <w:tcW w:w="2013" w:type="dxa"/>
                  <w:tcBorders>
                    <w:tl2br w:val="nil"/>
                    <w:tr2bl w:val="nil"/>
                  </w:tcBorders>
                  <w:noWrap w:val="0"/>
                  <w:vAlign w:val="center"/>
                </w:tcPr>
                <w:p w14:paraId="7A103999">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防渗布</w:t>
                  </w:r>
                </w:p>
              </w:tc>
              <w:tc>
                <w:tcPr>
                  <w:tcW w:w="992" w:type="dxa"/>
                  <w:tcBorders>
                    <w:tl2br w:val="nil"/>
                    <w:tr2bl w:val="nil"/>
                  </w:tcBorders>
                  <w:shd w:val="clear" w:color="auto" w:fill="auto"/>
                  <w:noWrap w:val="0"/>
                  <w:vAlign w:val="center"/>
                </w:tcPr>
                <w:p w14:paraId="4816D05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488" w:type="dxa"/>
                  <w:tcBorders>
                    <w:tl2br w:val="nil"/>
                    <w:tr2bl w:val="nil"/>
                  </w:tcBorders>
                  <w:shd w:val="clear" w:color="auto" w:fill="auto"/>
                  <w:noWrap w:val="0"/>
                  <w:vAlign w:val="center"/>
                </w:tcPr>
                <w:p w14:paraId="3D8960B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2814D89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井场内敷设</w:t>
                  </w:r>
                  <w:r>
                    <w:rPr>
                      <w:rFonts w:hint="default" w:ascii="Times New Roman" w:hAnsi="Times New Roman" w:eastAsia="宋体" w:cs="Times New Roman"/>
                      <w:color w:val="auto"/>
                      <w:spacing w:val="0"/>
                      <w:sz w:val="21"/>
                      <w:szCs w:val="21"/>
                      <w:highlight w:val="none"/>
                    </w:rPr>
                    <w:t>防渗布</w:t>
                  </w:r>
                </w:p>
              </w:tc>
              <w:tc>
                <w:tcPr>
                  <w:tcW w:w="1477" w:type="dxa"/>
                  <w:tcBorders>
                    <w:tl2br w:val="nil"/>
                    <w:tr2bl w:val="nil"/>
                  </w:tcBorders>
                  <w:shd w:val="clear" w:color="auto" w:fill="auto"/>
                  <w:noWrap w:val="0"/>
                  <w:vAlign w:val="center"/>
                </w:tcPr>
                <w:p w14:paraId="31B70D13">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3.0</w:t>
                  </w:r>
                </w:p>
              </w:tc>
            </w:tr>
            <w:tr w14:paraId="4417A8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426" w:type="dxa"/>
                  <w:vMerge w:val="continue"/>
                  <w:tcBorders>
                    <w:tl2br w:val="nil"/>
                    <w:tr2bl w:val="nil"/>
                  </w:tcBorders>
                  <w:noWrap w:val="0"/>
                  <w:vAlign w:val="center"/>
                </w:tcPr>
                <w:p w14:paraId="45A982E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72D028B2">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2</w:t>
                  </w:r>
                </w:p>
              </w:tc>
              <w:tc>
                <w:tcPr>
                  <w:tcW w:w="2013" w:type="dxa"/>
                  <w:tcBorders>
                    <w:tl2br w:val="nil"/>
                    <w:tr2bl w:val="nil"/>
                  </w:tcBorders>
                  <w:noWrap w:val="0"/>
                  <w:vAlign w:val="center"/>
                </w:tcPr>
                <w:p w14:paraId="3C383C6F">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泥浆</w:t>
                  </w:r>
                  <w:r>
                    <w:rPr>
                      <w:rFonts w:hint="default" w:ascii="Times New Roman" w:hAnsi="Times New Roman" w:eastAsia="宋体" w:cs="Times New Roman"/>
                      <w:color w:val="auto"/>
                      <w:spacing w:val="0"/>
                      <w:sz w:val="21"/>
                      <w:szCs w:val="21"/>
                      <w:highlight w:val="none"/>
                      <w:lang w:eastAsia="zh-CN"/>
                    </w:rPr>
                    <w:t>罐</w:t>
                  </w:r>
                </w:p>
              </w:tc>
              <w:tc>
                <w:tcPr>
                  <w:tcW w:w="992" w:type="dxa"/>
                  <w:tcBorders>
                    <w:tl2br w:val="nil"/>
                    <w:tr2bl w:val="nil"/>
                  </w:tcBorders>
                  <w:shd w:val="clear" w:color="auto" w:fill="auto"/>
                  <w:noWrap w:val="0"/>
                  <w:vAlign w:val="center"/>
                </w:tcPr>
                <w:p w14:paraId="32F1A87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1488" w:type="dxa"/>
                  <w:tcBorders>
                    <w:tl2br w:val="nil"/>
                    <w:tr2bl w:val="nil"/>
                  </w:tcBorders>
                  <w:shd w:val="clear" w:color="auto" w:fill="auto"/>
                  <w:noWrap w:val="0"/>
                  <w:vAlign w:val="center"/>
                </w:tcPr>
                <w:p w14:paraId="2365249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5具/60</w:t>
                  </w:r>
                  <w:r>
                    <w:rPr>
                      <w:rFonts w:hint="default" w:ascii="Times New Roman" w:hAnsi="Times New Roman" w:cs="Times New Roman"/>
                      <w:color w:val="auto"/>
                      <w:spacing w:val="0"/>
                      <w:sz w:val="21"/>
                      <w:szCs w:val="21"/>
                      <w:highlight w:val="none"/>
                    </w:rPr>
                    <w:t>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33E57C0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泥浆</w:t>
                  </w:r>
                  <w:r>
                    <w:rPr>
                      <w:rFonts w:hint="default" w:ascii="Times New Roman" w:hAnsi="Times New Roman" w:eastAsia="宋体" w:cs="Times New Roman"/>
                      <w:color w:val="auto"/>
                      <w:spacing w:val="0"/>
                      <w:sz w:val="21"/>
                      <w:szCs w:val="21"/>
                      <w:highlight w:val="none"/>
                      <w:lang w:eastAsia="zh-CN"/>
                    </w:rPr>
                    <w:t>罐</w:t>
                  </w:r>
                  <w:r>
                    <w:rPr>
                      <w:rFonts w:hint="default" w:ascii="Times New Roman" w:hAnsi="Times New Roman" w:eastAsia="宋体" w:cs="Times New Roman"/>
                      <w:color w:val="auto"/>
                      <w:spacing w:val="0"/>
                      <w:sz w:val="21"/>
                      <w:szCs w:val="21"/>
                      <w:highlight w:val="none"/>
                      <w:lang w:val="en-US" w:eastAsia="zh-CN"/>
                    </w:rPr>
                    <w:t>5具/60</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264D8C77">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2.5</w:t>
                  </w:r>
                </w:p>
              </w:tc>
            </w:tr>
            <w:tr w14:paraId="2BB4E1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426" w:type="dxa"/>
                  <w:vMerge w:val="continue"/>
                  <w:tcBorders>
                    <w:tl2br w:val="nil"/>
                    <w:tr2bl w:val="nil"/>
                  </w:tcBorders>
                  <w:noWrap w:val="0"/>
                  <w:vAlign w:val="center"/>
                </w:tcPr>
                <w:p w14:paraId="6B0C5D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655EF8A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w:t>
                  </w:r>
                </w:p>
              </w:tc>
              <w:tc>
                <w:tcPr>
                  <w:tcW w:w="2013" w:type="dxa"/>
                  <w:tcBorders>
                    <w:tl2br w:val="nil"/>
                    <w:tr2bl w:val="nil"/>
                  </w:tcBorders>
                  <w:noWrap w:val="0"/>
                  <w:vAlign w:val="center"/>
                </w:tcPr>
                <w:p w14:paraId="060D52DB">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kern w:val="21"/>
                      <w:sz w:val="21"/>
                      <w:szCs w:val="21"/>
                      <w:highlight w:val="none"/>
                      <w:lang w:val="en-US" w:eastAsia="zh-CN"/>
                    </w:rPr>
                    <w:t>措施废液储罐</w:t>
                  </w:r>
                </w:p>
              </w:tc>
              <w:tc>
                <w:tcPr>
                  <w:tcW w:w="992" w:type="dxa"/>
                  <w:tcBorders>
                    <w:tl2br w:val="nil"/>
                    <w:tr2bl w:val="nil"/>
                  </w:tcBorders>
                  <w:shd w:val="clear" w:color="auto" w:fill="auto"/>
                  <w:noWrap w:val="0"/>
                  <w:vAlign w:val="center"/>
                </w:tcPr>
                <w:p w14:paraId="25D5E87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488" w:type="dxa"/>
                  <w:tcBorders>
                    <w:tl2br w:val="nil"/>
                    <w:tr2bl w:val="nil"/>
                  </w:tcBorders>
                  <w:shd w:val="clear" w:color="auto" w:fill="auto"/>
                  <w:noWrap w:val="0"/>
                  <w:vAlign w:val="center"/>
                </w:tcPr>
                <w:p w14:paraId="637183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2具/</w:t>
                  </w:r>
                  <w:r>
                    <w:rPr>
                      <w:rFonts w:hint="default" w:ascii="Times New Roman" w:hAnsi="Times New Roman" w:cs="Times New Roman"/>
                      <w:color w:val="auto"/>
                      <w:spacing w:val="0"/>
                      <w:sz w:val="21"/>
                      <w:szCs w:val="21"/>
                      <w:highlight w:val="none"/>
                    </w:rPr>
                    <w:t>50m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59E8B32E">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措施废液储罐</w:t>
                  </w:r>
                  <w:r>
                    <w:rPr>
                      <w:rFonts w:hint="default" w:ascii="Times New Roman" w:hAnsi="Times New Roman" w:eastAsia="宋体" w:cs="Times New Roman"/>
                      <w:color w:val="auto"/>
                      <w:spacing w:val="0"/>
                      <w:sz w:val="21"/>
                      <w:szCs w:val="21"/>
                      <w:highlight w:val="none"/>
                      <w:lang w:val="en-US" w:eastAsia="zh-CN"/>
                    </w:rPr>
                    <w:t>2具/</w:t>
                  </w:r>
                  <w:r>
                    <w:rPr>
                      <w:rFonts w:hint="default" w:ascii="Times New Roman" w:hAnsi="Times New Roman" w:eastAsia="宋体" w:cs="Times New Roman"/>
                      <w:color w:val="auto"/>
                      <w:spacing w:val="0"/>
                      <w:sz w:val="21"/>
                      <w:szCs w:val="21"/>
                      <w:highlight w:val="none"/>
                    </w:rPr>
                    <w:t>50m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1AEE16B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1</w:t>
                  </w:r>
                </w:p>
              </w:tc>
            </w:tr>
            <w:tr w14:paraId="44133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continue"/>
                  <w:tcBorders>
                    <w:tl2br w:val="nil"/>
                    <w:tr2bl w:val="nil"/>
                  </w:tcBorders>
                  <w:noWrap w:val="0"/>
                  <w:vAlign w:val="center"/>
                </w:tcPr>
                <w:p w14:paraId="75AF72D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7074E9C7">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4</w:t>
                  </w:r>
                </w:p>
              </w:tc>
              <w:tc>
                <w:tcPr>
                  <w:tcW w:w="2013" w:type="dxa"/>
                  <w:tcBorders>
                    <w:tl2br w:val="nil"/>
                    <w:tr2bl w:val="nil"/>
                  </w:tcBorders>
                  <w:noWrap w:val="0"/>
                  <w:vAlign w:val="center"/>
                </w:tcPr>
                <w:p w14:paraId="67B1BE97">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eastAsia="zh-CN"/>
                    </w:rPr>
                    <w:t>应急</w:t>
                  </w:r>
                  <w:r>
                    <w:rPr>
                      <w:rFonts w:hint="default" w:ascii="Times New Roman" w:hAnsi="Times New Roman" w:eastAsia="宋体" w:cs="Times New Roman"/>
                      <w:color w:val="auto"/>
                      <w:spacing w:val="0"/>
                      <w:sz w:val="21"/>
                      <w:szCs w:val="21"/>
                      <w:highlight w:val="none"/>
                    </w:rPr>
                    <w:t>池</w:t>
                  </w:r>
                </w:p>
              </w:tc>
              <w:tc>
                <w:tcPr>
                  <w:tcW w:w="992" w:type="dxa"/>
                  <w:tcBorders>
                    <w:tl2br w:val="nil"/>
                    <w:tr2bl w:val="nil"/>
                  </w:tcBorders>
                  <w:shd w:val="clear" w:color="auto" w:fill="auto"/>
                  <w:noWrap w:val="0"/>
                  <w:vAlign w:val="center"/>
                </w:tcPr>
                <w:p w14:paraId="3F75D27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0.6</w:t>
                  </w:r>
                </w:p>
              </w:tc>
              <w:tc>
                <w:tcPr>
                  <w:tcW w:w="1488" w:type="dxa"/>
                  <w:tcBorders>
                    <w:tl2br w:val="nil"/>
                    <w:tr2bl w:val="nil"/>
                  </w:tcBorders>
                  <w:shd w:val="clear" w:color="auto" w:fill="auto"/>
                  <w:noWrap w:val="0"/>
                  <w:vAlign w:val="center"/>
                </w:tcPr>
                <w:p w14:paraId="132E742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cs="Times New Roman"/>
                      <w:color w:val="auto"/>
                      <w:spacing w:val="0"/>
                      <w:sz w:val="21"/>
                      <w:szCs w:val="21"/>
                      <w:highlight w:val="none"/>
                      <w:lang w:val="en-US" w:eastAsia="zh-CN"/>
                    </w:rPr>
                    <w:t>5</w:t>
                  </w:r>
                  <w:r>
                    <w:rPr>
                      <w:rFonts w:hint="default" w:ascii="Times New Roman" w:hAnsi="Times New Roman" w:cs="Times New Roman"/>
                      <w:color w:val="auto"/>
                      <w:spacing w:val="0"/>
                      <w:sz w:val="21"/>
                      <w:szCs w:val="21"/>
                      <w:highlight w:val="none"/>
                    </w:rPr>
                    <w:t>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590E45A5">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应急</w:t>
                  </w:r>
                  <w:r>
                    <w:rPr>
                      <w:rFonts w:hint="default" w:ascii="Times New Roman" w:hAnsi="Times New Roman" w:eastAsia="宋体" w:cs="Times New Roman"/>
                      <w:color w:val="auto"/>
                      <w:spacing w:val="0"/>
                      <w:sz w:val="21"/>
                      <w:szCs w:val="21"/>
                      <w:highlight w:val="none"/>
                    </w:rPr>
                    <w:t>池</w:t>
                  </w:r>
                  <w:r>
                    <w:rPr>
                      <w:rFonts w:hint="default" w:ascii="Times New Roman" w:hAnsi="Times New Roman" w:eastAsia="宋体" w:cs="Times New Roman"/>
                      <w:color w:val="auto"/>
                      <w:spacing w:val="0"/>
                      <w:sz w:val="21"/>
                      <w:szCs w:val="21"/>
                      <w:highlight w:val="none"/>
                      <w:lang w:val="en-US" w:eastAsia="zh-CN"/>
                    </w:rPr>
                    <w:t>1座，5</w:t>
                  </w:r>
                  <w:r>
                    <w:rPr>
                      <w:rFonts w:hint="default" w:ascii="Times New Roman" w:hAnsi="Times New Roman" w:eastAsia="宋体" w:cs="Times New Roman"/>
                      <w:color w:val="auto"/>
                      <w:spacing w:val="0"/>
                      <w:sz w:val="21"/>
                      <w:szCs w:val="21"/>
                      <w:highlight w:val="none"/>
                    </w:rPr>
                    <w:t>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0C38E56A">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0.6</w:t>
                  </w:r>
                </w:p>
              </w:tc>
            </w:tr>
            <w:tr w14:paraId="2373CC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26" w:type="dxa"/>
                  <w:vMerge w:val="continue"/>
                  <w:tcBorders>
                    <w:tl2br w:val="nil"/>
                    <w:tr2bl w:val="nil"/>
                  </w:tcBorders>
                  <w:noWrap w:val="0"/>
                  <w:vAlign w:val="center"/>
                </w:tcPr>
                <w:p w14:paraId="18AE32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5EEE771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5</w:t>
                  </w:r>
                </w:p>
              </w:tc>
              <w:tc>
                <w:tcPr>
                  <w:tcW w:w="2013" w:type="dxa"/>
                  <w:tcBorders>
                    <w:tl2br w:val="nil"/>
                    <w:tr2bl w:val="nil"/>
                  </w:tcBorders>
                  <w:noWrap w:val="0"/>
                  <w:vAlign w:val="center"/>
                </w:tcPr>
                <w:p w14:paraId="685AE948">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污</w:t>
                  </w:r>
                  <w:r>
                    <w:rPr>
                      <w:rFonts w:hint="default" w:ascii="Times New Roman" w:hAnsi="Times New Roman" w:eastAsia="宋体" w:cs="Times New Roman"/>
                      <w:color w:val="auto"/>
                      <w:spacing w:val="0"/>
                      <w:sz w:val="21"/>
                      <w:szCs w:val="21"/>
                      <w:highlight w:val="none"/>
                      <w:lang w:eastAsia="zh-CN"/>
                    </w:rPr>
                    <w:t>油罐</w:t>
                  </w:r>
                </w:p>
              </w:tc>
              <w:tc>
                <w:tcPr>
                  <w:tcW w:w="992" w:type="dxa"/>
                  <w:tcBorders>
                    <w:tl2br w:val="nil"/>
                    <w:tr2bl w:val="nil"/>
                  </w:tcBorders>
                  <w:shd w:val="clear" w:color="auto" w:fill="auto"/>
                  <w:noWrap w:val="0"/>
                  <w:vAlign w:val="center"/>
                </w:tcPr>
                <w:p w14:paraId="28EF90D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0.5</w:t>
                  </w:r>
                </w:p>
              </w:tc>
              <w:tc>
                <w:tcPr>
                  <w:tcW w:w="1488" w:type="dxa"/>
                  <w:tcBorders>
                    <w:tl2br w:val="nil"/>
                    <w:tr2bl w:val="nil"/>
                  </w:tcBorders>
                  <w:shd w:val="clear" w:color="auto" w:fill="auto"/>
                  <w:noWrap w:val="0"/>
                  <w:vAlign w:val="center"/>
                </w:tcPr>
                <w:p w14:paraId="1F24210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1具/</w:t>
                  </w:r>
                  <w:r>
                    <w:rPr>
                      <w:rFonts w:hint="default" w:ascii="Times New Roman" w:hAnsi="Times New Roman" w:cs="Times New Roman"/>
                      <w:color w:val="auto"/>
                      <w:spacing w:val="0"/>
                      <w:sz w:val="21"/>
                      <w:szCs w:val="21"/>
                      <w:highlight w:val="none"/>
                    </w:rPr>
                    <w:t>50m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09F7AC9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污</w:t>
                  </w:r>
                  <w:r>
                    <w:rPr>
                      <w:rFonts w:hint="default" w:ascii="Times New Roman" w:hAnsi="Times New Roman" w:eastAsia="宋体" w:cs="Times New Roman"/>
                      <w:color w:val="auto"/>
                      <w:spacing w:val="0"/>
                      <w:sz w:val="21"/>
                      <w:szCs w:val="21"/>
                      <w:highlight w:val="none"/>
                      <w:lang w:eastAsia="zh-CN"/>
                    </w:rPr>
                    <w:t>油罐</w:t>
                  </w:r>
                  <w:r>
                    <w:rPr>
                      <w:rFonts w:hint="default" w:ascii="Times New Roman" w:hAnsi="Times New Roman" w:eastAsia="宋体" w:cs="Times New Roman"/>
                      <w:color w:val="auto"/>
                      <w:spacing w:val="0"/>
                      <w:sz w:val="21"/>
                      <w:szCs w:val="21"/>
                      <w:highlight w:val="none"/>
                      <w:lang w:val="en-US" w:eastAsia="zh-CN"/>
                    </w:rPr>
                    <w:t>1具/</w:t>
                  </w:r>
                  <w:r>
                    <w:rPr>
                      <w:rFonts w:hint="default" w:ascii="Times New Roman" w:hAnsi="Times New Roman" w:eastAsia="宋体" w:cs="Times New Roman"/>
                      <w:color w:val="auto"/>
                      <w:spacing w:val="0"/>
                      <w:sz w:val="21"/>
                      <w:szCs w:val="21"/>
                      <w:highlight w:val="none"/>
                    </w:rPr>
                    <w:t>50m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16BC6F07">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0.5</w:t>
                  </w:r>
                </w:p>
              </w:tc>
            </w:tr>
            <w:tr w14:paraId="7B524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26" w:type="dxa"/>
                  <w:vMerge w:val="continue"/>
                  <w:tcBorders>
                    <w:tl2br w:val="nil"/>
                    <w:tr2bl w:val="nil"/>
                  </w:tcBorders>
                  <w:noWrap w:val="0"/>
                  <w:vAlign w:val="center"/>
                </w:tcPr>
                <w:p w14:paraId="20B42C8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7693B40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w:t>
                  </w:r>
                </w:p>
              </w:tc>
              <w:tc>
                <w:tcPr>
                  <w:tcW w:w="2013" w:type="dxa"/>
                  <w:tcBorders>
                    <w:tl2br w:val="nil"/>
                    <w:tr2bl w:val="nil"/>
                  </w:tcBorders>
                  <w:noWrap w:val="0"/>
                  <w:vAlign w:val="center"/>
                </w:tcPr>
                <w:p w14:paraId="26275B99">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清水罐</w:t>
                  </w:r>
                </w:p>
              </w:tc>
              <w:tc>
                <w:tcPr>
                  <w:tcW w:w="992" w:type="dxa"/>
                  <w:tcBorders>
                    <w:tl2br w:val="nil"/>
                    <w:tr2bl w:val="nil"/>
                  </w:tcBorders>
                  <w:shd w:val="clear" w:color="auto" w:fill="auto"/>
                  <w:noWrap w:val="0"/>
                  <w:vAlign w:val="center"/>
                </w:tcPr>
                <w:p w14:paraId="51D3E25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1488" w:type="dxa"/>
                  <w:tcBorders>
                    <w:tl2br w:val="nil"/>
                    <w:tr2bl w:val="nil"/>
                  </w:tcBorders>
                  <w:shd w:val="clear" w:color="auto" w:fill="auto"/>
                  <w:noWrap w:val="0"/>
                  <w:vAlign w:val="center"/>
                </w:tcPr>
                <w:p w14:paraId="403D465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4具/50</w:t>
                  </w:r>
                  <w:r>
                    <w:rPr>
                      <w:rFonts w:hint="default" w:ascii="Times New Roman" w:hAnsi="Times New Roman" w:cs="Times New Roman"/>
                      <w:color w:val="auto"/>
                      <w:spacing w:val="0"/>
                      <w:sz w:val="21"/>
                      <w:szCs w:val="21"/>
                      <w:highlight w:val="none"/>
                    </w:rPr>
                    <w:t>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3A9E8C78">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清水罐4具/50</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277ADEDB">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1.6</w:t>
                  </w:r>
                </w:p>
              </w:tc>
            </w:tr>
            <w:tr w14:paraId="79F53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26" w:type="dxa"/>
                  <w:vMerge w:val="continue"/>
                  <w:tcBorders>
                    <w:tl2br w:val="nil"/>
                    <w:tr2bl w:val="nil"/>
                  </w:tcBorders>
                  <w:noWrap w:val="0"/>
                  <w:vAlign w:val="center"/>
                </w:tcPr>
                <w:p w14:paraId="23586F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4C1F60FD">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7</w:t>
                  </w:r>
                </w:p>
              </w:tc>
              <w:tc>
                <w:tcPr>
                  <w:tcW w:w="2013" w:type="dxa"/>
                  <w:tcBorders>
                    <w:tl2br w:val="nil"/>
                    <w:tr2bl w:val="nil"/>
                  </w:tcBorders>
                  <w:noWrap w:val="0"/>
                  <w:vAlign w:val="center"/>
                </w:tcPr>
                <w:p w14:paraId="4E6325B2">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地埋罐</w:t>
                  </w:r>
                </w:p>
              </w:tc>
              <w:tc>
                <w:tcPr>
                  <w:tcW w:w="992" w:type="dxa"/>
                  <w:tcBorders>
                    <w:tl2br w:val="nil"/>
                    <w:tr2bl w:val="nil"/>
                  </w:tcBorders>
                  <w:shd w:val="clear" w:color="auto" w:fill="auto"/>
                  <w:noWrap w:val="0"/>
                  <w:vAlign w:val="center"/>
                </w:tcPr>
                <w:p w14:paraId="5E63DE9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0.5</w:t>
                  </w:r>
                </w:p>
              </w:tc>
              <w:tc>
                <w:tcPr>
                  <w:tcW w:w="1488" w:type="dxa"/>
                  <w:tcBorders>
                    <w:tl2br w:val="nil"/>
                    <w:tr2bl w:val="nil"/>
                  </w:tcBorders>
                  <w:shd w:val="clear" w:color="auto" w:fill="auto"/>
                  <w:noWrap w:val="0"/>
                  <w:vAlign w:val="center"/>
                </w:tcPr>
                <w:p w14:paraId="4A9F97A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1具/5m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502A0AA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地埋罐1具/5m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716EE85D">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0.5</w:t>
                  </w:r>
                </w:p>
              </w:tc>
            </w:tr>
            <w:tr w14:paraId="1D2ED1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continue"/>
                  <w:tcBorders>
                    <w:tl2br w:val="nil"/>
                    <w:tr2bl w:val="nil"/>
                  </w:tcBorders>
                  <w:noWrap w:val="0"/>
                  <w:vAlign w:val="center"/>
                </w:tcPr>
                <w:p w14:paraId="71A0F33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780C9028">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8</w:t>
                  </w:r>
                </w:p>
              </w:tc>
              <w:tc>
                <w:tcPr>
                  <w:tcW w:w="2013" w:type="dxa"/>
                  <w:tcBorders>
                    <w:tl2br w:val="nil"/>
                    <w:tr2bl w:val="nil"/>
                  </w:tcBorders>
                  <w:noWrap w:val="0"/>
                  <w:vAlign w:val="center"/>
                </w:tcPr>
                <w:p w14:paraId="7A5069B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低位回收罐</w:t>
                  </w:r>
                </w:p>
              </w:tc>
              <w:tc>
                <w:tcPr>
                  <w:tcW w:w="992" w:type="dxa"/>
                  <w:tcBorders>
                    <w:tl2br w:val="nil"/>
                    <w:tr2bl w:val="nil"/>
                  </w:tcBorders>
                  <w:shd w:val="clear" w:color="auto" w:fill="auto"/>
                  <w:noWrap w:val="0"/>
                  <w:vAlign w:val="center"/>
                </w:tcPr>
                <w:p w14:paraId="1EF8098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0.5</w:t>
                  </w:r>
                </w:p>
              </w:tc>
              <w:tc>
                <w:tcPr>
                  <w:tcW w:w="1488" w:type="dxa"/>
                  <w:tcBorders>
                    <w:tl2br w:val="nil"/>
                    <w:tr2bl w:val="nil"/>
                  </w:tcBorders>
                  <w:shd w:val="clear" w:color="auto" w:fill="auto"/>
                  <w:noWrap w:val="0"/>
                  <w:vAlign w:val="center"/>
                </w:tcPr>
                <w:p w14:paraId="6097FE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1具/20m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79039789">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低位回收罐1具/20m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348D3B6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0.5</w:t>
                  </w:r>
                </w:p>
              </w:tc>
            </w:tr>
            <w:tr w14:paraId="669FBA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continue"/>
                  <w:tcBorders>
                    <w:tl2br w:val="nil"/>
                    <w:tr2bl w:val="nil"/>
                  </w:tcBorders>
                  <w:noWrap w:val="0"/>
                  <w:vAlign w:val="center"/>
                </w:tcPr>
                <w:p w14:paraId="2265926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49AA4A0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9</w:t>
                  </w:r>
                </w:p>
              </w:tc>
              <w:tc>
                <w:tcPr>
                  <w:tcW w:w="2013" w:type="dxa"/>
                  <w:tcBorders>
                    <w:tl2br w:val="nil"/>
                    <w:tr2bl w:val="nil"/>
                  </w:tcBorders>
                  <w:noWrap w:val="0"/>
                  <w:vAlign w:val="center"/>
                </w:tcPr>
                <w:p w14:paraId="0CA9F6BD">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固体存储罐</w:t>
                  </w:r>
                </w:p>
              </w:tc>
              <w:tc>
                <w:tcPr>
                  <w:tcW w:w="992" w:type="dxa"/>
                  <w:tcBorders>
                    <w:tl2br w:val="nil"/>
                    <w:tr2bl w:val="nil"/>
                  </w:tcBorders>
                  <w:shd w:val="clear" w:color="auto" w:fill="auto"/>
                  <w:noWrap w:val="0"/>
                  <w:vAlign w:val="center"/>
                </w:tcPr>
                <w:p w14:paraId="2A3D9739">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488" w:type="dxa"/>
                  <w:tcBorders>
                    <w:tl2br w:val="nil"/>
                    <w:tr2bl w:val="nil"/>
                  </w:tcBorders>
                  <w:shd w:val="clear" w:color="auto" w:fill="auto"/>
                  <w:noWrap w:val="0"/>
                  <w:vAlign w:val="center"/>
                </w:tcPr>
                <w:p w14:paraId="6226A9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2具/50m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714DCEF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固体存储罐2具/50m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3C58F5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1</w:t>
                  </w:r>
                </w:p>
              </w:tc>
            </w:tr>
            <w:tr w14:paraId="18B9C6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continue"/>
                  <w:tcBorders>
                    <w:tl2br w:val="nil"/>
                    <w:tr2bl w:val="nil"/>
                  </w:tcBorders>
                  <w:noWrap w:val="0"/>
                  <w:vAlign w:val="center"/>
                </w:tcPr>
                <w:p w14:paraId="1972D0F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4CB0989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10</w:t>
                  </w:r>
                </w:p>
              </w:tc>
              <w:tc>
                <w:tcPr>
                  <w:tcW w:w="2013" w:type="dxa"/>
                  <w:tcBorders>
                    <w:tl2br w:val="nil"/>
                    <w:tr2bl w:val="nil"/>
                  </w:tcBorders>
                  <w:noWrap w:val="0"/>
                  <w:vAlign w:val="center"/>
                </w:tcPr>
                <w:p w14:paraId="1132F60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破胶脱稳设备</w:t>
                  </w:r>
                </w:p>
              </w:tc>
              <w:tc>
                <w:tcPr>
                  <w:tcW w:w="992" w:type="dxa"/>
                  <w:tcBorders>
                    <w:tl2br w:val="nil"/>
                    <w:tr2bl w:val="nil"/>
                  </w:tcBorders>
                  <w:shd w:val="clear" w:color="auto" w:fill="auto"/>
                  <w:noWrap w:val="0"/>
                  <w:vAlign w:val="center"/>
                </w:tcPr>
                <w:p w14:paraId="260DE1F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488" w:type="dxa"/>
                  <w:tcBorders>
                    <w:tl2br w:val="nil"/>
                    <w:tr2bl w:val="nil"/>
                  </w:tcBorders>
                  <w:shd w:val="clear" w:color="auto" w:fill="auto"/>
                  <w:noWrap w:val="0"/>
                  <w:vAlign w:val="center"/>
                </w:tcPr>
                <w:p w14:paraId="1A3887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30m</w:t>
                  </w:r>
                  <w:r>
                    <w:rPr>
                      <w:rFonts w:hint="default" w:ascii="Times New Roman" w:hAnsi="Times New Roman"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5EFE2E3F">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破胶脱稳设备30m</w:t>
                  </w:r>
                  <w:r>
                    <w:rPr>
                      <w:rFonts w:hint="default" w:ascii="Times New Roman" w:hAnsi="Times New Roman" w:eastAsia="宋体" w:cs="Times New Roman"/>
                      <w:color w:val="auto"/>
                      <w:spacing w:val="0"/>
                      <w:sz w:val="21"/>
                      <w:szCs w:val="21"/>
                      <w:highlight w:val="none"/>
                      <w:vertAlign w:val="superscript"/>
                    </w:rPr>
                    <w:t>3</w:t>
                  </w:r>
                </w:p>
              </w:tc>
              <w:tc>
                <w:tcPr>
                  <w:tcW w:w="1477" w:type="dxa"/>
                  <w:tcBorders>
                    <w:tl2br w:val="nil"/>
                    <w:tr2bl w:val="nil"/>
                  </w:tcBorders>
                  <w:shd w:val="clear" w:color="auto" w:fill="auto"/>
                  <w:noWrap w:val="0"/>
                  <w:vAlign w:val="center"/>
                </w:tcPr>
                <w:p w14:paraId="07DD58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20</w:t>
                  </w:r>
                </w:p>
              </w:tc>
            </w:tr>
            <w:tr w14:paraId="4894C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continue"/>
                  <w:tcBorders>
                    <w:tl2br w:val="nil"/>
                    <w:tr2bl w:val="nil"/>
                  </w:tcBorders>
                  <w:noWrap w:val="0"/>
                  <w:vAlign w:val="center"/>
                </w:tcPr>
                <w:p w14:paraId="45EA2E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32777ED9">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11</w:t>
                  </w:r>
                </w:p>
              </w:tc>
              <w:tc>
                <w:tcPr>
                  <w:tcW w:w="2013" w:type="dxa"/>
                  <w:tcBorders>
                    <w:tl2br w:val="nil"/>
                    <w:tr2bl w:val="nil"/>
                  </w:tcBorders>
                  <w:noWrap w:val="0"/>
                  <w:vAlign w:val="center"/>
                </w:tcPr>
                <w:p w14:paraId="3157221E">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板框压滤装置</w:t>
                  </w:r>
                </w:p>
              </w:tc>
              <w:tc>
                <w:tcPr>
                  <w:tcW w:w="992" w:type="dxa"/>
                  <w:tcBorders>
                    <w:tl2br w:val="nil"/>
                    <w:tr2bl w:val="nil"/>
                  </w:tcBorders>
                  <w:shd w:val="clear" w:color="auto" w:fill="auto"/>
                  <w:noWrap w:val="0"/>
                  <w:vAlign w:val="center"/>
                </w:tcPr>
                <w:p w14:paraId="5045979D">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35</w:t>
                  </w:r>
                </w:p>
              </w:tc>
              <w:tc>
                <w:tcPr>
                  <w:tcW w:w="1488" w:type="dxa"/>
                  <w:tcBorders>
                    <w:tl2br w:val="nil"/>
                    <w:tr2bl w:val="nil"/>
                  </w:tcBorders>
                  <w:shd w:val="clear" w:color="auto" w:fill="auto"/>
                  <w:noWrap w:val="0"/>
                  <w:vAlign w:val="center"/>
                </w:tcPr>
                <w:p w14:paraId="7F7AAB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过滤面积不小于200m</w:t>
                  </w:r>
                  <w:r>
                    <w:rPr>
                      <w:rFonts w:hint="default" w:ascii="Times New Roman" w:hAnsi="Times New Roman" w:eastAsia="宋体" w:cs="Times New Roman"/>
                      <w:color w:val="auto"/>
                      <w:spacing w:val="0"/>
                      <w:sz w:val="21"/>
                      <w:szCs w:val="21"/>
                      <w:highlight w:val="none"/>
                      <w:vertAlign w:val="superscript"/>
                      <w:lang w:val="en-US" w:eastAsia="zh-CN"/>
                    </w:rPr>
                    <w:t>2</w:t>
                  </w:r>
                </w:p>
              </w:tc>
              <w:tc>
                <w:tcPr>
                  <w:tcW w:w="1483" w:type="dxa"/>
                  <w:tcBorders>
                    <w:tl2br w:val="nil"/>
                    <w:tr2bl w:val="nil"/>
                  </w:tcBorders>
                  <w:shd w:val="clear" w:color="auto" w:fill="auto"/>
                  <w:noWrap w:val="0"/>
                  <w:vAlign w:val="center"/>
                </w:tcPr>
                <w:p w14:paraId="43D38F3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板框压滤装置1座</w:t>
                  </w:r>
                </w:p>
              </w:tc>
              <w:tc>
                <w:tcPr>
                  <w:tcW w:w="1477" w:type="dxa"/>
                  <w:tcBorders>
                    <w:tl2br w:val="nil"/>
                    <w:tr2bl w:val="nil"/>
                  </w:tcBorders>
                  <w:shd w:val="clear" w:color="auto" w:fill="auto"/>
                  <w:noWrap w:val="0"/>
                  <w:vAlign w:val="center"/>
                </w:tcPr>
                <w:p w14:paraId="617B2A3F">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35</w:t>
                  </w:r>
                </w:p>
              </w:tc>
            </w:tr>
            <w:tr w14:paraId="2E8D88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426" w:type="dxa"/>
                  <w:vMerge w:val="continue"/>
                  <w:tcBorders>
                    <w:tl2br w:val="nil"/>
                    <w:tr2bl w:val="nil"/>
                  </w:tcBorders>
                  <w:noWrap w:val="0"/>
                  <w:vAlign w:val="center"/>
                </w:tcPr>
                <w:p w14:paraId="2896934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28BEAAD7">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12</w:t>
                  </w:r>
                </w:p>
              </w:tc>
              <w:tc>
                <w:tcPr>
                  <w:tcW w:w="2013" w:type="dxa"/>
                  <w:tcBorders>
                    <w:tl2br w:val="nil"/>
                    <w:tr2bl w:val="nil"/>
                  </w:tcBorders>
                  <w:noWrap w:val="0"/>
                  <w:vAlign w:val="center"/>
                </w:tcPr>
                <w:p w14:paraId="3B885A6A">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钻井废水</w:t>
                  </w:r>
                  <w:r>
                    <w:rPr>
                      <w:rFonts w:hint="default" w:ascii="Times New Roman" w:hAnsi="Times New Roman" w:eastAsia="宋体" w:cs="Times New Roman"/>
                      <w:color w:val="auto"/>
                      <w:spacing w:val="0"/>
                      <w:sz w:val="21"/>
                      <w:szCs w:val="21"/>
                      <w:highlight w:val="none"/>
                      <w:lang w:eastAsia="zh-CN"/>
                    </w:rPr>
                    <w:t>、试油废水、压裂反排液运处置</w:t>
                  </w:r>
                  <w:r>
                    <w:rPr>
                      <w:rFonts w:hint="default" w:ascii="Times New Roman" w:hAnsi="Times New Roman" w:eastAsia="宋体" w:cs="Times New Roman"/>
                      <w:color w:val="auto"/>
                      <w:spacing w:val="0"/>
                      <w:sz w:val="21"/>
                      <w:szCs w:val="21"/>
                      <w:highlight w:val="none"/>
                    </w:rPr>
                    <w:t>费用</w:t>
                  </w:r>
                </w:p>
              </w:tc>
              <w:tc>
                <w:tcPr>
                  <w:tcW w:w="992" w:type="dxa"/>
                  <w:tcBorders>
                    <w:tl2br w:val="nil"/>
                    <w:tr2bl w:val="nil"/>
                  </w:tcBorders>
                  <w:shd w:val="clear" w:color="auto" w:fill="auto"/>
                  <w:noWrap w:val="0"/>
                  <w:vAlign w:val="center"/>
                </w:tcPr>
                <w:p w14:paraId="2DD86C5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1488" w:type="dxa"/>
                  <w:tcBorders>
                    <w:tl2br w:val="nil"/>
                    <w:tr2bl w:val="nil"/>
                  </w:tcBorders>
                  <w:shd w:val="clear" w:color="auto" w:fill="auto"/>
                  <w:noWrap w:val="0"/>
                  <w:vAlign w:val="center"/>
                </w:tcPr>
                <w:p w14:paraId="3DB235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74786D73">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钻井废水</w:t>
                  </w:r>
                  <w:r>
                    <w:rPr>
                      <w:rFonts w:hint="default" w:ascii="Times New Roman" w:hAnsi="Times New Roman" w:eastAsia="宋体" w:cs="Times New Roman"/>
                      <w:color w:val="auto"/>
                      <w:spacing w:val="0"/>
                      <w:sz w:val="21"/>
                      <w:szCs w:val="21"/>
                      <w:highlight w:val="none"/>
                      <w:lang w:eastAsia="zh-CN"/>
                    </w:rPr>
                    <w:t>、试油废水、压裂反排液运处置</w:t>
                  </w:r>
                  <w:r>
                    <w:rPr>
                      <w:rFonts w:hint="default" w:ascii="Times New Roman" w:hAnsi="Times New Roman" w:eastAsia="宋体" w:cs="Times New Roman"/>
                      <w:color w:val="auto"/>
                      <w:spacing w:val="0"/>
                      <w:sz w:val="21"/>
                      <w:szCs w:val="21"/>
                      <w:highlight w:val="none"/>
                    </w:rPr>
                    <w:t>费用</w:t>
                  </w:r>
                </w:p>
              </w:tc>
              <w:tc>
                <w:tcPr>
                  <w:tcW w:w="1477" w:type="dxa"/>
                  <w:tcBorders>
                    <w:tl2br w:val="nil"/>
                    <w:tr2bl w:val="nil"/>
                  </w:tcBorders>
                  <w:shd w:val="clear" w:color="auto" w:fill="auto"/>
                  <w:noWrap w:val="0"/>
                  <w:vAlign w:val="center"/>
                </w:tcPr>
                <w:p w14:paraId="1483226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6</w:t>
                  </w:r>
                </w:p>
              </w:tc>
            </w:tr>
            <w:tr w14:paraId="2BC1AF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426" w:type="dxa"/>
                  <w:vMerge w:val="continue"/>
                  <w:tcBorders>
                    <w:tl2br w:val="nil"/>
                    <w:tr2bl w:val="nil"/>
                  </w:tcBorders>
                  <w:noWrap w:val="0"/>
                  <w:vAlign w:val="center"/>
                </w:tcPr>
                <w:p w14:paraId="26B6B12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50DF994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kern w:val="2"/>
                      <w:sz w:val="21"/>
                      <w:szCs w:val="21"/>
                      <w:highlight w:val="none"/>
                      <w:lang w:val="en-US" w:eastAsia="zh-CN" w:bidi="ar-SA"/>
                    </w:rPr>
                    <w:t>13</w:t>
                  </w:r>
                </w:p>
              </w:tc>
              <w:tc>
                <w:tcPr>
                  <w:tcW w:w="2013" w:type="dxa"/>
                  <w:tcBorders>
                    <w:tl2br w:val="nil"/>
                    <w:tr2bl w:val="nil"/>
                  </w:tcBorders>
                  <w:noWrap w:val="0"/>
                  <w:vAlign w:val="center"/>
                </w:tcPr>
                <w:p w14:paraId="39B1B2A4">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施工用水运输费用</w:t>
                  </w:r>
                </w:p>
              </w:tc>
              <w:tc>
                <w:tcPr>
                  <w:tcW w:w="992" w:type="dxa"/>
                  <w:tcBorders>
                    <w:tl2br w:val="nil"/>
                    <w:tr2bl w:val="nil"/>
                  </w:tcBorders>
                  <w:shd w:val="clear" w:color="auto" w:fill="auto"/>
                  <w:noWrap w:val="0"/>
                  <w:vAlign w:val="center"/>
                </w:tcPr>
                <w:p w14:paraId="791EF86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488" w:type="dxa"/>
                  <w:tcBorders>
                    <w:tl2br w:val="nil"/>
                    <w:tr2bl w:val="nil"/>
                  </w:tcBorders>
                  <w:shd w:val="clear" w:color="auto" w:fill="auto"/>
                  <w:noWrap w:val="0"/>
                  <w:vAlign w:val="center"/>
                </w:tcPr>
                <w:p w14:paraId="67A0AFE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670B86F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施工用水运输费用</w:t>
                  </w:r>
                </w:p>
              </w:tc>
              <w:tc>
                <w:tcPr>
                  <w:tcW w:w="1477" w:type="dxa"/>
                  <w:tcBorders>
                    <w:tl2br w:val="nil"/>
                    <w:tr2bl w:val="nil"/>
                  </w:tcBorders>
                  <w:shd w:val="clear" w:color="auto" w:fill="auto"/>
                  <w:noWrap w:val="0"/>
                  <w:vAlign w:val="center"/>
                </w:tcPr>
                <w:p w14:paraId="1F14682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3.0</w:t>
                  </w:r>
                </w:p>
              </w:tc>
            </w:tr>
            <w:tr w14:paraId="0507D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6" w:type="dxa"/>
                  <w:vMerge w:val="continue"/>
                  <w:tcBorders>
                    <w:tl2br w:val="nil"/>
                    <w:tr2bl w:val="nil"/>
                  </w:tcBorders>
                  <w:noWrap w:val="0"/>
                  <w:vAlign w:val="center"/>
                </w:tcPr>
                <w:p w14:paraId="1AADD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084C8C95">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kern w:val="2"/>
                      <w:sz w:val="21"/>
                      <w:szCs w:val="21"/>
                      <w:highlight w:val="none"/>
                      <w:lang w:val="en-US" w:eastAsia="zh-CN" w:bidi="ar-SA"/>
                    </w:rPr>
                    <w:t>14</w:t>
                  </w:r>
                </w:p>
              </w:tc>
              <w:tc>
                <w:tcPr>
                  <w:tcW w:w="2013" w:type="dxa"/>
                  <w:tcBorders>
                    <w:tl2br w:val="nil"/>
                    <w:tr2bl w:val="nil"/>
                  </w:tcBorders>
                  <w:noWrap w:val="0"/>
                  <w:vAlign w:val="center"/>
                </w:tcPr>
                <w:p w14:paraId="33B8E09D">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施工场地</w:t>
                  </w:r>
                  <w:r>
                    <w:rPr>
                      <w:rFonts w:hint="default" w:ascii="Times New Roman" w:hAnsi="Times New Roman" w:eastAsia="宋体" w:cs="Times New Roman"/>
                      <w:color w:val="auto"/>
                      <w:spacing w:val="0"/>
                      <w:sz w:val="21"/>
                      <w:szCs w:val="21"/>
                      <w:highlight w:val="none"/>
                      <w:lang w:eastAsia="zh-CN"/>
                    </w:rPr>
                    <w:t>围堰</w:t>
                  </w:r>
                </w:p>
              </w:tc>
              <w:tc>
                <w:tcPr>
                  <w:tcW w:w="992" w:type="dxa"/>
                  <w:tcBorders>
                    <w:tl2br w:val="nil"/>
                    <w:tr2bl w:val="nil"/>
                  </w:tcBorders>
                  <w:shd w:val="clear" w:color="auto" w:fill="auto"/>
                  <w:noWrap w:val="0"/>
                  <w:vAlign w:val="center"/>
                </w:tcPr>
                <w:p w14:paraId="520277C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000000"/>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488" w:type="dxa"/>
                  <w:tcBorders>
                    <w:tl2br w:val="nil"/>
                    <w:tr2bl w:val="nil"/>
                  </w:tcBorders>
                  <w:shd w:val="clear" w:color="auto" w:fill="auto"/>
                  <w:noWrap w:val="0"/>
                  <w:vAlign w:val="center"/>
                </w:tcPr>
                <w:p w14:paraId="62F127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000000"/>
                      <w:spacing w:val="0"/>
                      <w:sz w:val="21"/>
                      <w:szCs w:val="21"/>
                      <w:highlight w:val="none"/>
                      <w:lang w:val="en-US" w:eastAsia="zh-CN" w:bidi="ar-SA"/>
                    </w:rPr>
                  </w:pPr>
                  <w:r>
                    <w:rPr>
                      <w:rFonts w:hint="default" w:ascii="Times New Roman" w:hAnsi="Times New Roman" w:eastAsia="宋体" w:cs="Times New Roman"/>
                      <w:color w:val="0000FF"/>
                      <w:spacing w:val="0"/>
                      <w:kern w:val="0"/>
                      <w:sz w:val="21"/>
                      <w:szCs w:val="21"/>
                      <w:highlight w:val="none"/>
                    </w:rPr>
                    <w:t>不低于</w:t>
                  </w:r>
                  <w:r>
                    <w:rPr>
                      <w:rFonts w:hint="eastAsia" w:ascii="Times New Roman" w:hAnsi="Times New Roman" w:eastAsia="宋体" w:cs="Times New Roman"/>
                      <w:color w:val="0000FF"/>
                      <w:spacing w:val="0"/>
                      <w:kern w:val="0"/>
                      <w:sz w:val="21"/>
                      <w:szCs w:val="21"/>
                      <w:highlight w:val="none"/>
                      <w:lang w:val="en-US" w:eastAsia="zh-CN"/>
                    </w:rPr>
                    <w:t>2</w:t>
                  </w:r>
                  <w:r>
                    <w:rPr>
                      <w:rFonts w:hint="default" w:ascii="Times New Roman" w:hAnsi="Times New Roman" w:eastAsia="宋体" w:cs="Times New Roman"/>
                      <w:color w:val="0000FF"/>
                      <w:spacing w:val="0"/>
                      <w:sz w:val="21"/>
                      <w:szCs w:val="21"/>
                      <w:highlight w:val="none"/>
                      <w:lang w:val="en-US" w:eastAsia="zh-CN"/>
                    </w:rPr>
                    <w:t>0cm</w:t>
                  </w:r>
                  <w:r>
                    <w:rPr>
                      <w:rFonts w:hint="eastAsia" w:ascii="Times New Roman" w:hAnsi="Times New Roman" w:eastAsia="宋体" w:cs="Times New Roman"/>
                      <w:color w:val="0000FF"/>
                      <w:spacing w:val="0"/>
                      <w:sz w:val="21"/>
                      <w:szCs w:val="21"/>
                      <w:highlight w:val="none"/>
                      <w:lang w:val="en-US" w:eastAsia="zh-CN"/>
                    </w:rPr>
                    <w:t>围堰</w:t>
                  </w:r>
                </w:p>
              </w:tc>
              <w:tc>
                <w:tcPr>
                  <w:tcW w:w="1483" w:type="dxa"/>
                  <w:tcBorders>
                    <w:tl2br w:val="nil"/>
                    <w:tr2bl w:val="nil"/>
                  </w:tcBorders>
                  <w:shd w:val="clear" w:color="auto" w:fill="auto"/>
                  <w:noWrap w:val="0"/>
                  <w:vAlign w:val="center"/>
                </w:tcPr>
                <w:p w14:paraId="5412027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p>
              </w:tc>
              <w:tc>
                <w:tcPr>
                  <w:tcW w:w="1477" w:type="dxa"/>
                  <w:tcBorders>
                    <w:tl2br w:val="nil"/>
                    <w:tr2bl w:val="nil"/>
                  </w:tcBorders>
                  <w:shd w:val="clear" w:color="auto" w:fill="auto"/>
                  <w:noWrap w:val="0"/>
                  <w:vAlign w:val="center"/>
                </w:tcPr>
                <w:p w14:paraId="6DE4803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0.8</w:t>
                  </w:r>
                </w:p>
              </w:tc>
            </w:tr>
            <w:tr w14:paraId="362D31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426" w:type="dxa"/>
                  <w:vMerge w:val="continue"/>
                  <w:tcBorders>
                    <w:tl2br w:val="nil"/>
                    <w:tr2bl w:val="nil"/>
                  </w:tcBorders>
                  <w:noWrap w:val="0"/>
                  <w:vAlign w:val="center"/>
                </w:tcPr>
                <w:p w14:paraId="2B54854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35B11E8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kern w:val="2"/>
                      <w:sz w:val="21"/>
                      <w:szCs w:val="21"/>
                      <w:highlight w:val="none"/>
                      <w:lang w:val="en-US" w:eastAsia="zh-CN" w:bidi="ar-SA"/>
                    </w:rPr>
                    <w:t>15</w:t>
                  </w:r>
                </w:p>
              </w:tc>
              <w:tc>
                <w:tcPr>
                  <w:tcW w:w="2013" w:type="dxa"/>
                  <w:tcBorders>
                    <w:tl2br w:val="nil"/>
                    <w:tr2bl w:val="nil"/>
                  </w:tcBorders>
                  <w:noWrap w:val="0"/>
                  <w:vAlign w:val="center"/>
                </w:tcPr>
                <w:p w14:paraId="5D04FFF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废弃泥浆</w:t>
                  </w:r>
                  <w:r>
                    <w:rPr>
                      <w:rFonts w:hint="default" w:ascii="Times New Roman" w:hAnsi="Times New Roman" w:eastAsia="宋体" w:cs="Times New Roman"/>
                      <w:color w:val="auto"/>
                      <w:spacing w:val="0"/>
                      <w:sz w:val="21"/>
                      <w:szCs w:val="21"/>
                      <w:highlight w:val="none"/>
                      <w:lang w:eastAsia="zh-CN"/>
                    </w:rPr>
                    <w:t>、一般</w:t>
                  </w:r>
                  <w:r>
                    <w:rPr>
                      <w:rFonts w:hint="default" w:ascii="Times New Roman" w:hAnsi="Times New Roman" w:eastAsia="宋体" w:cs="Times New Roman"/>
                      <w:color w:val="auto"/>
                      <w:spacing w:val="0"/>
                      <w:sz w:val="21"/>
                      <w:szCs w:val="21"/>
                      <w:highlight w:val="none"/>
                    </w:rPr>
                    <w:t>岩屑处置</w:t>
                  </w:r>
                  <w:r>
                    <w:rPr>
                      <w:rFonts w:hint="default" w:ascii="Times New Roman" w:hAnsi="Times New Roman" w:eastAsia="宋体" w:cs="Times New Roman"/>
                      <w:color w:val="auto"/>
                      <w:spacing w:val="0"/>
                      <w:sz w:val="21"/>
                      <w:szCs w:val="21"/>
                      <w:highlight w:val="none"/>
                      <w:lang w:eastAsia="zh-CN"/>
                    </w:rPr>
                    <w:t>、拉运</w:t>
                  </w:r>
                  <w:r>
                    <w:rPr>
                      <w:rFonts w:hint="default" w:ascii="Times New Roman" w:hAnsi="Times New Roman" w:eastAsia="宋体" w:cs="Times New Roman"/>
                      <w:color w:val="auto"/>
                      <w:spacing w:val="0"/>
                      <w:sz w:val="21"/>
                      <w:szCs w:val="21"/>
                      <w:highlight w:val="none"/>
                    </w:rPr>
                    <w:t>费用</w:t>
                  </w:r>
                </w:p>
              </w:tc>
              <w:tc>
                <w:tcPr>
                  <w:tcW w:w="992" w:type="dxa"/>
                  <w:tcBorders>
                    <w:tl2br w:val="nil"/>
                    <w:tr2bl w:val="nil"/>
                  </w:tcBorders>
                  <w:shd w:val="clear" w:color="auto" w:fill="auto"/>
                  <w:noWrap w:val="0"/>
                  <w:vAlign w:val="center"/>
                </w:tcPr>
                <w:p w14:paraId="3DB4225D">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488" w:type="dxa"/>
                  <w:tcBorders>
                    <w:tl2br w:val="nil"/>
                    <w:tr2bl w:val="nil"/>
                  </w:tcBorders>
                  <w:shd w:val="clear" w:color="auto" w:fill="auto"/>
                  <w:noWrap w:val="0"/>
                  <w:vAlign w:val="center"/>
                </w:tcPr>
                <w:p w14:paraId="3D0130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044EBB2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废弃泥浆</w:t>
                  </w:r>
                  <w:r>
                    <w:rPr>
                      <w:rFonts w:hint="default" w:ascii="Times New Roman" w:hAnsi="Times New Roman" w:eastAsia="宋体" w:cs="Times New Roman"/>
                      <w:color w:val="auto"/>
                      <w:spacing w:val="0"/>
                      <w:sz w:val="21"/>
                      <w:szCs w:val="21"/>
                      <w:highlight w:val="none"/>
                      <w:lang w:eastAsia="zh-CN"/>
                    </w:rPr>
                    <w:t>、一般</w:t>
                  </w:r>
                  <w:r>
                    <w:rPr>
                      <w:rFonts w:hint="default" w:ascii="Times New Roman" w:hAnsi="Times New Roman" w:eastAsia="宋体" w:cs="Times New Roman"/>
                      <w:color w:val="auto"/>
                      <w:spacing w:val="0"/>
                      <w:sz w:val="21"/>
                      <w:szCs w:val="21"/>
                      <w:highlight w:val="none"/>
                    </w:rPr>
                    <w:t>岩屑处置</w:t>
                  </w:r>
                  <w:r>
                    <w:rPr>
                      <w:rFonts w:hint="default" w:ascii="Times New Roman" w:hAnsi="Times New Roman" w:eastAsia="宋体" w:cs="Times New Roman"/>
                      <w:color w:val="auto"/>
                      <w:spacing w:val="0"/>
                      <w:sz w:val="21"/>
                      <w:szCs w:val="21"/>
                      <w:highlight w:val="none"/>
                      <w:lang w:eastAsia="zh-CN"/>
                    </w:rPr>
                    <w:t>、拉运</w:t>
                  </w:r>
                  <w:r>
                    <w:rPr>
                      <w:rFonts w:hint="default" w:ascii="Times New Roman" w:hAnsi="Times New Roman" w:eastAsia="宋体" w:cs="Times New Roman"/>
                      <w:color w:val="auto"/>
                      <w:spacing w:val="0"/>
                      <w:sz w:val="21"/>
                      <w:szCs w:val="21"/>
                      <w:highlight w:val="none"/>
                    </w:rPr>
                    <w:t>费用</w:t>
                  </w:r>
                </w:p>
              </w:tc>
              <w:tc>
                <w:tcPr>
                  <w:tcW w:w="1477" w:type="dxa"/>
                  <w:tcBorders>
                    <w:tl2br w:val="nil"/>
                    <w:tr2bl w:val="nil"/>
                  </w:tcBorders>
                  <w:shd w:val="clear" w:color="auto" w:fill="auto"/>
                  <w:noWrap w:val="0"/>
                  <w:vAlign w:val="center"/>
                </w:tcPr>
                <w:p w14:paraId="7FDC5B2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6</w:t>
                  </w:r>
                </w:p>
              </w:tc>
            </w:tr>
            <w:tr w14:paraId="7ACA0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26" w:type="dxa"/>
                  <w:vMerge w:val="continue"/>
                  <w:tcBorders>
                    <w:tl2br w:val="nil"/>
                    <w:tr2bl w:val="nil"/>
                  </w:tcBorders>
                  <w:noWrap w:val="0"/>
                  <w:vAlign w:val="center"/>
                </w:tcPr>
                <w:p w14:paraId="5BD4C62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4BA5CA4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kern w:val="2"/>
                      <w:sz w:val="21"/>
                      <w:szCs w:val="21"/>
                      <w:highlight w:val="none"/>
                      <w:lang w:val="en-US" w:eastAsia="zh-CN" w:bidi="ar-SA"/>
                    </w:rPr>
                    <w:t>16</w:t>
                  </w:r>
                </w:p>
              </w:tc>
              <w:tc>
                <w:tcPr>
                  <w:tcW w:w="2013" w:type="dxa"/>
                  <w:tcBorders>
                    <w:tl2br w:val="nil"/>
                    <w:tr2bl w:val="nil"/>
                  </w:tcBorders>
                  <w:noWrap w:val="0"/>
                  <w:vAlign w:val="center"/>
                </w:tcPr>
                <w:p w14:paraId="5DFD0C8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含油岩屑、落地油处置、拉运费用</w:t>
                  </w:r>
                </w:p>
              </w:tc>
              <w:tc>
                <w:tcPr>
                  <w:tcW w:w="992" w:type="dxa"/>
                  <w:tcBorders>
                    <w:tl2br w:val="nil"/>
                    <w:tr2bl w:val="nil"/>
                  </w:tcBorders>
                  <w:shd w:val="clear" w:color="auto" w:fill="auto"/>
                  <w:noWrap w:val="0"/>
                  <w:vAlign w:val="center"/>
                </w:tcPr>
                <w:p w14:paraId="2C4FF4A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1488" w:type="dxa"/>
                  <w:tcBorders>
                    <w:tl2br w:val="nil"/>
                    <w:tr2bl w:val="nil"/>
                  </w:tcBorders>
                  <w:shd w:val="clear" w:color="auto" w:fill="auto"/>
                  <w:noWrap w:val="0"/>
                  <w:vAlign w:val="center"/>
                </w:tcPr>
                <w:p w14:paraId="5F518D9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4BD41878">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含油岩屑、落地油处置、拉运费用</w:t>
                  </w:r>
                </w:p>
              </w:tc>
              <w:tc>
                <w:tcPr>
                  <w:tcW w:w="1477" w:type="dxa"/>
                  <w:tcBorders>
                    <w:tl2br w:val="nil"/>
                    <w:tr2bl w:val="nil"/>
                  </w:tcBorders>
                  <w:shd w:val="clear" w:color="auto" w:fill="auto"/>
                  <w:noWrap w:val="0"/>
                  <w:vAlign w:val="center"/>
                </w:tcPr>
                <w:p w14:paraId="340F3E1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4</w:t>
                  </w:r>
                </w:p>
              </w:tc>
            </w:tr>
            <w:tr w14:paraId="1E8666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26" w:type="dxa"/>
                  <w:vMerge w:val="continue"/>
                  <w:tcBorders>
                    <w:tl2br w:val="nil"/>
                    <w:tr2bl w:val="nil"/>
                  </w:tcBorders>
                  <w:noWrap w:val="0"/>
                  <w:vAlign w:val="center"/>
                </w:tcPr>
                <w:p w14:paraId="19D0AB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7C687F2F">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kern w:val="2"/>
                      <w:sz w:val="21"/>
                      <w:szCs w:val="21"/>
                      <w:highlight w:val="none"/>
                      <w:lang w:val="en-US" w:eastAsia="zh-CN" w:bidi="ar-SA"/>
                    </w:rPr>
                    <w:t>17</w:t>
                  </w:r>
                </w:p>
              </w:tc>
              <w:tc>
                <w:tcPr>
                  <w:tcW w:w="2013" w:type="dxa"/>
                  <w:tcBorders>
                    <w:tl2br w:val="nil"/>
                    <w:tr2bl w:val="nil"/>
                  </w:tcBorders>
                  <w:noWrap w:val="0"/>
                  <w:vAlign w:val="center"/>
                </w:tcPr>
                <w:p w14:paraId="291C8056">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井场外排洪渠</w:t>
                  </w:r>
                </w:p>
              </w:tc>
              <w:tc>
                <w:tcPr>
                  <w:tcW w:w="992" w:type="dxa"/>
                  <w:tcBorders>
                    <w:tl2br w:val="nil"/>
                    <w:tr2bl w:val="nil"/>
                  </w:tcBorders>
                  <w:shd w:val="clear" w:color="auto" w:fill="auto"/>
                  <w:noWrap w:val="0"/>
                  <w:vAlign w:val="center"/>
                </w:tcPr>
                <w:p w14:paraId="3305048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1488" w:type="dxa"/>
                  <w:tcBorders>
                    <w:tl2br w:val="nil"/>
                    <w:tr2bl w:val="nil"/>
                  </w:tcBorders>
                  <w:shd w:val="clear" w:color="auto" w:fill="auto"/>
                  <w:noWrap w:val="0"/>
                  <w:vAlign w:val="center"/>
                </w:tcPr>
                <w:p w14:paraId="0CA1E62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1483" w:type="dxa"/>
                  <w:tcBorders>
                    <w:tl2br w:val="nil"/>
                    <w:tr2bl w:val="nil"/>
                  </w:tcBorders>
                  <w:shd w:val="clear" w:color="auto" w:fill="auto"/>
                  <w:noWrap w:val="0"/>
                  <w:vAlign w:val="center"/>
                </w:tcPr>
                <w:p w14:paraId="1CB5B092">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井场外排洪渠</w:t>
                  </w:r>
                </w:p>
              </w:tc>
              <w:tc>
                <w:tcPr>
                  <w:tcW w:w="1477" w:type="dxa"/>
                  <w:tcBorders>
                    <w:tl2br w:val="nil"/>
                    <w:tr2bl w:val="nil"/>
                  </w:tcBorders>
                  <w:shd w:val="clear" w:color="auto" w:fill="auto"/>
                  <w:noWrap w:val="0"/>
                  <w:vAlign w:val="center"/>
                </w:tcPr>
                <w:p w14:paraId="7344328A">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1.8</w:t>
                  </w:r>
                </w:p>
              </w:tc>
            </w:tr>
            <w:tr w14:paraId="05D2C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26" w:type="dxa"/>
                  <w:vMerge w:val="continue"/>
                  <w:tcBorders>
                    <w:tl2br w:val="nil"/>
                    <w:tr2bl w:val="nil"/>
                  </w:tcBorders>
                  <w:noWrap w:val="0"/>
                  <w:vAlign w:val="center"/>
                </w:tcPr>
                <w:p w14:paraId="61776DF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p>
              </w:tc>
              <w:tc>
                <w:tcPr>
                  <w:tcW w:w="426" w:type="dxa"/>
                  <w:tcBorders>
                    <w:tl2br w:val="nil"/>
                    <w:tr2bl w:val="nil"/>
                  </w:tcBorders>
                  <w:noWrap w:val="0"/>
                  <w:vAlign w:val="center"/>
                </w:tcPr>
                <w:p w14:paraId="6DF6E79F">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18</w:t>
                  </w:r>
                </w:p>
              </w:tc>
              <w:tc>
                <w:tcPr>
                  <w:tcW w:w="2013" w:type="dxa"/>
                  <w:tcBorders>
                    <w:tl2br w:val="nil"/>
                    <w:tr2bl w:val="nil"/>
                  </w:tcBorders>
                  <w:noWrap w:val="0"/>
                  <w:vAlign w:val="center"/>
                </w:tcPr>
                <w:p w14:paraId="1B31997A">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雨水导排措施和</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vertAlign w:val="superscript"/>
                    </w:rPr>
                    <w:t>3</w:t>
                  </w:r>
                  <w:r>
                    <w:rPr>
                      <w:rFonts w:hint="default" w:ascii="Times New Roman" w:hAnsi="Times New Roman" w:eastAsia="宋体" w:cs="Times New Roman"/>
                      <w:color w:val="auto"/>
                      <w:spacing w:val="0"/>
                      <w:sz w:val="21"/>
                      <w:szCs w:val="21"/>
                      <w:highlight w:val="none"/>
                      <w:lang w:eastAsia="zh-CN"/>
                    </w:rPr>
                    <w:t>雨水</w:t>
                  </w:r>
                  <w:r>
                    <w:rPr>
                      <w:rFonts w:hint="default" w:ascii="Times New Roman" w:hAnsi="Times New Roman" w:eastAsia="宋体" w:cs="Times New Roman"/>
                      <w:color w:val="auto"/>
                      <w:spacing w:val="0"/>
                      <w:sz w:val="21"/>
                      <w:szCs w:val="21"/>
                      <w:highlight w:val="none"/>
                    </w:rPr>
                    <w:t>池</w:t>
                  </w:r>
                </w:p>
              </w:tc>
              <w:tc>
                <w:tcPr>
                  <w:tcW w:w="992" w:type="dxa"/>
                  <w:tcBorders>
                    <w:tl2br w:val="nil"/>
                    <w:tr2bl w:val="nil"/>
                  </w:tcBorders>
                  <w:shd w:val="clear" w:color="auto" w:fill="auto"/>
                  <w:noWrap w:val="0"/>
                  <w:vAlign w:val="center"/>
                </w:tcPr>
                <w:p w14:paraId="544694F9">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488" w:type="dxa"/>
                  <w:tcBorders>
                    <w:tl2br w:val="nil"/>
                    <w:tr2bl w:val="nil"/>
                  </w:tcBorders>
                  <w:shd w:val="clear" w:color="auto" w:fill="auto"/>
                  <w:noWrap w:val="0"/>
                  <w:vAlign w:val="center"/>
                </w:tcPr>
                <w:p w14:paraId="619D12F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50m</w:t>
                  </w:r>
                  <w:r>
                    <w:rPr>
                      <w:rFonts w:hint="default" w:ascii="Times New Roman" w:hAnsi="Times New Roman" w:eastAsia="宋体" w:cs="Times New Roman"/>
                      <w:color w:val="auto"/>
                      <w:spacing w:val="0"/>
                      <w:sz w:val="21"/>
                      <w:szCs w:val="21"/>
                      <w:highlight w:val="none"/>
                      <w:vertAlign w:val="superscript"/>
                    </w:rPr>
                    <w:t>3</w:t>
                  </w:r>
                </w:p>
              </w:tc>
              <w:tc>
                <w:tcPr>
                  <w:tcW w:w="1483" w:type="dxa"/>
                  <w:tcBorders>
                    <w:tl2br w:val="nil"/>
                    <w:tr2bl w:val="nil"/>
                  </w:tcBorders>
                  <w:shd w:val="clear" w:color="auto" w:fill="auto"/>
                  <w:noWrap w:val="0"/>
                  <w:vAlign w:val="center"/>
                </w:tcPr>
                <w:p w14:paraId="667140EB">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雨水导排措施和</w:t>
                  </w:r>
                  <w:r>
                    <w:rPr>
                      <w:rFonts w:hint="default" w:ascii="Times New Roman" w:hAnsi="Times New Roman" w:eastAsia="宋体" w:cs="Times New Roman"/>
                      <w:color w:val="auto"/>
                      <w:spacing w:val="0"/>
                      <w:sz w:val="21"/>
                      <w:szCs w:val="21"/>
                      <w:highlight w:val="none"/>
                      <w:lang w:val="en-US" w:eastAsia="zh-CN"/>
                    </w:rPr>
                    <w:t>50</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vertAlign w:val="superscript"/>
                    </w:rPr>
                    <w:t>3</w:t>
                  </w:r>
                  <w:r>
                    <w:rPr>
                      <w:rFonts w:hint="default" w:ascii="Times New Roman" w:hAnsi="Times New Roman" w:eastAsia="宋体" w:cs="Times New Roman"/>
                      <w:color w:val="auto"/>
                      <w:spacing w:val="0"/>
                      <w:sz w:val="21"/>
                      <w:szCs w:val="21"/>
                      <w:highlight w:val="none"/>
                      <w:lang w:eastAsia="zh-CN"/>
                    </w:rPr>
                    <w:t>雨水</w:t>
                  </w:r>
                  <w:r>
                    <w:rPr>
                      <w:rFonts w:hint="default" w:ascii="Times New Roman" w:hAnsi="Times New Roman" w:eastAsia="宋体" w:cs="Times New Roman"/>
                      <w:color w:val="auto"/>
                      <w:spacing w:val="0"/>
                      <w:sz w:val="21"/>
                      <w:szCs w:val="21"/>
                      <w:highlight w:val="none"/>
                    </w:rPr>
                    <w:t>池</w:t>
                  </w:r>
                </w:p>
              </w:tc>
              <w:tc>
                <w:tcPr>
                  <w:tcW w:w="1477" w:type="dxa"/>
                  <w:tcBorders>
                    <w:tl2br w:val="nil"/>
                    <w:tr2bl w:val="nil"/>
                  </w:tcBorders>
                  <w:shd w:val="clear" w:color="auto" w:fill="auto"/>
                  <w:noWrap w:val="0"/>
                  <w:vAlign w:val="center"/>
                </w:tcPr>
                <w:p w14:paraId="093AE832">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3</w:t>
                  </w:r>
                </w:p>
              </w:tc>
            </w:tr>
            <w:tr w14:paraId="450E3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426" w:type="dxa"/>
                  <w:tcBorders>
                    <w:tl2br w:val="nil"/>
                    <w:tr2bl w:val="nil"/>
                  </w:tcBorders>
                  <w:noWrap w:val="0"/>
                  <w:vAlign w:val="center"/>
                </w:tcPr>
                <w:p w14:paraId="709356F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封井后</w:t>
                  </w:r>
                </w:p>
              </w:tc>
              <w:tc>
                <w:tcPr>
                  <w:tcW w:w="426" w:type="dxa"/>
                  <w:tcBorders>
                    <w:tl2br w:val="nil"/>
                    <w:tr2bl w:val="nil"/>
                  </w:tcBorders>
                  <w:noWrap w:val="0"/>
                  <w:vAlign w:val="center"/>
                </w:tcPr>
                <w:p w14:paraId="3997E060">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19</w:t>
                  </w:r>
                </w:p>
              </w:tc>
              <w:tc>
                <w:tcPr>
                  <w:tcW w:w="2013" w:type="dxa"/>
                  <w:tcBorders>
                    <w:tl2br w:val="nil"/>
                    <w:tr2bl w:val="nil"/>
                  </w:tcBorders>
                  <w:noWrap w:val="0"/>
                  <w:vAlign w:val="center"/>
                </w:tcPr>
                <w:p w14:paraId="6578D058">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采取工程措施和植被绿化措施，加快完成现有站场的绿化恢复措施，减少水土流失量</w:t>
                  </w:r>
                </w:p>
              </w:tc>
              <w:tc>
                <w:tcPr>
                  <w:tcW w:w="992" w:type="dxa"/>
                  <w:tcBorders>
                    <w:tl2br w:val="nil"/>
                    <w:tr2bl w:val="nil"/>
                  </w:tcBorders>
                  <w:shd w:val="clear" w:color="auto" w:fill="auto"/>
                  <w:noWrap w:val="0"/>
                  <w:vAlign w:val="center"/>
                </w:tcPr>
                <w:p w14:paraId="3C6B32BC">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5.5</w:t>
                  </w:r>
                </w:p>
              </w:tc>
              <w:tc>
                <w:tcPr>
                  <w:tcW w:w="1488" w:type="dxa"/>
                  <w:tcBorders>
                    <w:tl2br w:val="nil"/>
                    <w:tr2bl w:val="nil"/>
                  </w:tcBorders>
                  <w:shd w:val="clear" w:color="auto" w:fill="auto"/>
                  <w:noWrap w:val="0"/>
                  <w:vAlign w:val="center"/>
                </w:tcPr>
                <w:p w14:paraId="3939E2B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w:t>
                  </w:r>
                </w:p>
              </w:tc>
              <w:tc>
                <w:tcPr>
                  <w:tcW w:w="1483" w:type="dxa"/>
                  <w:tcBorders>
                    <w:tl2br w:val="nil"/>
                    <w:tr2bl w:val="nil"/>
                  </w:tcBorders>
                  <w:shd w:val="clear" w:color="auto" w:fill="auto"/>
                  <w:noWrap w:val="0"/>
                  <w:vAlign w:val="center"/>
                </w:tcPr>
                <w:p w14:paraId="54E99FE1">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采取工程措施和植被绿化措施，加快完成现有站场的绿化恢复措施，减少水土流失量</w:t>
                  </w:r>
                </w:p>
              </w:tc>
              <w:tc>
                <w:tcPr>
                  <w:tcW w:w="1477" w:type="dxa"/>
                  <w:tcBorders>
                    <w:tl2br w:val="nil"/>
                    <w:tr2bl w:val="nil"/>
                  </w:tcBorders>
                  <w:shd w:val="clear" w:color="auto" w:fill="auto"/>
                  <w:noWrap w:val="0"/>
                  <w:vAlign w:val="center"/>
                </w:tcPr>
                <w:p w14:paraId="0DA0BE9C">
                  <w:pPr>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val="en-US" w:eastAsia="zh-CN"/>
                    </w:rPr>
                    <w:t>6.5</w:t>
                  </w:r>
                </w:p>
              </w:tc>
            </w:tr>
            <w:tr w14:paraId="61FDD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865" w:type="dxa"/>
                  <w:gridSpan w:val="3"/>
                  <w:tcBorders>
                    <w:tl2br w:val="nil"/>
                    <w:tr2bl w:val="nil"/>
                  </w:tcBorders>
                  <w:noWrap w:val="0"/>
                  <w:vAlign w:val="center"/>
                </w:tcPr>
                <w:p w14:paraId="4EDBB4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合   计</w:t>
                  </w:r>
                </w:p>
              </w:tc>
              <w:tc>
                <w:tcPr>
                  <w:tcW w:w="992" w:type="dxa"/>
                  <w:tcBorders>
                    <w:tl2br w:val="nil"/>
                    <w:tr2bl w:val="nil"/>
                  </w:tcBorders>
                  <w:noWrap w:val="0"/>
                  <w:vAlign w:val="center"/>
                </w:tcPr>
                <w:p w14:paraId="0673D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86.5</w:t>
                  </w:r>
                </w:p>
              </w:tc>
              <w:tc>
                <w:tcPr>
                  <w:tcW w:w="1488" w:type="dxa"/>
                  <w:tcBorders>
                    <w:tl2br w:val="nil"/>
                    <w:tr2bl w:val="nil"/>
                  </w:tcBorders>
                  <w:noWrap w:val="0"/>
                  <w:vAlign w:val="center"/>
                </w:tcPr>
                <w:p w14:paraId="728E55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占总投资</w:t>
                  </w:r>
                  <w:r>
                    <w:rPr>
                      <w:rFonts w:hint="default" w:ascii="Times New Roman" w:hAnsi="Times New Roman" w:eastAsia="宋体" w:cs="Times New Roman"/>
                      <w:color w:val="auto"/>
                      <w:spacing w:val="0"/>
                      <w:sz w:val="21"/>
                      <w:szCs w:val="21"/>
                      <w:highlight w:val="none"/>
                      <w:lang w:val="en-US" w:eastAsia="zh-CN"/>
                    </w:rPr>
                    <w:t>10.81%</w:t>
                  </w:r>
                </w:p>
              </w:tc>
              <w:tc>
                <w:tcPr>
                  <w:tcW w:w="1483" w:type="dxa"/>
                  <w:tcBorders>
                    <w:tl2br w:val="nil"/>
                    <w:tr2bl w:val="nil"/>
                  </w:tcBorders>
                  <w:noWrap w:val="0"/>
                  <w:vAlign w:val="center"/>
                </w:tcPr>
                <w:p w14:paraId="4751D48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1477" w:type="dxa"/>
                  <w:tcBorders>
                    <w:tl2br w:val="nil"/>
                    <w:tr2bl w:val="nil"/>
                  </w:tcBorders>
                  <w:noWrap w:val="0"/>
                  <w:vAlign w:val="center"/>
                </w:tcPr>
                <w:p w14:paraId="760B8B8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val="en-US" w:eastAsia="zh-CN"/>
                    </w:rPr>
                    <w:t>97.3</w:t>
                  </w:r>
                </w:p>
              </w:tc>
            </w:tr>
            <w:tr w14:paraId="2544DE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8305" w:type="dxa"/>
                  <w:gridSpan w:val="7"/>
                  <w:tcBorders>
                    <w:tl2br w:val="nil"/>
                    <w:tr2bl w:val="nil"/>
                  </w:tcBorders>
                  <w:noWrap w:val="0"/>
                  <w:vAlign w:val="center"/>
                </w:tcPr>
                <w:p w14:paraId="54BE11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备注：</w:t>
                  </w:r>
                  <w:r>
                    <w:rPr>
                      <w:rFonts w:hint="default" w:ascii="Times New Roman" w:hAnsi="Times New Roman" w:eastAsia="宋体" w:cs="Times New Roman"/>
                      <w:color w:val="0000FF"/>
                      <w:sz w:val="21"/>
                      <w:szCs w:val="21"/>
                      <w:highlight w:val="none"/>
                      <w:lang w:val="en-US" w:eastAsia="zh-CN"/>
                    </w:rPr>
                    <w:t>因工期较短，未产生废机油、废润滑油；未产生建筑垃圾，费用降低。</w:t>
                  </w:r>
                  <w:r>
                    <w:rPr>
                      <w:rFonts w:hint="default" w:ascii="Times New Roman" w:hAnsi="Times New Roman" w:eastAsia="宋体" w:cs="Times New Roman"/>
                      <w:color w:val="auto"/>
                      <w:sz w:val="21"/>
                      <w:szCs w:val="21"/>
                      <w:highlight w:val="none"/>
                      <w:lang w:val="en-US" w:eastAsia="zh-CN"/>
                    </w:rPr>
                    <w:t>本项目井深变浅，</w:t>
                  </w:r>
                  <w:r>
                    <w:rPr>
                      <w:rFonts w:hint="default" w:ascii="Times New Roman" w:hAnsi="Times New Roman" w:eastAsia="宋体" w:cs="Times New Roman"/>
                      <w:b w:val="0"/>
                      <w:bCs w:val="0"/>
                      <w:color w:val="auto"/>
                      <w:sz w:val="21"/>
                      <w:szCs w:val="21"/>
                      <w:lang w:val="en-US" w:eastAsia="zh-CN"/>
                    </w:rPr>
                    <w:t>环评预估值较小，</w:t>
                  </w:r>
                  <w:r>
                    <w:rPr>
                      <w:rFonts w:hint="default" w:ascii="Times New Roman" w:hAnsi="Times New Roman" w:eastAsia="宋体" w:cs="Times New Roman"/>
                      <w:color w:val="auto"/>
                      <w:sz w:val="21"/>
                      <w:szCs w:val="21"/>
                      <w:highlight w:val="none"/>
                      <w:lang w:val="en-US" w:eastAsia="zh-CN"/>
                    </w:rPr>
                    <w:t>施工废水、钻井泥浆、岩屑等污染物</w:t>
                  </w:r>
                  <w:r>
                    <w:rPr>
                      <w:rFonts w:hint="default" w:ascii="Times New Roman" w:hAnsi="Times New Roman" w:eastAsia="宋体" w:cs="Times New Roman"/>
                      <w:b w:val="0"/>
                      <w:bCs w:val="0"/>
                      <w:color w:val="auto"/>
                      <w:sz w:val="21"/>
                      <w:szCs w:val="21"/>
                      <w:lang w:val="en-US" w:eastAsia="zh-CN"/>
                    </w:rPr>
                    <w:t>实际产生量</w:t>
                  </w:r>
                  <w:r>
                    <w:rPr>
                      <w:rFonts w:hint="default"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sz w:val="21"/>
                      <w:szCs w:val="21"/>
                      <w:highlight w:val="none"/>
                      <w:lang w:val="en-US" w:eastAsia="zh-CN"/>
                    </w:rPr>
                    <w:t>综上，总投资未变化，实际环保投资增加</w:t>
                  </w:r>
                </w:p>
              </w:tc>
            </w:tr>
          </w:tbl>
          <w:p w14:paraId="4F1B389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6B88C29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本项目建设内容仅为钻井和试油，只涉及施工期，无运营期，因此本次验收仅涉及施工期。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1）废气：扬尘、柴油机废气、试油伴生气及车辆废气。</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2）废水：生产废水（钻井废水、洗井废水、压裂返排液）、初期雨水和生活污水。</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3）噪声：钻机、柴油发电机、泥浆泵、推土机、装载机、打桩机、运输车辆等设备排放的噪声。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4）固体废物：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（废弃钻井泥浆、钻井岩屑（不含油）、纯碱、膨润土废弃包装、废防渗布（不含油）、建筑垃圾、废过硫酸钾包装袋、落地油、废机油、废润滑油、废防渗布（沾落地油）、废含油抹布、含油岩屑及生活垃圾</w:t>
            </w:r>
            <w:r>
              <w:rPr>
                <w:rFonts w:hint="default" w:ascii="Times New Roman" w:hAnsi="Times New Roman" w:eastAsia="宋体" w:cs="Times New Roman"/>
                <w:color w:val="auto"/>
                <w:sz w:val="24"/>
                <w:lang w:val="en-US" w:eastAsia="zh-CN"/>
              </w:rPr>
              <w:t>等</w:t>
            </w:r>
            <w:r>
              <w:rPr>
                <w:rFonts w:hint="default"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5）生态破坏：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2C83806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 xml:space="preserve">破坏、污染土壤：施工期间土方的开挖和回填，改变了土壤结构，进而导致土壤肥力的降低，对植被的生长造成影响。 </w:t>
            </w:r>
          </w:p>
          <w:p w14:paraId="4D640B9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本工程为勘探井项目，井场具有工业开采价值，临时关井，待转产。不涉及运营期污染物排放。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根据现场调查了解，项目在建设过程未发生重大污染或扰民事件，未发生重大生态环境问题。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（1）施工期废气</w:t>
            </w:r>
            <w:r>
              <w:rPr>
                <w:rFonts w:hint="default"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 xml:space="preserve">③ 采用了燃烧效率高的柴油机以及含硫量低的柴油，减少了污染物排放；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63B897BC">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根据试油结果，</w:t>
            </w:r>
            <w:r>
              <w:rPr>
                <w:rFonts w:hint="default"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default"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w:t>
            </w:r>
            <w:r>
              <w:rPr>
                <w:rFonts w:hint="default"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池收集，井下作业完成后，由防渗漏、防溢流的运输车辆统一转移至</w:t>
            </w:r>
            <w:r>
              <w:rPr>
                <w:rFonts w:hint="default"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（3）施工期噪声</w:t>
            </w:r>
            <w:r>
              <w:rPr>
                <w:rFonts w:hint="default"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本工程井场周围地形空旷，根据现场踏勘，施工作业已全部结束，施工机械及运输车辆已全部撤离，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fldChar w:fldCharType="begin"/>
            </w:r>
            <w:r>
              <w:rPr>
                <w:rFonts w:hint="default"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default" w:ascii="Times New Roman" w:hAnsi="Times New Roman" w:eastAsia="宋体" w:cs="Times New Roman"/>
                <w:color w:val="auto"/>
                <w:spacing w:val="0"/>
                <w:w w:val="100"/>
                <w:sz w:val="24"/>
                <w:szCs w:val="24"/>
                <w:highlight w:val="none"/>
                <w:lang w:val="en-US" w:eastAsia="zh-CN" w:bidi="ar-SA"/>
              </w:rPr>
              <w:fldChar w:fldCharType="separate"/>
            </w:r>
            <w:r>
              <w:rPr>
                <w:rFonts w:hint="default" w:ascii="Times New Roman" w:hAnsi="Times New Roman" w:eastAsia="宋体" w:cs="Times New Roman"/>
                <w:color w:val="auto"/>
                <w:spacing w:val="0"/>
                <w:w w:val="100"/>
                <w:sz w:val="24"/>
                <w:szCs w:val="24"/>
                <w:highlight w:val="none"/>
                <w:lang w:val="en-US" w:eastAsia="zh-CN" w:bidi="ar-SA"/>
              </w:rPr>
              <w:t>①</w:t>
            </w:r>
            <w:r>
              <w:rPr>
                <w:rFonts w:hint="default" w:ascii="Times New Roman" w:hAnsi="Times New Roman" w:eastAsia="宋体" w:cs="Times New Roman"/>
                <w:color w:val="auto"/>
                <w:spacing w:val="0"/>
                <w:w w:val="100"/>
                <w:sz w:val="24"/>
                <w:szCs w:val="24"/>
                <w:highlight w:val="none"/>
                <w:lang w:val="en-US" w:eastAsia="zh-CN" w:bidi="ar-SA"/>
              </w:rPr>
              <w:fldChar w:fldCharType="end"/>
            </w:r>
            <w:r>
              <w:rPr>
                <w:rFonts w:hint="default"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fldChar w:fldCharType="begin"/>
            </w:r>
            <w:r>
              <w:rPr>
                <w:rFonts w:hint="default"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default" w:ascii="Times New Roman" w:hAnsi="Times New Roman" w:eastAsia="宋体" w:cs="Times New Roman"/>
                <w:color w:val="auto"/>
                <w:spacing w:val="0"/>
                <w:w w:val="100"/>
                <w:sz w:val="24"/>
                <w:szCs w:val="24"/>
                <w:highlight w:val="none"/>
                <w:lang w:val="en-US" w:eastAsia="zh-CN" w:bidi="ar-SA"/>
              </w:rPr>
              <w:fldChar w:fldCharType="separate"/>
            </w:r>
            <w:r>
              <w:rPr>
                <w:rFonts w:hint="default" w:ascii="Times New Roman" w:hAnsi="Times New Roman" w:eastAsia="宋体" w:cs="Times New Roman"/>
                <w:color w:val="auto"/>
                <w:spacing w:val="0"/>
                <w:w w:val="100"/>
                <w:sz w:val="24"/>
                <w:szCs w:val="24"/>
                <w:highlight w:val="none"/>
                <w:lang w:val="en-US" w:eastAsia="zh-CN" w:bidi="ar-SA"/>
              </w:rPr>
              <w:t>④</w:t>
            </w:r>
            <w:r>
              <w:rPr>
                <w:rFonts w:hint="default" w:ascii="Times New Roman" w:hAnsi="Times New Roman" w:eastAsia="宋体" w:cs="Times New Roman"/>
                <w:color w:val="auto"/>
                <w:spacing w:val="0"/>
                <w:w w:val="100"/>
                <w:sz w:val="24"/>
                <w:szCs w:val="24"/>
                <w:highlight w:val="none"/>
                <w:lang w:val="en-US" w:eastAsia="zh-CN" w:bidi="ar-SA"/>
              </w:rPr>
              <w:fldChar w:fldCharType="end"/>
            </w:r>
            <w:r>
              <w:rPr>
                <w:rFonts w:hint="default"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default"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施工期产生的生活垃圾，设置生活垃圾收集箱，定期运至就近的生活垃圾中转站处理，未产生二次污染。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default"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574A5C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③落地油、</w:t>
            </w:r>
            <w:r>
              <w:rPr>
                <w:rFonts w:hint="default" w:ascii="Times New Roman" w:hAnsi="Times New Roman" w:eastAsia="宋体" w:cs="Times New Roman"/>
                <w:color w:val="auto"/>
                <w:spacing w:val="0"/>
                <w:w w:val="100"/>
                <w:sz w:val="24"/>
                <w:szCs w:val="24"/>
                <w:highlight w:val="none"/>
                <w:lang w:val="en-US" w:eastAsia="zh-CN" w:bidi="ar-SA"/>
              </w:rPr>
              <w:t>废机油、废润滑油、废含油抹布、</w:t>
            </w:r>
            <w:r>
              <w:rPr>
                <w:rFonts w:hint="default" w:ascii="Times New Roman" w:hAnsi="Times New Roman" w:eastAsia="宋体" w:cs="Times New Roman"/>
                <w:bCs/>
                <w:color w:val="auto"/>
                <w:kern w:val="0"/>
                <w:sz w:val="24"/>
                <w:szCs w:val="24"/>
                <w:highlight w:val="none"/>
                <w:lang w:val="en-US" w:eastAsia="zh-CN" w:bidi="ar-SA"/>
              </w:rPr>
              <w:t>被污染的防渗布</w:t>
            </w:r>
            <w:r>
              <w:rPr>
                <w:rFonts w:hint="default" w:ascii="Times New Roman" w:hAnsi="Times New Roman" w:eastAsia="宋体" w:cs="Times New Roman"/>
                <w:color w:val="auto"/>
                <w:spacing w:val="0"/>
                <w:w w:val="100"/>
                <w:sz w:val="24"/>
                <w:szCs w:val="24"/>
                <w:highlight w:val="none"/>
                <w:lang w:val="en-US" w:eastAsia="zh-CN" w:bidi="ar-SA"/>
              </w:rPr>
              <w:t>、过硫酸钾废包装袋、含油岩屑</w:t>
            </w:r>
          </w:p>
          <w:p w14:paraId="3B540C0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钻井施工时间短，未产生废机油、废润滑油，钻井过程产生的落地油、废含油抹布、</w:t>
            </w:r>
            <w:r>
              <w:rPr>
                <w:rFonts w:hint="default" w:ascii="Times New Roman" w:hAnsi="Times New Roman" w:eastAsia="宋体" w:cs="Times New Roman"/>
                <w:bCs/>
                <w:color w:val="auto"/>
                <w:kern w:val="0"/>
                <w:sz w:val="24"/>
                <w:szCs w:val="24"/>
                <w:highlight w:val="none"/>
                <w:lang w:val="en-US" w:eastAsia="zh-CN" w:bidi="ar-SA"/>
              </w:rPr>
              <w:t>被污染的防渗布</w:t>
            </w:r>
            <w:r>
              <w:rPr>
                <w:rFonts w:hint="default" w:ascii="Times New Roman" w:hAnsi="Times New Roman" w:eastAsia="宋体" w:cs="Times New Roman"/>
                <w:color w:val="auto"/>
                <w:spacing w:val="0"/>
                <w:w w:val="100"/>
                <w:sz w:val="24"/>
                <w:szCs w:val="24"/>
                <w:highlight w:val="none"/>
                <w:lang w:val="en-US" w:eastAsia="zh-CN" w:bidi="ar-SA"/>
              </w:rPr>
              <w:t>、过硫酸钾废包装袋、含油岩屑均为危险废物，经收集暂存于临时危废贮存库后，委托庆阳丰泰环保有限责任公司处置，未产生二次污染。</w:t>
            </w:r>
          </w:p>
          <w:p w14:paraId="12D69CF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Times New Roman"/>
                <w:bCs/>
                <w:color w:val="auto"/>
                <w:kern w:val="0"/>
                <w:sz w:val="24"/>
                <w:szCs w:val="24"/>
                <w:highlight w:val="none"/>
                <w:lang w:val="en-US" w:eastAsia="zh-CN" w:bidi="ar-SA"/>
              </w:rPr>
              <w:t>废膨润土、纯碱包装袋、</w:t>
            </w:r>
            <w:r>
              <w:rPr>
                <w:rFonts w:hint="default"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t>项目钻井过程产生的废膨润土、纯碱包装袋、</w:t>
            </w:r>
            <w:r>
              <w:rPr>
                <w:rFonts w:hint="default"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Times New Roman"/>
                <w:bCs/>
                <w:color w:val="auto"/>
                <w:kern w:val="0"/>
                <w:sz w:val="24"/>
                <w:szCs w:val="24"/>
                <w:highlight w:val="none"/>
                <w:lang w:val="en-US" w:eastAsia="zh-CN" w:bidi="ar-SA"/>
              </w:rPr>
              <w:t>为一般工业固废，统一收集后施工单位（</w:t>
            </w:r>
            <w:r>
              <w:rPr>
                <w:rFonts w:hint="eastAsia" w:ascii="Times New Roman" w:hAnsi="Times New Roman" w:eastAsia="宋体" w:cs="Times New Roman"/>
                <w:bCs/>
                <w:color w:val="auto"/>
                <w:kern w:val="0"/>
                <w:sz w:val="24"/>
                <w:szCs w:val="24"/>
                <w:highlight w:val="none"/>
                <w:lang w:val="en-US" w:eastAsia="zh-CN" w:bidi="ar-SA"/>
              </w:rPr>
              <w:t>五普40839HB</w:t>
            </w:r>
            <w:r>
              <w:rPr>
                <w:rFonts w:hint="default" w:ascii="Times New Roman" w:hAnsi="Times New Roman" w:eastAsia="宋体" w:cs="Times New Roman"/>
                <w:bCs/>
                <w:color w:val="auto"/>
                <w:kern w:val="0"/>
                <w:sz w:val="24"/>
                <w:szCs w:val="24"/>
                <w:highlight w:val="none"/>
                <w:lang w:val="en-US" w:eastAsia="zh-CN" w:bidi="ar-SA"/>
              </w:rPr>
              <w:t>）处置。</w:t>
            </w:r>
            <w:r>
              <w:rPr>
                <w:rFonts w:hint="default"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fldChar w:fldCharType="begin"/>
            </w:r>
            <w:r>
              <w:rPr>
                <w:rFonts w:hint="default" w:ascii="Times New Roman" w:hAnsi="Times New Roman" w:eastAsia="宋体" w:cs="Times New Roman"/>
                <w:bCs/>
                <w:color w:val="auto"/>
                <w:kern w:val="0"/>
                <w:sz w:val="24"/>
                <w:szCs w:val="24"/>
                <w:highlight w:val="none"/>
                <w:lang w:val="en-US" w:eastAsia="zh-CN" w:bidi="ar-SA"/>
              </w:rPr>
              <w:instrText xml:space="preserve"> = 5 \* GB3 \* MERGEFORMAT </w:instrText>
            </w:r>
            <w:r>
              <w:rPr>
                <w:rFonts w:hint="default" w:ascii="Times New Roman" w:hAnsi="Times New Roman" w:eastAsia="宋体" w:cs="Times New Roman"/>
                <w:bCs/>
                <w:color w:val="auto"/>
                <w:kern w:val="0"/>
                <w:sz w:val="24"/>
                <w:szCs w:val="24"/>
                <w:highlight w:val="none"/>
                <w:lang w:val="en-US" w:eastAsia="zh-CN" w:bidi="ar-SA"/>
              </w:rPr>
              <w:fldChar w:fldCharType="separate"/>
            </w:r>
            <w:r>
              <w:rPr>
                <w:rFonts w:hint="default" w:ascii="Times New Roman" w:hAnsi="Times New Roman" w:cs="Times New Roman"/>
                <w:color w:val="auto"/>
              </w:rPr>
              <w:t>⑤</w:t>
            </w:r>
            <w:r>
              <w:rPr>
                <w:rFonts w:hint="default" w:ascii="Times New Roman" w:hAnsi="Times New Roman" w:eastAsia="宋体" w:cs="Times New Roman"/>
                <w:bCs/>
                <w:color w:val="auto"/>
                <w:kern w:val="0"/>
                <w:sz w:val="24"/>
                <w:szCs w:val="24"/>
                <w:highlight w:val="none"/>
                <w:lang w:val="en-US" w:eastAsia="zh-CN" w:bidi="ar-SA"/>
              </w:rPr>
              <w:fldChar w:fldCharType="end"/>
            </w:r>
            <w:r>
              <w:rPr>
                <w:rFonts w:hint="default" w:ascii="Times New Roman" w:hAnsi="Times New Roman" w:eastAsia="宋体" w:cs="Times New Roman"/>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kern w:val="0"/>
                <w:sz w:val="24"/>
                <w:szCs w:val="24"/>
                <w:highlight w:val="none"/>
                <w:lang w:val="en-US" w:eastAsia="zh-CN" w:bidi="ar-SA"/>
              </w:rPr>
            </w:pPr>
            <w:r>
              <w:rPr>
                <w:rFonts w:hint="default" w:ascii="Times New Roman" w:hAnsi="Times New Roman" w:eastAsia="宋体" w:cs="Times New Roman"/>
                <w:bCs/>
                <w:color w:val="auto"/>
                <w:kern w:val="0"/>
                <w:sz w:val="24"/>
                <w:szCs w:val="24"/>
                <w:highlight w:val="none"/>
                <w:lang w:val="en-US" w:eastAsia="zh-CN" w:bidi="ar-SA"/>
              </w:rPr>
              <w:t>未产生建筑垃圾。</w:t>
            </w:r>
          </w:p>
          <w:p w14:paraId="611F7B8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default"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eastAsia="zh-CN"/>
              </w:rPr>
              <w:t>表4-5</w:t>
            </w:r>
            <w:r>
              <w:rPr>
                <w:rFonts w:hint="default" w:ascii="Times New Roman" w:hAnsi="Times New Roman" w:eastAsia="宋体" w:cs="Times New Roman"/>
                <w:b/>
                <w:bCs/>
                <w:color w:val="auto"/>
                <w:sz w:val="21"/>
                <w:szCs w:val="21"/>
              </w:rPr>
              <w:t xml:space="preserve">   项目污染物产生</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866"/>
              <w:gridCol w:w="448"/>
              <w:gridCol w:w="794"/>
              <w:gridCol w:w="794"/>
              <w:gridCol w:w="2733"/>
              <w:gridCol w:w="2212"/>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257"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序号</w:t>
                  </w:r>
                </w:p>
              </w:tc>
              <w:tc>
                <w:tcPr>
                  <w:tcW w:w="523"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名称</w:t>
                  </w:r>
                </w:p>
              </w:tc>
              <w:tc>
                <w:tcPr>
                  <w:tcW w:w="270"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单位</w:t>
                  </w:r>
                </w:p>
              </w:tc>
              <w:tc>
                <w:tcPr>
                  <w:tcW w:w="479"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环评阶段预计产生量</w:t>
                  </w:r>
                </w:p>
              </w:tc>
              <w:tc>
                <w:tcPr>
                  <w:tcW w:w="479"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实际产生量</w:t>
                  </w:r>
                </w:p>
              </w:tc>
              <w:tc>
                <w:tcPr>
                  <w:tcW w:w="1651"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处置方式</w:t>
                  </w:r>
                </w:p>
              </w:tc>
              <w:tc>
                <w:tcPr>
                  <w:tcW w:w="1336"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257"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w:t>
                  </w:r>
                </w:p>
              </w:tc>
              <w:tc>
                <w:tcPr>
                  <w:tcW w:w="523"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default" w:ascii="Times New Roman" w:hAnsi="Times New Roman" w:eastAsia="宋体" w:cs="Times New Roman"/>
                      <w:b w:val="0"/>
                      <w:bCs w:val="0"/>
                      <w:color w:val="auto"/>
                      <w:sz w:val="21"/>
                      <w:szCs w:val="21"/>
                      <w:lang w:val="en-US" w:eastAsia="zh-CN"/>
                    </w:rPr>
                    <w:t>施工废液</w:t>
                  </w:r>
                </w:p>
              </w:tc>
              <w:tc>
                <w:tcPr>
                  <w:tcW w:w="270"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eastAsia="zh-CN"/>
                    </w:rPr>
                  </w:pP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321.5</w:t>
                  </w:r>
                </w:p>
              </w:tc>
              <w:tc>
                <w:tcPr>
                  <w:tcW w:w="479"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665.69</w:t>
                  </w:r>
                </w:p>
              </w:tc>
              <w:tc>
                <w:tcPr>
                  <w:tcW w:w="1651"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b w:val="0"/>
                      <w:bCs w:val="0"/>
                      <w:color w:val="auto"/>
                      <w:sz w:val="21"/>
                      <w:szCs w:val="21"/>
                      <w:lang w:val="en-US" w:eastAsia="zh-CN"/>
                    </w:rPr>
                    <w:t>，无外排</w:t>
                  </w:r>
                </w:p>
              </w:tc>
              <w:tc>
                <w:tcPr>
                  <w:tcW w:w="1336"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本项目主体施工工艺和污染防治措施工艺未发生变化，由于钻井深度变深，废液随之增加，但均得到了有效处置，该变化未导致环境影响或环境风险增大，不属于重大变更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2</w:t>
                  </w:r>
                </w:p>
              </w:tc>
              <w:tc>
                <w:tcPr>
                  <w:tcW w:w="523"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生活污水</w:t>
                  </w:r>
                </w:p>
              </w:tc>
              <w:tc>
                <w:tcPr>
                  <w:tcW w:w="270"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38.4</w:t>
                  </w:r>
                </w:p>
              </w:tc>
              <w:tc>
                <w:tcPr>
                  <w:tcW w:w="479"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41</w:t>
                  </w:r>
                </w:p>
              </w:tc>
              <w:tc>
                <w:tcPr>
                  <w:tcW w:w="1651"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井场内设置移动式环保厕所，定期清掏，用于周边农田堆肥；盥洗废水就地泼洒用于施工场地抑尘。</w:t>
                  </w:r>
                  <w:r>
                    <w:rPr>
                      <w:rFonts w:hint="default" w:ascii="Times New Roman" w:hAnsi="Times New Roman" w:eastAsia="宋体" w:cs="Times New Roman"/>
                      <w:b w:val="0"/>
                      <w:bCs w:val="0"/>
                      <w:color w:val="auto"/>
                      <w:sz w:val="21"/>
                      <w:szCs w:val="21"/>
                      <w:lang w:val="en-US" w:eastAsia="zh-CN"/>
                    </w:rPr>
                    <w:t>无外排</w:t>
                  </w:r>
                </w:p>
              </w:tc>
              <w:tc>
                <w:tcPr>
                  <w:tcW w:w="1336"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较环评预估值增加，均得到了有效处置，不属于重大变更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w:t>
                  </w:r>
                </w:p>
              </w:tc>
              <w:tc>
                <w:tcPr>
                  <w:tcW w:w="523"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钻井岩屑、废弃泥浆</w:t>
                  </w:r>
                </w:p>
              </w:tc>
              <w:tc>
                <w:tcPr>
                  <w:tcW w:w="270"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325.12</w:t>
                  </w:r>
                </w:p>
              </w:tc>
              <w:tc>
                <w:tcPr>
                  <w:tcW w:w="479"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5</w:t>
                  </w:r>
                  <w:r>
                    <w:rPr>
                      <w:rFonts w:hint="eastAsia" w:ascii="Times New Roman" w:hAnsi="Times New Roman" w:eastAsia="宋体" w:cs="Times New Roman"/>
                      <w:b w:val="0"/>
                      <w:bCs w:val="0"/>
                      <w:color w:val="auto"/>
                      <w:sz w:val="21"/>
                      <w:szCs w:val="21"/>
                      <w:lang w:val="en-US" w:eastAsia="zh-CN"/>
                    </w:rPr>
                    <w:t>12.14</w:t>
                  </w:r>
                </w:p>
              </w:tc>
              <w:tc>
                <w:tcPr>
                  <w:tcW w:w="1651"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tcBorders>
                    <w:bottom w:val="single" w:color="auto" w:sz="4" w:space="0"/>
                    <w:tl2br w:val="nil"/>
                    <w:tr2bl w:val="nil"/>
                  </w:tcBorders>
                  <w:shd w:val="clear" w:color="auto" w:fill="auto"/>
                  <w:vAlign w:val="center"/>
                </w:tcPr>
                <w:p w14:paraId="07614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default" w:ascii="Times New Roman" w:hAnsi="Times New Roman" w:eastAsia="宋体" w:cs="Times New Roman"/>
                      <w:b w:val="0"/>
                      <w:bCs w:val="0"/>
                      <w:color w:val="auto"/>
                      <w:sz w:val="21"/>
                      <w:szCs w:val="21"/>
                      <w:lang w:val="en-US" w:eastAsia="zh-CN"/>
                    </w:rPr>
                    <w:t>，</w:t>
                  </w:r>
                  <w:r>
                    <w:rPr>
                      <w:rFonts w:hint="default" w:ascii="Times New Roman" w:hAnsi="Times New Roman" w:eastAsia="宋体" w:cs="Times New Roman"/>
                      <w:color w:val="auto"/>
                      <w:sz w:val="21"/>
                      <w:szCs w:val="21"/>
                      <w:lang w:val="en-US" w:eastAsia="zh-CN"/>
                    </w:rPr>
                    <w:t>由于钻井深度变深，固体废物随之增加，但</w:t>
                  </w:r>
                  <w:r>
                    <w:rPr>
                      <w:rFonts w:hint="default" w:ascii="Times New Roman" w:hAnsi="Times New Roman" w:eastAsia="宋体" w:cs="Times New Roman"/>
                      <w:b w:val="0"/>
                      <w:bCs w:val="0"/>
                      <w:color w:val="auto"/>
                      <w:sz w:val="21"/>
                      <w:szCs w:val="21"/>
                      <w:lang w:val="en-US" w:eastAsia="zh-CN"/>
                    </w:rPr>
                    <w:t>均得到了有效处置，未导致环境影响或环境风险增大，未产生二次污染</w:t>
                  </w: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4</w:t>
                  </w:r>
                </w:p>
              </w:tc>
              <w:tc>
                <w:tcPr>
                  <w:tcW w:w="523" w:type="pct"/>
                  <w:tcBorders>
                    <w:tl2br w:val="nil"/>
                    <w:tr2bl w:val="nil"/>
                  </w:tcBorders>
                  <w:vAlign w:val="center"/>
                </w:tcPr>
                <w:p w14:paraId="69EED0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废弃防渗布</w:t>
                  </w:r>
                </w:p>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（未受污染）</w:t>
                  </w:r>
                </w:p>
              </w:tc>
              <w:tc>
                <w:tcPr>
                  <w:tcW w:w="270" w:type="pct"/>
                  <w:tcBorders>
                    <w:tl2br w:val="nil"/>
                    <w:tr2bl w:val="nil"/>
                  </w:tcBorders>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7991492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0.01</w:t>
                  </w:r>
                </w:p>
              </w:tc>
              <w:tc>
                <w:tcPr>
                  <w:tcW w:w="479" w:type="pct"/>
                  <w:tcBorders>
                    <w:tl2br w:val="nil"/>
                    <w:tr2bl w:val="nil"/>
                  </w:tcBorders>
                  <w:shd w:val="clear" w:color="auto" w:fill="auto"/>
                  <w:vAlign w:val="center"/>
                </w:tcPr>
                <w:p w14:paraId="71A5227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w:t>
                  </w:r>
                  <w:r>
                    <w:rPr>
                      <w:rFonts w:hint="default" w:ascii="Times New Roman" w:hAnsi="Times New Roman" w:cs="Times New Roman"/>
                      <w:color w:val="auto"/>
                      <w:sz w:val="21"/>
                      <w:szCs w:val="21"/>
                      <w:lang w:val="en-US" w:eastAsia="zh-CN"/>
                    </w:rPr>
                    <w:t>06</w:t>
                  </w:r>
                </w:p>
              </w:tc>
              <w:tc>
                <w:tcPr>
                  <w:tcW w:w="1651" w:type="pct"/>
                  <w:tcBorders>
                    <w:top w:val="single" w:color="auto" w:sz="4" w:space="0"/>
                    <w:tl2br w:val="nil"/>
                    <w:tr2bl w:val="nil"/>
                  </w:tcBorders>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由施工单位（</w:t>
                  </w:r>
                  <w:r>
                    <w:rPr>
                      <w:rFonts w:hint="eastAsia" w:ascii="Times New Roman" w:hAnsi="Times New Roman" w:eastAsia="宋体" w:cs="Times New Roman"/>
                      <w:color w:val="auto"/>
                      <w:spacing w:val="0"/>
                      <w:sz w:val="21"/>
                      <w:szCs w:val="21"/>
                      <w:highlight w:val="none"/>
                      <w:lang w:val="en-US" w:eastAsia="zh-CN"/>
                    </w:rPr>
                    <w:t>五普40839HB</w:t>
                  </w:r>
                  <w:r>
                    <w:rPr>
                      <w:rFonts w:hint="default" w:ascii="Times New Roman" w:hAnsi="Times New Roman" w:eastAsia="宋体" w:cs="Times New Roman"/>
                      <w:color w:val="auto"/>
                      <w:spacing w:val="0"/>
                      <w:sz w:val="21"/>
                      <w:szCs w:val="21"/>
                      <w:highlight w:val="none"/>
                      <w:lang w:val="en-US" w:eastAsia="zh-CN"/>
                    </w:rPr>
                    <w:t>）处置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固体废物产生量较环评预估值减少，均得到了有效处置，该变化未导致环境影响或环境风险增大，未产生二次污染。不属于重大变更</w:t>
                  </w: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5</w:t>
                  </w:r>
                </w:p>
              </w:tc>
              <w:tc>
                <w:tcPr>
                  <w:tcW w:w="523" w:type="pct"/>
                  <w:tcBorders>
                    <w:tl2br w:val="nil"/>
                    <w:tr2bl w:val="nil"/>
                  </w:tcBorders>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0" w:type="pct"/>
                  <w:tcBorders>
                    <w:tl2br w:val="nil"/>
                    <w:tr2bl w:val="nil"/>
                  </w:tcBorders>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0.001</w:t>
                  </w:r>
                </w:p>
              </w:tc>
              <w:tc>
                <w:tcPr>
                  <w:tcW w:w="479" w:type="pct"/>
                  <w:tcBorders>
                    <w:tl2br w:val="nil"/>
                    <w:tr2bl w:val="nil"/>
                  </w:tcBorders>
                  <w:shd w:val="clear" w:color="auto" w:fill="auto"/>
                  <w:vAlign w:val="center"/>
                </w:tcPr>
                <w:p w14:paraId="77D0DFA1">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0.00</w:t>
                  </w:r>
                  <w:r>
                    <w:rPr>
                      <w:rFonts w:hint="default" w:ascii="Times New Roman" w:hAnsi="Times New Roman" w:cs="Times New Roman"/>
                      <w:color w:val="auto"/>
                      <w:sz w:val="21"/>
                      <w:szCs w:val="21"/>
                      <w:lang w:val="en-US" w:eastAsia="zh-CN"/>
                    </w:rPr>
                    <w:t>15</w:t>
                  </w:r>
                </w:p>
              </w:tc>
              <w:tc>
                <w:tcPr>
                  <w:tcW w:w="1651" w:type="pct"/>
                  <w:tcBorders>
                    <w:tl2br w:val="nil"/>
                    <w:tr2bl w:val="nil"/>
                  </w:tcBorders>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6</w:t>
                  </w:r>
                </w:p>
              </w:tc>
              <w:tc>
                <w:tcPr>
                  <w:tcW w:w="523" w:type="pct"/>
                  <w:tcBorders>
                    <w:tl2br w:val="nil"/>
                    <w:tr2bl w:val="nil"/>
                  </w:tcBorders>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0" w:type="pct"/>
                  <w:tcBorders>
                    <w:tl2br w:val="nil"/>
                    <w:tr2bl w:val="nil"/>
                  </w:tcBorders>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DCF4FB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0.2</w:t>
                  </w:r>
                </w:p>
              </w:tc>
              <w:tc>
                <w:tcPr>
                  <w:tcW w:w="479"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0.03</w:t>
                  </w:r>
                </w:p>
              </w:tc>
              <w:tc>
                <w:tcPr>
                  <w:tcW w:w="1651" w:type="pct"/>
                  <w:tcBorders>
                    <w:tl2br w:val="nil"/>
                    <w:tr2bl w:val="nil"/>
                  </w:tcBorders>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584CC8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A25CB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7</w:t>
                  </w:r>
                </w:p>
              </w:tc>
              <w:tc>
                <w:tcPr>
                  <w:tcW w:w="523" w:type="pct"/>
                  <w:tcBorders>
                    <w:tl2br w:val="nil"/>
                    <w:tr2bl w:val="nil"/>
                  </w:tcBorders>
                  <w:shd w:val="clear" w:color="auto" w:fill="auto"/>
                  <w:vAlign w:val="center"/>
                </w:tcPr>
                <w:p w14:paraId="0C1820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0" w:type="pct"/>
                  <w:tcBorders>
                    <w:tl2br w:val="nil"/>
                    <w:tr2bl w:val="nil"/>
                  </w:tcBorders>
                  <w:shd w:val="clear" w:color="auto" w:fill="auto"/>
                  <w:vAlign w:val="center"/>
                </w:tcPr>
                <w:p w14:paraId="645E7D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75F4E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0.0005</w:t>
                  </w:r>
                </w:p>
              </w:tc>
              <w:tc>
                <w:tcPr>
                  <w:tcW w:w="479" w:type="pct"/>
                  <w:tcBorders>
                    <w:tl2br w:val="nil"/>
                    <w:tr2bl w:val="nil"/>
                  </w:tcBorders>
                  <w:shd w:val="clear" w:color="auto" w:fill="auto"/>
                  <w:vAlign w:val="center"/>
                </w:tcPr>
                <w:p w14:paraId="2DCD2F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0.0002</w:t>
                  </w:r>
                </w:p>
              </w:tc>
              <w:tc>
                <w:tcPr>
                  <w:tcW w:w="1651" w:type="pct"/>
                  <w:tcBorders>
                    <w:tl2br w:val="nil"/>
                    <w:tr2bl w:val="nil"/>
                  </w:tcBorders>
                  <w:shd w:val="clear" w:color="auto" w:fill="auto"/>
                  <w:vAlign w:val="center"/>
                </w:tcPr>
                <w:p w14:paraId="24498B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由施工单位（</w:t>
                  </w:r>
                  <w:r>
                    <w:rPr>
                      <w:rFonts w:hint="eastAsia" w:ascii="Times New Roman" w:hAnsi="Times New Roman" w:eastAsia="宋体" w:cs="Times New Roman"/>
                      <w:color w:val="auto"/>
                      <w:spacing w:val="0"/>
                      <w:sz w:val="21"/>
                      <w:szCs w:val="21"/>
                      <w:highlight w:val="none"/>
                      <w:lang w:val="en-US" w:eastAsia="zh-CN"/>
                    </w:rPr>
                    <w:t>五普40839HB</w:t>
                  </w:r>
                  <w:r>
                    <w:rPr>
                      <w:rFonts w:hint="default" w:ascii="Times New Roman" w:hAnsi="Times New Roman" w:eastAsia="宋体" w:cs="Times New Roman"/>
                      <w:color w:val="auto"/>
                      <w:spacing w:val="0"/>
                      <w:sz w:val="21"/>
                      <w:szCs w:val="21"/>
                      <w:highlight w:val="none"/>
                      <w:lang w:val="en-US" w:eastAsia="zh-CN"/>
                    </w:rPr>
                    <w:t>）处置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540CC5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E3B84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05EA1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8</w:t>
                  </w:r>
                </w:p>
              </w:tc>
              <w:tc>
                <w:tcPr>
                  <w:tcW w:w="523" w:type="pct"/>
                  <w:tcBorders>
                    <w:tl2br w:val="nil"/>
                    <w:tr2bl w:val="nil"/>
                  </w:tcBorders>
                  <w:shd w:val="clear" w:color="auto" w:fill="auto"/>
                  <w:vAlign w:val="center"/>
                </w:tcPr>
                <w:p w14:paraId="3EDF1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废过硫酸钾包装袋</w:t>
                  </w:r>
                </w:p>
              </w:tc>
              <w:tc>
                <w:tcPr>
                  <w:tcW w:w="270" w:type="pct"/>
                  <w:tcBorders>
                    <w:tl2br w:val="nil"/>
                    <w:tr2bl w:val="nil"/>
                  </w:tcBorders>
                  <w:shd w:val="clear" w:color="auto" w:fill="auto"/>
                  <w:vAlign w:val="center"/>
                </w:tcPr>
                <w:p w14:paraId="733BE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51124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0.0005</w:t>
                  </w:r>
                </w:p>
              </w:tc>
              <w:tc>
                <w:tcPr>
                  <w:tcW w:w="479" w:type="pct"/>
                  <w:tcBorders>
                    <w:tl2br w:val="nil"/>
                    <w:tr2bl w:val="nil"/>
                  </w:tcBorders>
                  <w:shd w:val="clear" w:color="auto" w:fill="auto"/>
                  <w:vAlign w:val="center"/>
                </w:tcPr>
                <w:p w14:paraId="3342D1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0.0004</w:t>
                  </w:r>
                </w:p>
              </w:tc>
              <w:tc>
                <w:tcPr>
                  <w:tcW w:w="1651" w:type="pct"/>
                  <w:tcBorders>
                    <w:tl2br w:val="nil"/>
                    <w:tr2bl w:val="nil"/>
                  </w:tcBorders>
                  <w:shd w:val="clear" w:color="auto" w:fill="auto"/>
                  <w:vAlign w:val="center"/>
                </w:tcPr>
                <w:p w14:paraId="4AF27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03EE7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0707D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51E50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9</w:t>
                  </w:r>
                </w:p>
              </w:tc>
              <w:tc>
                <w:tcPr>
                  <w:tcW w:w="523" w:type="pct"/>
                  <w:tcBorders>
                    <w:tl2br w:val="nil"/>
                    <w:tr2bl w:val="nil"/>
                  </w:tcBorders>
                  <w:shd w:val="clear" w:color="auto" w:fill="auto"/>
                  <w:vAlign w:val="center"/>
                </w:tcPr>
                <w:p w14:paraId="049C6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0" w:type="pct"/>
                  <w:tcBorders>
                    <w:tl2br w:val="nil"/>
                    <w:tr2bl w:val="nil"/>
                  </w:tcBorders>
                  <w:shd w:val="clear" w:color="auto" w:fill="auto"/>
                  <w:vAlign w:val="center"/>
                </w:tcPr>
                <w:p w14:paraId="124C0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2147667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0.01</w:t>
                  </w:r>
                </w:p>
              </w:tc>
              <w:tc>
                <w:tcPr>
                  <w:tcW w:w="479" w:type="pct"/>
                  <w:tcBorders>
                    <w:tl2br w:val="nil"/>
                    <w:tr2bl w:val="nil"/>
                  </w:tcBorders>
                  <w:shd w:val="clear" w:color="auto" w:fill="auto"/>
                  <w:vAlign w:val="center"/>
                </w:tcPr>
                <w:p w14:paraId="779BF5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0.004</w:t>
                  </w:r>
                </w:p>
              </w:tc>
              <w:tc>
                <w:tcPr>
                  <w:tcW w:w="1651" w:type="pct"/>
                  <w:tcBorders>
                    <w:tl2br w:val="nil"/>
                    <w:tr2bl w:val="nil"/>
                  </w:tcBorders>
                  <w:shd w:val="clear" w:color="auto" w:fill="auto"/>
                  <w:vAlign w:val="center"/>
                </w:tcPr>
                <w:p w14:paraId="5EB35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03CC9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6CB1D3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61B9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10</w:t>
                  </w:r>
                </w:p>
              </w:tc>
              <w:tc>
                <w:tcPr>
                  <w:tcW w:w="523" w:type="pct"/>
                  <w:tcBorders>
                    <w:tl2br w:val="nil"/>
                    <w:tr2bl w:val="nil"/>
                  </w:tcBorders>
                  <w:shd w:val="clear" w:color="auto" w:fill="auto"/>
                  <w:vAlign w:val="center"/>
                </w:tcPr>
                <w:p w14:paraId="6DF89B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含油岩屑</w:t>
                  </w:r>
                </w:p>
              </w:tc>
              <w:tc>
                <w:tcPr>
                  <w:tcW w:w="270" w:type="pct"/>
                  <w:tcBorders>
                    <w:tl2br w:val="nil"/>
                    <w:tr2bl w:val="nil"/>
                  </w:tcBorders>
                  <w:shd w:val="clear" w:color="auto" w:fill="auto"/>
                  <w:vAlign w:val="center"/>
                </w:tcPr>
                <w:p w14:paraId="413D37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5523783">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lang w:val="en-US" w:eastAsia="zh-CN"/>
                    </w:rPr>
                    <w:t>7.5</w:t>
                  </w:r>
                </w:p>
              </w:tc>
              <w:tc>
                <w:tcPr>
                  <w:tcW w:w="479" w:type="pct"/>
                  <w:tcBorders>
                    <w:tl2br w:val="nil"/>
                    <w:tr2bl w:val="nil"/>
                  </w:tcBorders>
                  <w:shd w:val="clear" w:color="auto" w:fill="auto"/>
                  <w:vAlign w:val="center"/>
                </w:tcPr>
                <w:p w14:paraId="45D51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1.5</w:t>
                  </w:r>
                </w:p>
              </w:tc>
              <w:tc>
                <w:tcPr>
                  <w:tcW w:w="1651" w:type="pct"/>
                  <w:tcBorders>
                    <w:tl2br w:val="nil"/>
                    <w:tr2bl w:val="nil"/>
                  </w:tcBorders>
                  <w:shd w:val="clear" w:color="auto" w:fill="auto"/>
                  <w:vAlign w:val="center"/>
                </w:tcPr>
                <w:p w14:paraId="42890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暂存于临时危废贮存库后，委托庆阳丰泰环保有限责任公司进行安全处置</w:t>
                  </w:r>
                  <w:r>
                    <w:rPr>
                      <w:rFonts w:hint="default" w:ascii="Times New Roman" w:hAnsi="Times New Roman" w:eastAsia="宋体" w:cs="Times New Roman"/>
                      <w:b w:val="0"/>
                      <w:bCs w:val="0"/>
                      <w:color w:val="auto"/>
                      <w:sz w:val="21"/>
                      <w:szCs w:val="21"/>
                      <w:lang w:val="en-US" w:eastAsia="zh-CN"/>
                    </w:rPr>
                    <w:t>。未产生二次污染</w:t>
                  </w:r>
                </w:p>
              </w:tc>
              <w:tc>
                <w:tcPr>
                  <w:tcW w:w="1336" w:type="pct"/>
                  <w:vMerge w:val="continue"/>
                  <w:tcBorders>
                    <w:tl2br w:val="nil"/>
                    <w:tr2bl w:val="nil"/>
                  </w:tcBorders>
                  <w:shd w:val="clear" w:color="auto" w:fill="auto"/>
                  <w:vAlign w:val="center"/>
                </w:tcPr>
                <w:p w14:paraId="4584BE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11</w:t>
                  </w:r>
                </w:p>
              </w:tc>
              <w:tc>
                <w:tcPr>
                  <w:tcW w:w="523" w:type="pct"/>
                  <w:tcBorders>
                    <w:tl2br w:val="nil"/>
                    <w:tr2bl w:val="nil"/>
                  </w:tcBorders>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废机油、废润滑油</w:t>
                  </w:r>
                </w:p>
              </w:tc>
              <w:tc>
                <w:tcPr>
                  <w:tcW w:w="270" w:type="pct"/>
                  <w:tcBorders>
                    <w:tl2br w:val="nil"/>
                    <w:tr2bl w:val="nil"/>
                  </w:tcBorders>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BBEB7D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0.01</w:t>
                  </w:r>
                </w:p>
              </w:tc>
              <w:tc>
                <w:tcPr>
                  <w:tcW w:w="479"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w:t>
                  </w:r>
                </w:p>
              </w:tc>
              <w:tc>
                <w:tcPr>
                  <w:tcW w:w="1651" w:type="pct"/>
                  <w:tcBorders>
                    <w:tl2br w:val="nil"/>
                    <w:tr2bl w:val="nil"/>
                  </w:tcBorders>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 w:val="0"/>
                      <w:bCs w:val="0"/>
                      <w:color w:val="auto"/>
                      <w:sz w:val="21"/>
                      <w:szCs w:val="21"/>
                      <w:lang w:val="en-US" w:eastAsia="zh-CN"/>
                    </w:rPr>
                    <w:t>未产生</w:t>
                  </w:r>
                </w:p>
              </w:tc>
              <w:tc>
                <w:tcPr>
                  <w:tcW w:w="1336" w:type="pct"/>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工期较短，未产生</w:t>
                  </w:r>
                  <w:r>
                    <w:rPr>
                      <w:rFonts w:hint="default" w:ascii="Times New Roman" w:hAnsi="Times New Roman" w:eastAsia="宋体" w:cs="Times New Roman"/>
                      <w:color w:val="auto"/>
                      <w:spacing w:val="0"/>
                      <w:sz w:val="21"/>
                      <w:szCs w:val="21"/>
                      <w:highlight w:val="none"/>
                      <w:lang w:val="en-US" w:eastAsia="zh-CN"/>
                    </w:rPr>
                    <w:t>废机油、废润滑油</w:t>
                  </w: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12</w:t>
                  </w:r>
                </w:p>
              </w:tc>
              <w:tc>
                <w:tcPr>
                  <w:tcW w:w="523"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0"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b w:val="0"/>
                      <w:bCs w:val="0"/>
                      <w:color w:val="auto"/>
                      <w:sz w:val="21"/>
                      <w:szCs w:val="21"/>
                      <w:lang w:val="en-US" w:eastAsia="zh-CN" w:bidi="ar-SA"/>
                    </w:rPr>
                    <w:t>少量</w:t>
                  </w:r>
                </w:p>
              </w:tc>
              <w:tc>
                <w:tcPr>
                  <w:tcW w:w="479"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w:t>
                  </w:r>
                </w:p>
              </w:tc>
              <w:tc>
                <w:tcPr>
                  <w:tcW w:w="1651"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未产生</w:t>
                  </w:r>
                </w:p>
              </w:tc>
              <w:tc>
                <w:tcPr>
                  <w:tcW w:w="1336" w:type="pct"/>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w:t>
                  </w: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0" w:type="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13</w:t>
                  </w:r>
                </w:p>
              </w:tc>
              <w:tc>
                <w:tcPr>
                  <w:tcW w:w="523" w:type="pct"/>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0" w:type="pct"/>
                  <w:vAlign w:val="center"/>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rPr>
                    <w:t>t</w:t>
                  </w:r>
                </w:p>
              </w:tc>
              <w:tc>
                <w:tcPr>
                  <w:tcW w:w="0" w:type="auto"/>
                  <w:shd w:val="clear" w:color="auto" w:fill="auto"/>
                  <w:vAlign w:val="center"/>
                </w:tcPr>
                <w:p w14:paraId="40B0106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lang w:val="en-US" w:eastAsia="zh-CN"/>
                    </w:rPr>
                    <w:t>0.2</w:t>
                  </w:r>
                </w:p>
              </w:tc>
              <w:tc>
                <w:tcPr>
                  <w:tcW w:w="0" w:type="auto"/>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0.3</w:t>
                  </w:r>
                </w:p>
              </w:tc>
              <w:tc>
                <w:tcPr>
                  <w:tcW w:w="1651" w:type="pct"/>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井场设置垃圾收集箱，经收集后运至就近的垃圾中转站处理，未产生二次污染</w:t>
                  </w:r>
                </w:p>
              </w:tc>
              <w:tc>
                <w:tcPr>
                  <w:tcW w:w="1336" w:type="pct"/>
                  <w:shd w:val="clear" w:color="auto" w:fill="auto"/>
                  <w:vAlign w:val="center"/>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较环评预估值增加，均得到了有效处置，不属于重大变更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default"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default"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4EC792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 xml:space="preserve">施工结束后，对施工场地进行了及时回填，平整地面，并覆土进行了井场四周植被恢复； </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103796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井场具有工业开采价值，临时关井，待转产。本次竣工环保验收调查仅针对勘探井钻井及试油工程。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（8）风险防范措施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根据现场调查及了解，施工期建设单位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default"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针对可能发生的石油泄漏事故制定了相关的风险防范措施并进行了落实，定期组织进行学习与培训；同时</w:t>
            </w:r>
            <w:r>
              <w:rPr>
                <w:rFonts w:hint="default"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也认真制定了突发环境事件应急预案，并于</w:t>
            </w:r>
            <w:r>
              <w:rPr>
                <w:rFonts w:hint="eastAsia" w:ascii="Times New Roman" w:hAnsi="Times New Roman" w:eastAsia="宋体" w:cs="Times New Roman"/>
                <w:color w:val="auto"/>
                <w:spacing w:val="0"/>
                <w:w w:val="100"/>
                <w:sz w:val="24"/>
                <w:szCs w:val="24"/>
                <w:highlight w:val="none"/>
                <w:lang w:val="en-US" w:eastAsia="zh-CN" w:bidi="ar-SA"/>
              </w:rPr>
              <w:t>2023年1月11日</w:t>
            </w:r>
            <w:r>
              <w:rPr>
                <w:rFonts w:hint="default" w:ascii="Times New Roman" w:hAnsi="Times New Roman" w:eastAsia="宋体" w:cs="Times New Roman"/>
                <w:color w:val="auto"/>
                <w:spacing w:val="0"/>
                <w:w w:val="100"/>
                <w:sz w:val="24"/>
                <w:szCs w:val="24"/>
                <w:highlight w:val="none"/>
                <w:lang w:val="en-US" w:eastAsia="zh-CN" w:bidi="ar-SA"/>
              </w:rPr>
              <w:t>取得了庆阳市生态环境局</w:t>
            </w:r>
            <w:r>
              <w:rPr>
                <w:rFonts w:hint="eastAsia" w:ascii="Times New Roman" w:hAnsi="Times New Roman" w:eastAsia="宋体" w:cs="Times New Roman"/>
                <w:color w:val="auto"/>
                <w:spacing w:val="0"/>
                <w:w w:val="100"/>
                <w:sz w:val="24"/>
                <w:szCs w:val="24"/>
                <w:highlight w:val="none"/>
                <w:lang w:val="en-US" w:eastAsia="zh-CN" w:bidi="ar-SA"/>
              </w:rPr>
              <w:t>宁县分局</w:t>
            </w:r>
            <w:r>
              <w:rPr>
                <w:rFonts w:hint="default" w:ascii="Times New Roman" w:hAnsi="Times New Roman" w:eastAsia="宋体" w:cs="Times New Roman"/>
                <w:color w:val="auto"/>
                <w:spacing w:val="0"/>
                <w:w w:val="100"/>
                <w:sz w:val="24"/>
                <w:szCs w:val="24"/>
                <w:highlight w:val="none"/>
                <w:lang w:val="en-US" w:eastAsia="zh-CN" w:bidi="ar-SA"/>
              </w:rPr>
              <w:t>备案文件（见附件），本项目针对预案中相关应急措施进行定期演练。该应急预案修编日期为</w:t>
            </w:r>
            <w:r>
              <w:rPr>
                <w:rFonts w:hint="eastAsia" w:ascii="Times New Roman" w:hAnsi="Times New Roman" w:eastAsia="宋体" w:cs="Times New Roman"/>
                <w:color w:val="auto"/>
                <w:spacing w:val="0"/>
                <w:w w:val="100"/>
                <w:sz w:val="24"/>
                <w:szCs w:val="24"/>
                <w:highlight w:val="none"/>
                <w:lang w:val="en-US" w:eastAsia="zh-CN" w:bidi="ar-SA"/>
              </w:rPr>
              <w:t>2026年1月11日</w:t>
            </w:r>
            <w:r>
              <w:rPr>
                <w:rFonts w:hint="default" w:ascii="Times New Roman" w:hAnsi="Times New Roman" w:eastAsia="宋体" w:cs="Times New Roman"/>
                <w:color w:val="auto"/>
                <w:spacing w:val="0"/>
                <w:w w:val="100"/>
                <w:sz w:val="24"/>
                <w:szCs w:val="24"/>
                <w:highlight w:val="none"/>
                <w:lang w:val="en-US" w:eastAsia="zh-CN" w:bidi="ar-SA"/>
              </w:rPr>
              <w:t>，在本项目验收时间范围内。</w:t>
            </w:r>
          </w:p>
          <w:p w14:paraId="590B72EE">
            <w:pPr>
              <w:keepNext w:val="0"/>
              <w:keepLines w:val="0"/>
              <w:widowControl w:val="0"/>
              <w:suppressLineNumbers w:val="0"/>
              <w:spacing w:before="0" w:beforeAutospacing="0" w:afterAutospacing="0"/>
              <w:ind w:left="0" w:right="0" w:firstLine="480" w:firstLineChars="200"/>
              <w:jc w:val="both"/>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sz w:val="24"/>
                <w:szCs w:val="24"/>
                <w:highlight w:val="none"/>
                <w:lang w:val="en-US" w:eastAsia="zh-CN" w:bidi="ar-SA"/>
              </w:rPr>
              <w:t>目前，井场临时关井，待转产，未发生过井漏、井喷的情况。</w:t>
            </w:r>
          </w:p>
          <w:p w14:paraId="77C1AB58">
            <w:pPr>
              <w:pStyle w:val="5"/>
              <w:widowControl w:val="0"/>
              <w:suppressLineNumbers w:val="0"/>
              <w:spacing w:before="0"/>
              <w:ind w:left="0" w:right="0"/>
              <w:jc w:val="both"/>
              <w:rPr>
                <w:rFonts w:hint="default" w:ascii="Times New Roman" w:hAnsi="Times New Roman" w:cs="Times New Roman"/>
                <w:color w:val="auto"/>
                <w:lang w:val="en-US" w:eastAsia="zh-CN"/>
              </w:rPr>
            </w:pPr>
          </w:p>
          <w:p w14:paraId="465D3FAB">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67938410">
            <w:pPr>
              <w:pStyle w:val="5"/>
              <w:widowControl w:val="0"/>
              <w:suppressLineNumbers w:val="0"/>
              <w:spacing w:before="0"/>
              <w:ind w:left="0" w:right="0"/>
              <w:jc w:val="both"/>
              <w:rPr>
                <w:rFonts w:hint="default" w:ascii="Times New Roman" w:hAnsi="Times New Roman" w:cs="Times New Roman"/>
                <w:color w:val="auto"/>
                <w:lang w:val="en-US" w:eastAsia="zh-CN"/>
              </w:rPr>
            </w:pPr>
          </w:p>
          <w:p w14:paraId="4EA1E569">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11D3BB83">
            <w:pPr>
              <w:pStyle w:val="5"/>
              <w:widowControl w:val="0"/>
              <w:suppressLineNumbers w:val="0"/>
              <w:spacing w:before="0"/>
              <w:ind w:left="0" w:right="0"/>
              <w:jc w:val="both"/>
              <w:rPr>
                <w:rFonts w:hint="default" w:ascii="Times New Roman" w:hAnsi="Times New Roman" w:cs="Times New Roman"/>
                <w:color w:val="auto"/>
                <w:lang w:val="en-US" w:eastAsia="zh-CN"/>
              </w:rPr>
            </w:pPr>
          </w:p>
          <w:p w14:paraId="646AEBF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CF0751E">
            <w:pPr>
              <w:pStyle w:val="5"/>
              <w:widowControl w:val="0"/>
              <w:suppressLineNumbers w:val="0"/>
              <w:spacing w:before="0"/>
              <w:ind w:left="0" w:right="0"/>
              <w:jc w:val="both"/>
              <w:rPr>
                <w:rFonts w:hint="default" w:ascii="Times New Roman" w:hAnsi="Times New Roman" w:cs="Times New Roman"/>
                <w:color w:val="auto"/>
                <w:lang w:val="en-US" w:eastAsia="zh-CN"/>
              </w:rPr>
            </w:pPr>
          </w:p>
          <w:p w14:paraId="2E492EAE">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FBD5EF7">
            <w:pPr>
              <w:pStyle w:val="5"/>
              <w:widowControl w:val="0"/>
              <w:suppressLineNumbers w:val="0"/>
              <w:spacing w:before="0"/>
              <w:ind w:left="0" w:right="0"/>
              <w:jc w:val="both"/>
              <w:rPr>
                <w:rFonts w:hint="default" w:ascii="Times New Roman" w:hAnsi="Times New Roman" w:cs="Times New Roman"/>
                <w:color w:val="auto"/>
                <w:lang w:val="en-US" w:eastAsia="zh-CN"/>
              </w:rPr>
            </w:pPr>
          </w:p>
          <w:p w14:paraId="4090FD9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37A3D22D">
            <w:pPr>
              <w:pStyle w:val="5"/>
              <w:widowControl w:val="0"/>
              <w:suppressLineNumbers w:val="0"/>
              <w:spacing w:before="0"/>
              <w:ind w:left="0" w:right="0"/>
              <w:jc w:val="both"/>
              <w:rPr>
                <w:rFonts w:hint="default" w:ascii="Times New Roman" w:hAnsi="Times New Roman" w:cs="Times New Roman"/>
                <w:color w:val="auto"/>
                <w:lang w:val="en-US" w:eastAsia="zh-CN"/>
              </w:rPr>
            </w:pPr>
          </w:p>
          <w:p w14:paraId="41B9D08B">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69806AAA">
            <w:pPr>
              <w:pStyle w:val="5"/>
              <w:widowControl w:val="0"/>
              <w:suppressLineNumbers w:val="0"/>
              <w:spacing w:before="0"/>
              <w:ind w:left="0" w:right="0"/>
              <w:jc w:val="both"/>
              <w:rPr>
                <w:rFonts w:hint="default" w:ascii="Times New Roman" w:hAnsi="Times New Roman" w:cs="Times New Roman"/>
                <w:color w:val="auto"/>
                <w:lang w:val="en-US" w:eastAsia="zh-CN"/>
              </w:rPr>
            </w:pPr>
          </w:p>
          <w:p w14:paraId="7656C5C5">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79771100">
            <w:pPr>
              <w:pStyle w:val="5"/>
              <w:widowControl w:val="0"/>
              <w:suppressLineNumbers w:val="0"/>
              <w:spacing w:before="0"/>
              <w:ind w:left="0" w:right="0"/>
              <w:jc w:val="both"/>
              <w:rPr>
                <w:rFonts w:hint="default" w:ascii="Times New Roman" w:hAnsi="Times New Roman" w:cs="Times New Roman"/>
                <w:color w:val="auto"/>
                <w:lang w:val="en-US" w:eastAsia="zh-CN"/>
              </w:rPr>
            </w:pPr>
          </w:p>
          <w:p w14:paraId="6DE49521">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1CA08901">
            <w:pPr>
              <w:pStyle w:val="5"/>
              <w:widowControl w:val="0"/>
              <w:suppressLineNumbers w:val="0"/>
              <w:spacing w:before="0"/>
              <w:ind w:left="0" w:right="0"/>
              <w:jc w:val="both"/>
              <w:rPr>
                <w:rFonts w:hint="default" w:ascii="Times New Roman" w:hAnsi="Times New Roman" w:cs="Times New Roman"/>
                <w:color w:val="auto"/>
                <w:lang w:val="en-US" w:eastAsia="zh-CN"/>
              </w:rPr>
            </w:pPr>
          </w:p>
          <w:p w14:paraId="208EAB88">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6A66670A">
            <w:pPr>
              <w:pStyle w:val="5"/>
              <w:widowControl w:val="0"/>
              <w:suppressLineNumbers w:val="0"/>
              <w:spacing w:before="0"/>
              <w:ind w:left="0" w:right="0"/>
              <w:jc w:val="both"/>
              <w:rPr>
                <w:rFonts w:hint="default" w:ascii="Times New Roman" w:hAnsi="Times New Roman" w:cs="Times New Roman"/>
                <w:color w:val="auto"/>
                <w:lang w:val="en-US" w:eastAsia="zh-CN"/>
              </w:rPr>
            </w:pPr>
          </w:p>
          <w:p w14:paraId="15A86240">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03D9F6A">
            <w:pPr>
              <w:pStyle w:val="5"/>
              <w:widowControl w:val="0"/>
              <w:suppressLineNumbers w:val="0"/>
              <w:spacing w:before="0"/>
              <w:ind w:left="0" w:right="0"/>
              <w:jc w:val="both"/>
              <w:rPr>
                <w:rFonts w:hint="default" w:ascii="Times New Roman" w:hAnsi="Times New Roman" w:cs="Times New Roman"/>
                <w:color w:val="auto"/>
                <w:lang w:val="en-US" w:eastAsia="zh-CN"/>
              </w:rPr>
            </w:pPr>
          </w:p>
          <w:p w14:paraId="53ABA41D">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0A08C378">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6" w:name="_Toc12219"/>
      <w:r>
        <w:rPr>
          <w:rFonts w:hint="default"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pacing w:val="0"/>
                <w:highlight w:val="none"/>
                <w:lang w:val="en-US" w:eastAsia="zh-CN"/>
              </w:rPr>
            </w:pPr>
            <w:r>
              <w:rPr>
                <w:rFonts w:hint="default"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default" w:ascii="Times New Roman" w:hAnsi="Times New Roman" w:eastAsia="宋体" w:cs="Times New Roman"/>
                <w:color w:val="auto"/>
                <w:sz w:val="24"/>
                <w:szCs w:val="32"/>
                <w:lang w:val="en-US" w:eastAsia="zh-CN"/>
              </w:rPr>
            </w:pPr>
            <w:r>
              <w:rPr>
                <w:rFonts w:hint="default" w:ascii="Times New Roman" w:hAnsi="Times New Roman" w:eastAsia="宋体" w:cs="Times New Roman"/>
                <w:color w:val="auto"/>
                <w:sz w:val="24"/>
                <w:szCs w:val="32"/>
                <w:lang w:val="en-US" w:eastAsia="zh-CN"/>
              </w:rPr>
              <w:t>根据庆阳衡安环保工程有限公司于2022年9月编制的《和2H井场建设项目》中关于项目施工期生态、声、大气、水、固体废物等环境影响的分析，本次环境影响评价回顾如下：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default" w:ascii="Times New Roman" w:hAnsi="Times New Roman" w:eastAsia="宋体" w:cs="Times New Roman"/>
                <w:b/>
                <w:bCs/>
                <w:color w:val="auto"/>
                <w:spacing w:val="0"/>
                <w:highlight w:val="none"/>
                <w:lang w:val="en-US" w:eastAsia="zh-CN"/>
              </w:rPr>
            </w:pPr>
            <w:r>
              <w:rPr>
                <w:rFonts w:hint="default"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本项目主要建设1宗勘探井，建设内容包括钻前工程（建设内容主要为井场的平整、临时办公生活区的建设等）、钻井工程（建设内容主要为钻井、测井、录井、固井等）及完井测试（主要包括完井作业和油气测试，洗井、射孔、压裂、试油等）。前期主要进行油井勘探，通过完井测试评价油藏情况，本次环评不包含井场建设和采油生产，当评价井需要转采油井时，纳入区域产能环评中进一步办理环评手续。本项目总投资</w:t>
            </w:r>
            <w:r>
              <w:rPr>
                <w:rFonts w:hint="eastAsia" w:ascii="Times New Roman" w:hAnsi="Times New Roman" w:eastAsia="宋体" w:cs="Times New Roman"/>
                <w:color w:val="auto"/>
                <w:spacing w:val="0"/>
                <w:w w:val="100"/>
                <w:sz w:val="24"/>
                <w:szCs w:val="24"/>
                <w:highlight w:val="none"/>
                <w:lang w:val="en-US" w:eastAsia="zh-CN" w:bidi="ar-SA"/>
              </w:rPr>
              <w:t>800万元</w:t>
            </w:r>
            <w:r>
              <w:rPr>
                <w:rFonts w:hint="default" w:ascii="Times New Roman" w:hAnsi="Times New Roman" w:eastAsia="宋体" w:cs="Times New Roman"/>
                <w:color w:val="auto"/>
                <w:spacing w:val="0"/>
                <w:w w:val="100"/>
                <w:sz w:val="24"/>
                <w:szCs w:val="24"/>
                <w:highlight w:val="none"/>
                <w:lang w:val="en-US" w:eastAsia="zh-CN" w:bidi="ar-SA"/>
              </w:rPr>
              <w:t>，其中环保投资约86.5万元，占总投资的</w:t>
            </w:r>
            <w:r>
              <w:rPr>
                <w:rFonts w:hint="eastAsia" w:ascii="Times New Roman" w:hAnsi="Times New Roman" w:eastAsia="宋体" w:cs="Times New Roman"/>
                <w:color w:val="auto"/>
                <w:spacing w:val="0"/>
                <w:sz w:val="24"/>
                <w:highlight w:val="none"/>
                <w:lang w:val="en-US" w:eastAsia="zh-CN"/>
              </w:rPr>
              <w:t>10.81%</w:t>
            </w:r>
            <w:r>
              <w:rPr>
                <w:rFonts w:hint="default" w:ascii="Times New Roman" w:hAnsi="Times New Roman" w:eastAsia="宋体" w:cs="Times New Roman"/>
                <w:color w:val="auto"/>
                <w:spacing w:val="0"/>
                <w:w w:val="100"/>
                <w:sz w:val="24"/>
                <w:szCs w:val="24"/>
                <w:highlight w:val="none"/>
                <w:lang w:val="en-US" w:eastAsia="zh-CN" w:bidi="ar-SA"/>
              </w:rPr>
              <w:t>。</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default" w:ascii="Times New Roman" w:hAnsi="Times New Roman" w:eastAsia="宋体" w:cs="Times New Roman"/>
                <w:b/>
                <w:bCs/>
                <w:color w:val="auto"/>
                <w:sz w:val="24"/>
                <w:szCs w:val="32"/>
                <w:lang w:val="en-US" w:eastAsia="zh-CN"/>
              </w:rPr>
              <w:t xml:space="preserve">5.2施工期环境影响回顾                                                                                  </w:t>
            </w:r>
          </w:p>
          <w:p w14:paraId="776EE17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sz w:val="24"/>
                <w:szCs w:val="24"/>
                <w:highlight w:val="none"/>
                <w:lang w:val="en-US" w:eastAsia="zh-CN"/>
              </w:rPr>
            </w:pPr>
            <w:bookmarkStart w:id="7" w:name="_Toc196912325"/>
            <w:bookmarkStart w:id="8" w:name="_Toc195671858"/>
            <w:r>
              <w:rPr>
                <w:rFonts w:hint="default" w:ascii="Times New Roman" w:hAnsi="Times New Roman" w:eastAsia="宋体" w:cs="Times New Roman"/>
                <w:b/>
                <w:bCs/>
                <w:color w:val="auto"/>
                <w:spacing w:val="0"/>
                <w:sz w:val="24"/>
                <w:szCs w:val="24"/>
                <w:highlight w:val="none"/>
                <w:lang w:val="en-US" w:eastAsia="zh-CN"/>
              </w:rPr>
              <w:t>1.生态环境影响分析</w:t>
            </w:r>
          </w:p>
          <w:p w14:paraId="7CE3ED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w:t>
            </w:r>
          </w:p>
          <w:p w14:paraId="5CFF86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sz w:val="24"/>
                <w:szCs w:val="24"/>
                <w:highlight w:val="none"/>
                <w:lang w:val="en-US" w:eastAsia="zh-CN"/>
              </w:rPr>
            </w:pPr>
            <w:r>
              <w:rPr>
                <w:rFonts w:hint="default" w:ascii="Times New Roman" w:hAnsi="Times New Roman" w:eastAsia="宋体" w:cs="Times New Roman"/>
                <w:b/>
                <w:bCs/>
                <w:color w:val="auto"/>
                <w:spacing w:val="0"/>
                <w:sz w:val="24"/>
                <w:szCs w:val="24"/>
                <w:highlight w:val="none"/>
                <w:lang w:val="en-US" w:eastAsia="zh-CN"/>
              </w:rPr>
              <w:t>2污染环境影响</w:t>
            </w:r>
            <w:bookmarkEnd w:id="7"/>
            <w:bookmarkEnd w:id="8"/>
          </w:p>
          <w:p w14:paraId="74CADD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48AEC4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施工时钻井废水、试油废水和措施返排液均运至泾河8撬装式水净化站处理达标后回注油层，无外排；生活污水沉淀后用于场区洒浇，不外排。</w:t>
            </w:r>
          </w:p>
          <w:p w14:paraId="16A147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（2）地下水、土壤环境影响</w:t>
            </w:r>
          </w:p>
          <w:p w14:paraId="542BB8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井场的应急池采用重点防渗；雨水池采用一般防渗；防渗布接口处应予以粘结；防渗布出现破损，应及时更换或补漏；防渗布四周设置20cm高的围堰。</w:t>
            </w:r>
          </w:p>
          <w:p w14:paraId="48B0B5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7828765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施工过程应及时清理堆放在场地上的弃土、弃渣和道路上的抛撒料、渣，不能全部及时清运的，必须适时采取洒水灭尘等措施，防止二次扬尘。</w:t>
            </w:r>
          </w:p>
          <w:p w14:paraId="4DBE10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0DF30ECF">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选用低噪声机械设备或自带隔声、消声的设备，做好施工机械的维护和保养；</w:t>
            </w:r>
          </w:p>
          <w:p w14:paraId="78B4955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合理安排施工机械的工作频次、时限、合理调整行车密度。</w:t>
            </w:r>
          </w:p>
          <w:p w14:paraId="6F6849BA">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（5）固废影响</w:t>
            </w:r>
          </w:p>
          <w:p w14:paraId="61E40E1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废弃泥浆、一般岩屑全部进入泥浆罐采用“不落地收集+板框压滤”工艺，处理后产生的液相用于配制钻井液，剩余无法循环利用的液相拉运至废液处理站集中处理，处理后作为油田注水开发工艺生产用水回注油层；不落地处理振动筛筛选出的颗粒类岩石质固相和板框压滤机处理后产生的固相，处置达标后可集中填埋或制作烧结砖等资源化综合利用；废弃原材料、废包装材料、生活垃圾要采用单独的防渗坑存放；设置生活垃圾箱（桶），钻井结束后及时清运至指定地点处置。</w:t>
            </w:r>
          </w:p>
          <w:p w14:paraId="7BF8EB8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（6）环境风险分析</w:t>
            </w:r>
          </w:p>
          <w:p w14:paraId="7A13A2A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highlight w:val="none"/>
              </w:rPr>
            </w:pPr>
            <w:r>
              <w:rPr>
                <w:rFonts w:hint="default" w:ascii="Times New Roman" w:hAnsi="Times New Roman" w:eastAsia="宋体" w:cs="Times New Roman"/>
                <w:color w:val="auto"/>
                <w:spacing w:val="0"/>
                <w:sz w:val="24"/>
                <w:szCs w:val="24"/>
                <w:highlight w:val="none"/>
                <w:lang w:val="en-US" w:eastAsia="zh-CN"/>
              </w:rPr>
              <w:t>井场周围设置不低于20cm高围堰；井场钻井设备摆放处、循环水利用设施、泥浆不落地处理设施、围堰等采取防渗漏措施；井场内的雨水池采取一般防渗措施，应急池采取重点防渗措施。</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庆阳市生态环境局于2022年9月9日以</w:t>
            </w:r>
            <w:r>
              <w:rPr>
                <w:rFonts w:hint="default" w:ascii="Times New Roman" w:hAnsi="Times New Roman" w:eastAsia="宋体" w:cs="Times New Roman"/>
                <w:color w:val="auto"/>
                <w:spacing w:val="0"/>
                <w:w w:val="100"/>
                <w:kern w:val="0"/>
                <w:sz w:val="24"/>
                <w:szCs w:val="24"/>
                <w:highlight w:val="none"/>
                <w:lang w:val="en-US" w:eastAsia="zh-CN"/>
              </w:rPr>
              <w:t>庆环评表字〔2022〕45号</w:t>
            </w:r>
            <w:r>
              <w:rPr>
                <w:rFonts w:hint="default" w:ascii="Times New Roman" w:hAnsi="Times New Roman" w:eastAsia="宋体" w:cs="Times New Roman"/>
                <w:color w:val="auto"/>
                <w:spacing w:val="0"/>
                <w:sz w:val="24"/>
                <w:szCs w:val="24"/>
                <w:highlight w:val="none"/>
                <w:lang w:val="en-US" w:eastAsia="zh-CN"/>
              </w:rPr>
              <w:t>文对</w:t>
            </w: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出具了《和2H井场建设项目的审查意见》</w:t>
            </w:r>
            <w:r>
              <w:rPr>
                <w:rFonts w:hint="default"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2E8BFAE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一、该建设项目位于宁县太昌镇，井场坐标为X:3916498，Y:36481291。井场内拟新布设预探井1口，井号为和2H。项目总投资800万元，其中环保投资87.5万元，占总投资的10.9%。</w:t>
            </w:r>
          </w:p>
          <w:p w14:paraId="6DF143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二、在你单位严格落实《报告表》各项生态环境保护、污染防治、环境风险防控措施的前提下，我局同意对《报告表》审查通过。《报告表》可作为项目建设生态环境保护设计、建设和环境监管的依据。</w:t>
            </w:r>
          </w:p>
          <w:p w14:paraId="61AFB3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三、严格执行建设项目环保“三同时”制度，逐项落实《报告表》污染防治和生态环保措施，确保生态环境安全。</w:t>
            </w:r>
          </w:p>
          <w:p w14:paraId="5E0657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四、项目建设过程和投入运行后必须落实以下要求:</w:t>
            </w:r>
          </w:p>
          <w:p w14:paraId="4F5225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严格按照《甘肃省石油勘探开发生态环境保护条例》(2020年1月1日)和《关于规范油区水基钻井泥浆不落地管理工作的通知》(庆环发(2022)13号)等相关要求，认真组织做好钻井施工和井下作业污染防治、钻井泥浆和岩屑不落地收集、随钻处理、固液分离、源头分类、标准化井场建设、环境风险事故预防处理井场退出修复治理及环保验收等全过程环境管理，切实维护区域生态环境安全。</w:t>
            </w:r>
          </w:p>
          <w:p w14:paraId="1FBEAA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严格依据《报告表》中批复的井场建设地点、坐标和预探井井号、数量等内容进行石油勘探工作，严禁擅自变更;对《报告表》及审查意见提出的各项生态环境保护措施和要求，应明确到井场施工合同中并认真监督执行。</w:t>
            </w:r>
          </w:p>
          <w:p w14:paraId="71D58E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(三)你单位要按照《报告表》确定的防护距离要求，认真组织做好井场平面布置和优化，协调配合当地政府及有关部门，确保防护距离内不规划新建居民区、学校、医院等环境敏感目标。</w:t>
            </w:r>
          </w:p>
          <w:p w14:paraId="79502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钻前阶段应制定合理的施工方案和进出场路线，严格控制作业范围，尽量减少工程占地和对地表扰动，在敏感目标一侧建设减震沟。施工道路、井场及管线的土方开挖应当避开大风天气，对作业面要适当洒水降尘，弃土、弃渣要做到妥善处置，做好井场建设中受影响居民的补偿等工作。</w:t>
            </w:r>
          </w:p>
          <w:p w14:paraId="09F536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(五)钻井施工现场应当整洁有序，钻井前应当沿井场四周修筑不低于</w:t>
            </w:r>
            <w:r>
              <w:rPr>
                <w:rFonts w:hint="eastAsia" w:ascii="Times New Roman" w:hAnsi="Times New Roman" w:eastAsia="宋体" w:cs="Times New Roman"/>
                <w:color w:val="0000FF"/>
                <w:spacing w:val="0"/>
                <w:sz w:val="24"/>
                <w:szCs w:val="24"/>
                <w:highlight w:val="none"/>
                <w:lang w:val="en-US" w:eastAsia="zh-CN"/>
              </w:rPr>
              <w:t>80cm砖混围墙</w:t>
            </w:r>
            <w:r>
              <w:rPr>
                <w:rFonts w:hint="default" w:ascii="Times New Roman" w:hAnsi="Times New Roman" w:eastAsia="宋体" w:cs="Times New Roman"/>
                <w:color w:val="auto"/>
                <w:spacing w:val="0"/>
                <w:sz w:val="24"/>
                <w:szCs w:val="24"/>
                <w:highlight w:val="none"/>
                <w:lang w:val="en-US" w:eastAsia="zh-CN"/>
              </w:rPr>
              <w:t>，钻井、固井辅料、添加剂等应当集中堆放，并做好防雨淋、防渗漏、防泄漏等措施，泥浆、岩屑收集处置措施等布设应当远离沟坎边。</w:t>
            </w:r>
          </w:p>
          <w:p w14:paraId="2B938A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钻井施工严禁开采和使用浅层可饮用地下水;落实钻井泥浆不落地措施井场内的泥浆、岩屑收集处置设施等要采取有效措施防止渗漏和泄漏;钻井废水和泥浆、岩屑泥沙等要入罐收集，随钻处理，严禁随意抛洒或堆置。</w:t>
            </w:r>
          </w:p>
          <w:p w14:paraId="62E48A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强化井口、贮油罐及地面污油水收集处置措施。作业现场必须铺设防渗布，防渗布四周设不低于20cm高围堰，防止含油污水渗漏;设置收集贮存设施及时回收落地原油;禁止掩埋试油作业中散落的原油和油水混合物，落地原油和废物应收集，并安全规范处置;试油废水、井下作业废水循环利用，选用无毒无害压裂液含油废水全部运至油田作业废水处理站处理达标后回注油层，不外排。钻井固液分离后液相循环利用，无法再利用送至油田作业废水处理站处理达标后回注采油层不外排。雨水全收集。</w:t>
            </w:r>
          </w:p>
          <w:p w14:paraId="2F6F8F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钻井、试油工段产生的各种工业固体废物和生活垃圾等固废应及时规范处置，分类收集;产生的油泥和含油岩屑等危险废物及时送有资质单位安全处置。水基钻井废弃泥浆经大罐收集、沉降、破胶脱稳、板框压滤后固相含水率不得大于60%，送至集中处置单位规范填埋处置或制作烧结砖资源化利用。废弃原材料、包装材料等一般固废要及时清运至工业固废填埋场进行安全处置。</w:t>
            </w:r>
          </w:p>
          <w:p w14:paraId="37E4767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(九)勘探结束后，要对临时占地进行原貌恢复或绿化</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对进场道路及井场周边等及时进行绿化</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对施工形成的边坡要采用工程和植物护坡的方式进行治理，提高植被覆盖率，减少水土流失。</w:t>
            </w:r>
          </w:p>
          <w:p w14:paraId="1BB46E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十)加强实施周期内废水、噪声、废气、固废等污染防治和环境风险管理，并加强场站巡查频次，不定期开展应急演练，加强对污染物处置的跟踪监管，严格车辆运输管理，控制行车速度，随车携带吸油毡等，积极预防和应对突发性环境污染事件。</w:t>
            </w:r>
          </w:p>
          <w:p w14:paraId="5782F14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（十一</w:t>
            </w:r>
            <w:r>
              <w:rPr>
                <w:rFonts w:hint="default" w:ascii="Times New Roman" w:hAnsi="Times New Roman" w:eastAsia="宋体" w:cs="Times New Roman"/>
                <w:color w:val="auto"/>
                <w:spacing w:val="0"/>
                <w:sz w:val="24"/>
                <w:szCs w:val="24"/>
                <w:highlight w:val="none"/>
                <w:lang w:val="en-US" w:eastAsia="zh-CN"/>
              </w:rPr>
              <w:t>)该项目为陆地石油资源地质勘探工程，若勘探井转为生产井，须纳人油田区块管理并及时报批环评文件。建立完善“一井一档”相关资料并积极配合各级生态环境部门开展现场检查。</w:t>
            </w:r>
          </w:p>
          <w:p w14:paraId="0A7C3D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0C8D79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项目建设必须严格执行环境保护设施与主体工程同时设计、同时施工、同时投产的环境保护“三同时”制度。请市生态环境局宁县分局负责该项目的事中事后监管。项目完工后及时开展生态修复和竣工环境保护验收，未经验收或者验收不合格的，不得投入使用。</w:t>
            </w:r>
          </w:p>
          <w:p w14:paraId="25FED1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75E65F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报告表》审批后十五日内，建设单位应将《报告表》及其审批意见分别送交庆阳市生态环境保护综合行政执法队和市生态环境局宁县分局。请庆阳市生态环境保护综合行政执法队、庆阳市生态环境局宁县分局加强项目的生态环境监督管理工作。你公司必须按规定接受各级生态环境行政主管部门的监督检查。</w:t>
            </w:r>
          </w:p>
          <w:p w14:paraId="3F030616">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055890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310E4EE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1D01F5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B7C063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4C8BF33">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37B092C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0B13A7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4AC7041">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0D9C5B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B8794D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1744F08">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C8F63A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BD880A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3978C608">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801318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7536FA6">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7F9D3D33">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30B221C">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AD8F5A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E35C17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04237E1">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147D1E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2AA4EB9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8D91F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19BFB635">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293F9B">
      <w:pPr>
        <w:rPr>
          <w:rFonts w:hint="default" w:ascii="Times New Roman" w:hAnsi="Times New Roman" w:cs="Times New Roman"/>
          <w:color w:val="auto"/>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9" w:name="_Toc20309"/>
      <w:r>
        <w:rPr>
          <w:rFonts w:hint="default" w:ascii="Times New Roman" w:hAnsi="Times New Roman" w:eastAsia="宋体" w:cs="Times New Roman"/>
          <w:b/>
          <w:bCs/>
          <w:color w:val="auto"/>
          <w:w w:val="95"/>
          <w:sz w:val="32"/>
          <w:highlight w:val="none"/>
          <w:lang w:val="en-US" w:eastAsia="zh-CN"/>
        </w:rPr>
        <w:t>6.环境保护措施执行情况</w:t>
      </w:r>
      <w:bookmarkEnd w:id="9"/>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2"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default"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1228"/>
              <w:gridCol w:w="916"/>
              <w:gridCol w:w="5050"/>
              <w:gridCol w:w="5075"/>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48"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813"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822"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restart"/>
                  <w:tcBorders>
                    <w:tl2br w:val="nil"/>
                    <w:tr2bl w:val="nil"/>
                  </w:tcBorders>
                  <w:vAlign w:val="center"/>
                </w:tcPr>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设计阶段</w:t>
                  </w:r>
                </w:p>
              </w:tc>
              <w:tc>
                <w:tcPr>
                  <w:tcW w:w="770"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813"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822"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770"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813"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822"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770"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813"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822"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0" w:hRule="atLeast"/>
                <w:jc w:val="center"/>
              </w:trPr>
              <w:tc>
                <w:tcPr>
                  <w:tcW w:w="178"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1"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生态影响</w:t>
                  </w:r>
                </w:p>
              </w:tc>
              <w:tc>
                <w:tcPr>
                  <w:tcW w:w="329"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813" w:type="pct"/>
                  <w:tcBorders>
                    <w:tl2br w:val="nil"/>
                    <w:tr2bl w:val="nil"/>
                  </w:tcBorders>
                  <w:vAlign w:val="center"/>
                </w:tcPr>
                <w:p w14:paraId="4B68CC9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3BBA8D3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w:t>
                  </w:r>
                  <w:r>
                    <w:rPr>
                      <w:rFonts w:hint="default" w:ascii="Times New Roman" w:hAnsi="Times New Roman" w:eastAsia="宋体" w:cs="Times New Roman"/>
                      <w:color w:val="auto"/>
                      <w:spacing w:val="0"/>
                      <w:sz w:val="21"/>
                      <w:szCs w:val="21"/>
                      <w:highlight w:val="none"/>
                      <w:lang w:val="en-US" w:eastAsia="zh-CN"/>
                    </w:rPr>
                    <w:t>;设置临时性防护措施，减少施工过程中造成的人为扰动及产生的弃土（石、渣）。</w:t>
                  </w:r>
                </w:p>
                <w:p w14:paraId="6017232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c>
                <w:tcPr>
                  <w:tcW w:w="1822" w:type="pct"/>
                  <w:vMerge w:val="restart"/>
                  <w:tcBorders>
                    <w:tl2br w:val="nil"/>
                    <w:tr2bl w:val="nil"/>
                  </w:tcBorders>
                  <w:vAlign w:val="center"/>
                </w:tcPr>
                <w:p w14:paraId="654815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已落实</w:t>
                  </w:r>
                </w:p>
                <w:p w14:paraId="710FA5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优化施工方案和进出场线路，已避开和减少占用耕地、林地和破坏植被，合理安排施工进度，控制施工作业范围，严格控制车辆、人员的活动范围，减少了施工过程中造成的人为扰动及产生的弃土（石、渣）。</w:t>
                  </w:r>
                </w:p>
                <w:p w14:paraId="3792ED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本项目施工期已尽可能缩短施工期，施工期避开了植物生长期、雨季，大风天气对临时堆放场地采取遮盖、洒水等措施，以避免扬尘和水土流失；</w:t>
                  </w:r>
                </w:p>
                <w:p w14:paraId="40320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施工结束后，对临时占用土地(井场及进场道路)进行表土留存，分层回填，整平翻松，及时将表土运至场地绿化区及临时占地恢复区使用。根据现场踏勘，场地已恢复平整，对井口进行临时关井，待转产除预留转为生产开发所需的面积外，对其余临时占地进行恢复；对施工形成的边坡要采用工程和植物护坡的方式进行治理，提高植被覆盖率，减少水土流失。</w:t>
                  </w:r>
                </w:p>
                <w:p w14:paraId="61473C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191344A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180AD4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255CEC6D">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20DB4D0">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9B15B3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265791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66287F7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F65DC6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B5F653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7BAF64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各项措施已按环评及批复要求落实，有效避免了植被破坏、水土流失，生态恢复效果较好。</w:t>
                  </w:r>
                </w:p>
                <w:p w14:paraId="199849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29"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3" w:type="pct"/>
                  <w:tcBorders>
                    <w:tl2br w:val="nil"/>
                    <w:tr2bl w:val="nil"/>
                  </w:tcBorders>
                  <w:vAlign w:val="center"/>
                </w:tcPr>
                <w:p w14:paraId="5FB495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6929A86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勘探结束后，要对临时占地进行原貌恢复或绿化；对进场道路及井场周边等及时进行绿化,对施工形成的边坡要采用工程和植物护坡的方式进行治理，提高植被覆盖率，减少水土流失。</w:t>
                  </w:r>
                </w:p>
              </w:tc>
              <w:tc>
                <w:tcPr>
                  <w:tcW w:w="1822"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污染影响</w:t>
                  </w:r>
                </w:p>
              </w:tc>
              <w:tc>
                <w:tcPr>
                  <w:tcW w:w="329"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813" w:type="pct"/>
                  <w:tcBorders>
                    <w:tl2br w:val="nil"/>
                    <w:tr2bl w:val="nil"/>
                  </w:tcBorders>
                  <w:shd w:val="clear" w:color="auto" w:fill="auto"/>
                  <w:vAlign w:val="center"/>
                </w:tcPr>
                <w:p w14:paraId="3D7E3C9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54E43E2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0"/>
                      <w:kern w:val="0"/>
                      <w:sz w:val="21"/>
                      <w:szCs w:val="21"/>
                      <w:highlight w:val="none"/>
                    </w:rPr>
                    <w:t>施</w:t>
                  </w:r>
                  <w:r>
                    <w:rPr>
                      <w:rFonts w:hint="default" w:ascii="Times New Roman" w:hAnsi="Times New Roman" w:eastAsia="宋体" w:cs="Times New Roman"/>
                      <w:color w:val="auto"/>
                      <w:spacing w:val="0"/>
                      <w:sz w:val="21"/>
                      <w:szCs w:val="21"/>
                      <w:highlight w:val="none"/>
                    </w:rPr>
                    <w:t>工时钻井废水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试油废水</w:t>
                  </w:r>
                  <w:r>
                    <w:rPr>
                      <w:rFonts w:hint="default" w:ascii="Times New Roman" w:hAnsi="Times New Roman" w:eastAsia="宋体" w:cs="Times New Roman"/>
                      <w:color w:val="auto"/>
                      <w:spacing w:val="0"/>
                      <w:sz w:val="21"/>
                      <w:szCs w:val="21"/>
                      <w:highlight w:val="none"/>
                      <w:lang w:eastAsia="zh-CN"/>
                    </w:rPr>
                    <w:t>和</w:t>
                  </w:r>
                  <w:r>
                    <w:rPr>
                      <w:rFonts w:hint="default" w:ascii="Times New Roman" w:hAnsi="Times New Roman" w:eastAsia="宋体" w:cs="Times New Roman"/>
                      <w:color w:val="auto"/>
                      <w:spacing w:val="0"/>
                      <w:sz w:val="21"/>
                      <w:szCs w:val="21"/>
                      <w:highlight w:val="none"/>
                    </w:rPr>
                    <w:t>措施返排液均运至</w:t>
                  </w:r>
                  <w:r>
                    <w:rPr>
                      <w:rFonts w:hint="default" w:ascii="Times New Roman" w:hAnsi="Times New Roman" w:eastAsia="宋体" w:cs="Times New Roman"/>
                      <w:color w:val="auto"/>
                      <w:spacing w:val="0"/>
                      <w:sz w:val="21"/>
                      <w:szCs w:val="21"/>
                      <w:highlight w:val="none"/>
                      <w:lang w:eastAsia="zh-CN"/>
                    </w:rPr>
                    <w:t>泾河8撬装式水净化站</w:t>
                  </w:r>
                  <w:r>
                    <w:rPr>
                      <w:rFonts w:hint="default" w:ascii="Times New Roman" w:hAnsi="Times New Roman" w:eastAsia="宋体" w:cs="Times New Roman"/>
                      <w:color w:val="auto"/>
                      <w:spacing w:val="0"/>
                      <w:sz w:val="21"/>
                      <w:szCs w:val="21"/>
                      <w:highlight w:val="none"/>
                    </w:rPr>
                    <w:t>处理达标后回注油层，无外排；生活污水沉淀后用于场区洒浇，不外排。井场的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pacing w:val="0"/>
                      <w:sz w:val="21"/>
                      <w:szCs w:val="21"/>
                      <w:highlight w:val="none"/>
                    </w:rPr>
                    <w:t>防渗布接口处应予以粘结；防渗布出现破损，应及时更换或补漏</w:t>
                  </w:r>
                  <w:r>
                    <w:rPr>
                      <w:rFonts w:hint="default" w:ascii="Times New Roman" w:hAnsi="Times New Roman" w:eastAsia="宋体" w:cs="Times New Roman"/>
                      <w:color w:val="auto"/>
                      <w:spacing w:val="0"/>
                      <w:sz w:val="21"/>
                      <w:szCs w:val="21"/>
                      <w:highlight w:val="none"/>
                      <w:lang w:eastAsia="zh-CN"/>
                    </w:rPr>
                    <w:t>；防渗布</w:t>
                  </w:r>
                  <w:r>
                    <w:rPr>
                      <w:rFonts w:hint="default" w:ascii="Times New Roman" w:hAnsi="Times New Roman" w:eastAsia="宋体" w:cs="Times New Roman"/>
                      <w:color w:val="auto"/>
                      <w:spacing w:val="0"/>
                      <w:sz w:val="21"/>
                      <w:szCs w:val="21"/>
                      <w:highlight w:val="none"/>
                    </w:rPr>
                    <w:t>四周</w:t>
                  </w:r>
                  <w:r>
                    <w:rPr>
                      <w:rFonts w:hint="default" w:ascii="Times New Roman" w:hAnsi="Times New Roman" w:eastAsia="宋体" w:cs="Times New Roman"/>
                      <w:color w:val="auto"/>
                      <w:spacing w:val="0"/>
                      <w:sz w:val="21"/>
                      <w:szCs w:val="21"/>
                      <w:highlight w:val="none"/>
                      <w:lang w:eastAsia="zh-CN"/>
                    </w:rPr>
                    <w:t>设置</w:t>
                  </w:r>
                  <w:r>
                    <w:rPr>
                      <w:rFonts w:hint="default" w:ascii="Times New Roman" w:hAnsi="Times New Roman" w:eastAsia="宋体" w:cs="Times New Roman"/>
                      <w:color w:val="auto"/>
                      <w:spacing w:val="0"/>
                      <w:sz w:val="21"/>
                      <w:szCs w:val="21"/>
                      <w:highlight w:val="none"/>
                      <w:lang w:val="en-US" w:eastAsia="zh-CN"/>
                    </w:rPr>
                    <w:t>20c</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lang w:eastAsia="zh-CN"/>
                    </w:rPr>
                    <w:t>高</w:t>
                  </w:r>
                  <w:r>
                    <w:rPr>
                      <w:rFonts w:hint="default" w:ascii="Times New Roman" w:hAnsi="Times New Roman" w:eastAsia="宋体" w:cs="Times New Roman"/>
                      <w:color w:val="auto"/>
                      <w:spacing w:val="0"/>
                      <w:sz w:val="21"/>
                      <w:szCs w:val="21"/>
                      <w:highlight w:val="none"/>
                    </w:rPr>
                    <w:t>的围堰。</w:t>
                  </w:r>
                </w:p>
              </w:tc>
              <w:tc>
                <w:tcPr>
                  <w:tcW w:w="1822"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CE1B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default"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，废水不外排；生活污水收集沉淀后用于站场浇洒。井场营地内设置的移动式环保厕所，定期清掏用作农肥。</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厂区内雨水有效收集，未外排；</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w:t>
                  </w: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p>
                <w:p w14:paraId="73A5DDC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防渗布四周设20cm高围堰，防止含油污水渗漏；设置收集贮存设施及时回收落地原油；未掩埋试油作业中散落的原油和油水混合物。</w:t>
                  </w:r>
                </w:p>
                <w:p w14:paraId="07B1770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1"/>
                      <w:highlight w:val="none"/>
                      <w:lang w:val="en-US" w:eastAsia="zh-CN"/>
                    </w:rPr>
                    <w:t>根据现场调查，施工期无遗留废水污染问题，未发现公众举报现象。</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8"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329"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3" w:type="pct"/>
                  <w:tcBorders>
                    <w:tl2br w:val="nil"/>
                    <w:tr2bl w:val="nil"/>
                  </w:tcBorders>
                  <w:shd w:val="clear" w:color="auto" w:fill="auto"/>
                  <w:vAlign w:val="center"/>
                </w:tcPr>
                <w:p w14:paraId="345C3F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62BE2DB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钻井施工严禁开采和使用浅层可饮用地下水;落实钻井泥浆不落地措施井场内的泥浆、岩屑收集处置设施等要采取有效措施防止渗漏和泄漏;钻井废水和泥浆、岩屑泥沙等要入罐收集，随钻处理，严禁随意抛洒或堆置。</w:t>
                  </w:r>
                </w:p>
                <w:p w14:paraId="488A172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强化井口、贮油罐及地面污油水收集处置措施。作业现场必须铺设防渗布，防渗布四周设不低于20cm高围堰，防止含油污水渗漏;设置收集贮存设施及时回收落地原油;禁止掩埋试油作业中散落的原油和油水混合物，落地原油和废物应收集，并安全规范处置;试油废水、井下作业废水循环利用，选用无毒无害压裂液含油废水全部运至油田作业废水处理站处理达标后回注油层，不外排。钻井固液分离后液相循环利用，无法再利用送至油田作业废水处理站处理达标后回注采油层不外排。雨水全收集。</w:t>
                  </w:r>
                </w:p>
              </w:tc>
              <w:tc>
                <w:tcPr>
                  <w:tcW w:w="1822"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78"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29"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3" w:type="pct"/>
                  <w:tcBorders>
                    <w:tl2br w:val="nil"/>
                    <w:tr2bl w:val="nil"/>
                  </w:tcBorders>
                  <w:shd w:val="clear" w:color="auto" w:fill="auto"/>
                  <w:vAlign w:val="top"/>
                </w:tcPr>
                <w:p w14:paraId="31F59CF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1C6E3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pacing w:val="0"/>
                      <w:sz w:val="21"/>
                      <w:szCs w:val="21"/>
                      <w:highlight w:val="none"/>
                    </w:rPr>
                    <w:t>施工过程应及时清理堆放在场地上的弃土、弃渣和道路上的抛撒料、渣，不能全部及时清运的，必须适时采取洒水灭尘等措施，防止二次扬尘。</w:t>
                  </w:r>
                </w:p>
              </w:tc>
              <w:tc>
                <w:tcPr>
                  <w:tcW w:w="1822" w:type="pct"/>
                  <w:vMerge w:val="restart"/>
                  <w:tcBorders>
                    <w:tl2br w:val="nil"/>
                    <w:tr2bl w:val="nil"/>
                  </w:tcBorders>
                  <w:shd w:val="clear" w:color="auto" w:fill="auto"/>
                  <w:vAlign w:val="center"/>
                </w:tcPr>
                <w:p w14:paraId="2EC23F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（1）开挖土方过程避开了大风天气，本项目未产生</w:t>
                  </w:r>
                  <w:r>
                    <w:rPr>
                      <w:rFonts w:hint="default" w:ascii="Times New Roman" w:hAnsi="Times New Roman" w:eastAsia="宋体" w:cs="Times New Roman"/>
                      <w:color w:val="auto"/>
                      <w:sz w:val="21"/>
                      <w:szCs w:val="21"/>
                      <w:lang w:val="en-US" w:eastAsia="zh-CN"/>
                    </w:rPr>
                    <w:t>弃土、弃渣及</w:t>
                  </w:r>
                  <w:r>
                    <w:rPr>
                      <w:rFonts w:hint="default" w:ascii="Times New Roman" w:hAnsi="Times New Roman" w:eastAsia="宋体" w:cs="Times New Roman"/>
                      <w:color w:val="auto"/>
                      <w:spacing w:val="0"/>
                      <w:sz w:val="21"/>
                      <w:szCs w:val="21"/>
                      <w:highlight w:val="none"/>
                    </w:rPr>
                    <w:t>抛撒料、渣</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运输车辆加盖篷布，对施工道路、井场进行适量洒水，以降低扬尘。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 xml:space="preserve">采用了燃烧效率高的柴油机以及含硫量低的柴油，减少了污染物排放；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少量试油伴生气逸散；本项目试油过程中无井喷事故发生。</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0000FF"/>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（2）</w:t>
                  </w:r>
                  <w:r>
                    <w:rPr>
                      <w:rFonts w:hint="default" w:ascii="Times New Roman" w:hAnsi="Times New Roman" w:eastAsia="宋体" w:cs="Times New Roman"/>
                      <w:color w:val="0000FF"/>
                      <w:sz w:val="21"/>
                      <w:szCs w:val="21"/>
                      <w:lang w:val="en-US" w:eastAsia="zh-CN"/>
                    </w:rPr>
                    <w:t>钻前阶段制定了合理的施工方案和进出场路线，严格控制作业范围，尽量减少工程占地和对地表扰动，在敏感目标一侧建设减震沟。施工过程中未对居民造成影响，无补偿等工作。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default" w:ascii="Times New Roman" w:hAnsi="Times New Roman" w:eastAsia="宋体" w:cs="Times New Roman"/>
                      <w:color w:val="auto"/>
                      <w:sz w:val="21"/>
                      <w:szCs w:val="21"/>
                      <w:highlight w:val="none"/>
                      <w:lang w:eastAsia="zh-CN"/>
                    </w:rPr>
                    <w:t>有效降低了施工废气对周围环境的影响，且其影响随着施工结束而消失</w:t>
                  </w:r>
                  <w:r>
                    <w:rPr>
                      <w:rFonts w:hint="default" w:ascii="Times New Roman" w:hAnsi="Times New Roman" w:eastAsia="宋体" w:cs="Times New Roman"/>
                      <w:color w:val="auto"/>
                      <w:sz w:val="21"/>
                      <w:szCs w:val="21"/>
                      <w:highlight w:val="none"/>
                      <w:lang w:val="en-US" w:eastAsia="zh-CN"/>
                    </w:rPr>
                    <w:t>。</w:t>
                  </w:r>
                </w:p>
                <w:p w14:paraId="6CCF11C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根据现场调查，施工期无遗留扬尘污染问题，未发现公众举报现象。</w:t>
                  </w:r>
                </w:p>
              </w:tc>
              <w:tc>
                <w:tcPr>
                  <w:tcW w:w="415" w:type="pct"/>
                  <w:vMerge w:val="restart"/>
                  <w:tcBorders>
                    <w:tl2br w:val="nil"/>
                    <w:tr2bl w:val="nil"/>
                  </w:tcBorders>
                  <w:shd w:val="clear" w:color="auto" w:fill="auto"/>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各项措施已按环评及批复要求落实，有效降低了对大气环境的影响。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29"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3" w:type="pct"/>
                  <w:tcBorders>
                    <w:tl2br w:val="nil"/>
                    <w:tr2bl w:val="nil"/>
                  </w:tcBorders>
                  <w:shd w:val="clear" w:color="auto" w:fill="auto"/>
                  <w:vAlign w:val="top"/>
                </w:tcPr>
                <w:p w14:paraId="283734F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5AC4D3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按照《报告表》确定的防护距离要求，认真组织做好井场平面布置和优化，协调配合当地政府及有关部门，确保防护距离内不规划新建居民区、学校、医院等环境敏感目标。</w:t>
                  </w:r>
                </w:p>
                <w:p w14:paraId="4CCB99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钻前阶段应制定合理的施工方案和进出场路线，严格控制作业范围，尽量减少工程占地和对地表扰动，在敏感目标一侧建设减震沟。施工道路、井场及管线的土方开挖应当避开大风天气，对作业面要适当洒水降尘，弃土、弃渣要做到妥善处置，做好井场建设中受影响居民的补偿等工作。</w:t>
                  </w:r>
                </w:p>
                <w:p w14:paraId="4244133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p>
              </w:tc>
              <w:tc>
                <w:tcPr>
                  <w:tcW w:w="1822"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29"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813" w:type="pct"/>
                  <w:tcBorders>
                    <w:tl2br w:val="nil"/>
                    <w:tr2bl w:val="nil"/>
                  </w:tcBorders>
                  <w:shd w:val="clear" w:color="auto" w:fill="auto"/>
                  <w:vAlign w:val="center"/>
                </w:tcPr>
                <w:p w14:paraId="7D77F16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6CED8C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选用低噪声机械设备或自带隔声、消声的设备，做好施工机械的维护和保养</w:t>
                  </w:r>
                  <w:r>
                    <w:rPr>
                      <w:rFonts w:hint="default" w:ascii="Times New Roman" w:hAnsi="Times New Roman" w:eastAsia="宋体" w:cs="Times New Roman"/>
                      <w:color w:val="auto"/>
                      <w:spacing w:val="0"/>
                      <w:sz w:val="21"/>
                      <w:szCs w:val="21"/>
                      <w:highlight w:val="none"/>
                      <w:lang w:eastAsia="zh-CN"/>
                    </w:rPr>
                    <w:t>；合理安排施工机械的工作频次、时限、合理调整行车密度。</w:t>
                  </w:r>
                </w:p>
              </w:tc>
              <w:tc>
                <w:tcPr>
                  <w:tcW w:w="1822" w:type="pct"/>
                  <w:vMerge w:val="restart"/>
                  <w:tcBorders>
                    <w:tl2br w:val="nil"/>
                    <w:tr2bl w:val="nil"/>
                  </w:tcBorders>
                  <w:shd w:val="clear" w:color="auto" w:fill="auto"/>
                  <w:vAlign w:val="center"/>
                </w:tcPr>
                <w:p w14:paraId="129254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2453C1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采用低噪声、低振动的设备与合理的施工方式进行施工，</w:t>
                  </w:r>
                  <w:r>
                    <w:rPr>
                      <w:rFonts w:hint="default" w:ascii="Times New Roman" w:hAnsi="Times New Roman" w:eastAsia="宋体" w:cs="Times New Roman"/>
                      <w:color w:val="auto"/>
                      <w:sz w:val="21"/>
                      <w:szCs w:val="21"/>
                      <w:highlight w:val="none"/>
                      <w:lang w:val="en-US" w:eastAsia="zh-CN"/>
                    </w:rPr>
                    <w:t>对施工机械采取隔声、降噪措施，</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。其影响会随着施工结束而消失。根据现场调查，施工期无遗留噪声污染问题，未发现公众举报现象。</w:t>
                  </w:r>
                </w:p>
              </w:tc>
              <w:tc>
                <w:tcPr>
                  <w:tcW w:w="415" w:type="pct"/>
                  <w:vMerge w:val="restart"/>
                  <w:tcBorders>
                    <w:tl2br w:val="nil"/>
                    <w:tr2bl w:val="nil"/>
                  </w:tcBorders>
                  <w:shd w:val="clear" w:color="auto" w:fill="auto"/>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78"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29"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813" w:type="pct"/>
                  <w:tcBorders>
                    <w:tl2br w:val="nil"/>
                    <w:tr2bl w:val="nil"/>
                  </w:tcBorders>
                  <w:shd w:val="clear" w:color="auto" w:fill="auto"/>
                  <w:vAlign w:val="center"/>
                </w:tcPr>
                <w:p w14:paraId="12A636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0000FF"/>
                      <w:sz w:val="21"/>
                      <w:szCs w:val="21"/>
                      <w:highlight w:val="none"/>
                      <w:lang w:val="en-US" w:eastAsia="zh-CN" w:bidi="ar-SA"/>
                    </w:rPr>
                  </w:pPr>
                  <w:r>
                    <w:rPr>
                      <w:rFonts w:hint="default" w:ascii="Times New Roman" w:hAnsi="Times New Roman" w:eastAsia="宋体" w:cs="Times New Roman"/>
                      <w:b/>
                      <w:bCs/>
                      <w:color w:val="0000FF"/>
                      <w:sz w:val="21"/>
                      <w:szCs w:val="21"/>
                      <w:highlight w:val="none"/>
                      <w:lang w:val="en-US" w:eastAsia="zh-CN" w:bidi="ar-SA"/>
                    </w:rPr>
                    <w:t>环评审批文件要求的大气环保措施：</w:t>
                  </w:r>
                </w:p>
                <w:p w14:paraId="20CC91B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0000FF"/>
                      <w:spacing w:val="10"/>
                      <w:sz w:val="21"/>
                      <w:szCs w:val="21"/>
                      <w:highlight w:val="none"/>
                      <w:lang w:val="en-US" w:eastAsia="zh-CN" w:bidi="ar-SA"/>
                    </w:rPr>
                    <w:t>/</w:t>
                  </w:r>
                </w:p>
              </w:tc>
              <w:tc>
                <w:tcPr>
                  <w:tcW w:w="1822"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78"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1"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29"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1813" w:type="pct"/>
                  <w:tcBorders>
                    <w:tl2br w:val="nil"/>
                    <w:tr2bl w:val="nil"/>
                  </w:tcBorders>
                  <w:shd w:val="clear" w:color="auto" w:fill="auto"/>
                  <w:vAlign w:val="center"/>
                </w:tcPr>
                <w:p w14:paraId="5B10AF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4CF4BD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钻井废弃泥浆、一般岩屑全部进入泥浆罐</w:t>
                  </w:r>
                  <w:r>
                    <w:rPr>
                      <w:rFonts w:hint="default" w:ascii="Times New Roman" w:hAnsi="Times New Roman" w:eastAsia="宋体" w:cs="Times New Roman"/>
                      <w:color w:val="auto"/>
                      <w:spacing w:val="0"/>
                      <w:sz w:val="21"/>
                      <w:szCs w:val="21"/>
                      <w:highlight w:val="none"/>
                      <w:lang w:val="en-US" w:eastAsia="zh-CN"/>
                    </w:rPr>
                    <w:t>采用“不落地收集+板框压滤”工艺，不落地处理振动筛筛选出的颗粒类岩石质固相和板框压滤机处理后产生的固相，处置达标后可集中填埋或制作烧结砖等资源化综合利用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废弃原材料、废包装材料、生活垃圾要采用单独的防渗坑存放；设置生活垃圾箱（桶），钻井结束后及时清运至指定地点处置。</w:t>
                  </w:r>
                </w:p>
              </w:tc>
              <w:tc>
                <w:tcPr>
                  <w:tcW w:w="1822" w:type="pct"/>
                  <w:vMerge w:val="restart"/>
                  <w:tcBorders>
                    <w:tl2br w:val="nil"/>
                    <w:tr2bl w:val="nil"/>
                  </w:tcBorders>
                  <w:vAlign w:val="center"/>
                </w:tcPr>
                <w:p w14:paraId="73B8EA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AF693ED">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采用“下铺上盖”方式；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；废弃防渗布（未受污染）、废弃纯碱、膨润土等包装袋由钻井施工单位（</w:t>
                  </w:r>
                  <w:r>
                    <w:rPr>
                      <w:rFonts w:hint="eastAsia" w:ascii="Times New Roman" w:hAnsi="Times New Roman" w:eastAsia="宋体" w:cs="Times New Roman"/>
                      <w:color w:val="auto"/>
                      <w:spacing w:val="0"/>
                      <w:kern w:val="21"/>
                      <w:sz w:val="21"/>
                      <w:szCs w:val="21"/>
                      <w:highlight w:val="none"/>
                      <w:lang w:val="en-US" w:eastAsia="zh-CN" w:bidi="ar-SA"/>
                    </w:rPr>
                    <w:t>五普40839HB</w:t>
                  </w:r>
                  <w:r>
                    <w:rPr>
                      <w:rFonts w:hint="default" w:ascii="Times New Roman" w:hAnsi="Times New Roman" w:eastAsia="宋体" w:cs="Times New Roman"/>
                      <w:color w:val="auto"/>
                      <w:spacing w:val="0"/>
                      <w:kern w:val="21"/>
                      <w:sz w:val="21"/>
                      <w:szCs w:val="21"/>
                      <w:highlight w:val="none"/>
                      <w:lang w:val="en-US" w:eastAsia="zh-CN" w:bidi="ar-SA"/>
                    </w:rPr>
                    <w:t>）处置；</w:t>
                  </w:r>
                  <w:r>
                    <w:rPr>
                      <w:rFonts w:hint="default" w:ascii="Times New Roman" w:hAnsi="Times New Roman" w:eastAsia="宋体" w:cs="Times New Roman"/>
                      <w:color w:val="auto"/>
                      <w:sz w:val="21"/>
                      <w:szCs w:val="21"/>
                      <w:highlight w:val="none"/>
                      <w:lang w:val="en-US" w:eastAsia="zh-CN" w:bidi="ar-SA"/>
                    </w:rPr>
                    <w:t>废过硫酸钾包装袋、废弃防渗布（沾落地油）、落地油、废含油抹布、含油岩屑</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kern w:val="21"/>
                      <w:sz w:val="21"/>
                      <w:szCs w:val="21"/>
                      <w:highlight w:val="none"/>
                      <w:lang w:val="en-US" w:eastAsia="zh-CN" w:bidi="ar-SA"/>
                    </w:rPr>
                    <w:t>委托</w:t>
                  </w:r>
                  <w:r>
                    <w:rPr>
                      <w:rFonts w:hint="default" w:ascii="Times New Roman" w:hAnsi="Times New Roman" w:eastAsia="宋体" w:cs="Times New Roman"/>
                      <w:color w:val="auto"/>
                      <w:spacing w:val="0"/>
                      <w:sz w:val="21"/>
                      <w:szCs w:val="21"/>
                      <w:highlight w:val="none"/>
                      <w:lang w:val="en-US" w:eastAsia="zh-CN"/>
                    </w:rPr>
                    <w:t>庆阳丰泰环保有限责任公司进行安全处置</w:t>
                  </w:r>
                  <w:r>
                    <w:rPr>
                      <w:rFonts w:hint="default" w:ascii="Times New Roman" w:hAnsi="Times New Roman" w:eastAsia="宋体" w:cs="Times New Roman"/>
                      <w:color w:val="auto"/>
                      <w:spacing w:val="0"/>
                      <w:kern w:val="21"/>
                      <w:sz w:val="21"/>
                      <w:szCs w:val="21"/>
                      <w:highlight w:val="none"/>
                      <w:lang w:val="en-US" w:eastAsia="zh-CN" w:bidi="ar-SA"/>
                    </w:rPr>
                    <w:t>；未产生废机油、废润滑油及建筑垃圾；施工场地设置生活垃圾箱（桶），经收集后交由就近的生活垃圾中转站处置。建立了管理台账及转移联单，未产生二次污染。</w:t>
                  </w:r>
                </w:p>
                <w:p w14:paraId="594665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both"/>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（2）</w:t>
                  </w: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eastAsia="宋体" w:cs="Times New Roman"/>
                      <w:color w:val="auto"/>
                      <w:spacing w:val="0"/>
                      <w:sz w:val="21"/>
                      <w:szCs w:val="21"/>
                      <w:highlight w:val="none"/>
                      <w:lang w:val="en-US" w:eastAsia="zh-CN"/>
                    </w:rPr>
                    <w:t>，钻井、固井辅料、添加剂等应当集中堆放，并做好防雨淋、防渗漏、防泄漏等措施，泥浆、岩屑收集处置措施等布设远离沟坎边。</w:t>
                  </w:r>
                </w:p>
                <w:p w14:paraId="6D4F51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根据现场调查，施工期无遗留生活垃圾污染问题，未发现公众举报现象。</w:t>
                  </w:r>
                </w:p>
              </w:tc>
              <w:tc>
                <w:tcPr>
                  <w:tcW w:w="415" w:type="pct"/>
                  <w:vMerge w:val="restart"/>
                  <w:tcBorders>
                    <w:tl2br w:val="nil"/>
                    <w:tr2bl w:val="nil"/>
                  </w:tcBorders>
                  <w:vAlign w:val="center"/>
                </w:tcPr>
                <w:p w14:paraId="5243E4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80868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73692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1"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29"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1813" w:type="pct"/>
                  <w:tcBorders>
                    <w:tl2br w:val="nil"/>
                    <w:tr2bl w:val="nil"/>
                  </w:tcBorders>
                  <w:shd w:val="clear" w:color="auto" w:fill="auto"/>
                  <w:vAlign w:val="center"/>
                </w:tcPr>
                <w:p w14:paraId="146A64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6B9689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钻井施工现场应当整洁有序，钻井前应当沿井场四周修筑不低于20cm的围堰，钻井、固井辅料、添加剂等应当集中堆放，并做好防雨淋、防渗漏、防泄漏等措施，泥浆、岩屑收集处置措施等布设应当远离沟坎边。</w:t>
                  </w:r>
                </w:p>
                <w:p w14:paraId="0BA1EB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钻井、试油工段产生的各种工业固体废物和生活垃圾等固废应及时规范处置，分类收集;产生的油泥和含油岩屑等危险废物及时送有资质单位安全处置。水基钻井废弃泥浆经大罐收集、沉降、破胶脱稳、板框压滤后固相含水率不得大于60%，送至集中处置单位规范填埋处置或制作烧结砖资源化利用。废弃原材料、包装材料等一般固废要及时清运至工业固废填埋场进行安全处置。</w:t>
                  </w:r>
                </w:p>
              </w:tc>
              <w:tc>
                <w:tcPr>
                  <w:tcW w:w="1822"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178"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329"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813" w:type="pct"/>
                  <w:tcBorders>
                    <w:tl2br w:val="nil"/>
                    <w:tr2bl w:val="nil"/>
                  </w:tcBorders>
                  <w:shd w:val="clear" w:color="auto" w:fill="auto"/>
                  <w:vAlign w:val="center"/>
                </w:tcPr>
                <w:p w14:paraId="001AE4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cs="Times New Roman" w:eastAsiaTheme="minorEastAsia"/>
                      <w:b/>
                      <w:bCs/>
                      <w:color w:val="auto"/>
                      <w:sz w:val="21"/>
                      <w:szCs w:val="21"/>
                      <w:highlight w:val="none"/>
                      <w:lang w:val="en-US" w:eastAsia="zh-CN"/>
                    </w:rPr>
                  </w:pPr>
                  <w:r>
                    <w:rPr>
                      <w:rFonts w:hint="default" w:ascii="Times New Roman" w:hAnsi="Times New Roman" w:cs="Times New Roman" w:eastAsiaTheme="minorEastAsia"/>
                      <w:b/>
                      <w:bCs/>
                      <w:color w:val="auto"/>
                      <w:sz w:val="21"/>
                      <w:szCs w:val="21"/>
                      <w:highlight w:val="none"/>
                      <w:lang w:val="en-US" w:eastAsia="zh-CN"/>
                    </w:rPr>
                    <w:t>环评报告中要求的环保措施：</w:t>
                  </w:r>
                </w:p>
                <w:p w14:paraId="651784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eastAsia="zh-CN"/>
                    </w:rPr>
                    <w:t>井场周围设置不低于</w:t>
                  </w:r>
                  <w:r>
                    <w:rPr>
                      <w:rFonts w:hint="eastAsia" w:ascii="Times New Roman" w:hAnsi="Times New Roman" w:cs="Times New Roman" w:eastAsiaTheme="minorEastAsia"/>
                      <w:color w:val="0000FF"/>
                      <w:spacing w:val="0"/>
                      <w:sz w:val="21"/>
                      <w:szCs w:val="21"/>
                      <w:highlight w:val="none"/>
                      <w:lang w:val="en-US" w:eastAsia="zh-CN"/>
                    </w:rPr>
                    <w:t>8</w:t>
                  </w:r>
                  <w:r>
                    <w:rPr>
                      <w:rFonts w:hint="default" w:ascii="Times New Roman" w:hAnsi="Times New Roman" w:cs="Times New Roman" w:eastAsiaTheme="minorEastAsia"/>
                      <w:color w:val="0000FF"/>
                      <w:spacing w:val="0"/>
                      <w:sz w:val="21"/>
                      <w:szCs w:val="21"/>
                      <w:highlight w:val="none"/>
                      <w:lang w:val="en-US" w:eastAsia="zh-CN"/>
                    </w:rPr>
                    <w:t>0cm高</w:t>
                  </w:r>
                  <w:r>
                    <w:rPr>
                      <w:rFonts w:hint="eastAsia" w:ascii="Times New Roman" w:hAnsi="Times New Roman" w:cs="Times New Roman" w:eastAsiaTheme="minorEastAsia"/>
                      <w:color w:val="0000FF"/>
                      <w:spacing w:val="0"/>
                      <w:sz w:val="21"/>
                      <w:szCs w:val="21"/>
                      <w:highlight w:val="none"/>
                      <w:lang w:val="en-US" w:eastAsia="zh-CN"/>
                    </w:rPr>
                    <w:t>砖混围墙</w:t>
                  </w:r>
                  <w:r>
                    <w:rPr>
                      <w:rFonts w:hint="default" w:ascii="Times New Roman" w:hAnsi="Times New Roman" w:cs="Times New Roman" w:eastAsiaTheme="minorEastAsia"/>
                      <w:color w:val="auto"/>
                      <w:spacing w:val="0"/>
                      <w:sz w:val="21"/>
                      <w:szCs w:val="21"/>
                      <w:highlight w:val="none"/>
                      <w:lang w:val="en-US" w:eastAsia="zh-CN"/>
                    </w:rPr>
                    <w:t>；井场钻井设备摆放处、循环水利用设施、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tc>
              <w:tc>
                <w:tcPr>
                  <w:tcW w:w="1822" w:type="pct"/>
                  <w:vMerge w:val="restart"/>
                  <w:tcBorders>
                    <w:tl2br w:val="nil"/>
                    <w:tr2bl w:val="nil"/>
                  </w:tcBorders>
                  <w:vAlign w:val="center"/>
                </w:tcPr>
                <w:p w14:paraId="3B7F7F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已</w:t>
                  </w:r>
                  <w:r>
                    <w:rPr>
                      <w:rFonts w:hint="default" w:ascii="Times New Roman" w:hAnsi="Times New Roman" w:cs="Times New Roman" w:eastAsiaTheme="minorEastAsia"/>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eastAsia="zh-CN"/>
                    </w:rPr>
                    <w:t>（</w:t>
                  </w:r>
                  <w:r>
                    <w:rPr>
                      <w:rFonts w:hint="default" w:ascii="Times New Roman" w:hAnsi="Times New Roman" w:cs="Times New Roman" w:eastAsiaTheme="minorEastAsia"/>
                      <w:color w:val="auto"/>
                      <w:spacing w:val="0"/>
                      <w:sz w:val="21"/>
                      <w:szCs w:val="21"/>
                      <w:highlight w:val="none"/>
                      <w:lang w:val="en-US" w:eastAsia="zh-CN"/>
                    </w:rPr>
                    <w:t>1</w:t>
                  </w:r>
                  <w:r>
                    <w:rPr>
                      <w:rFonts w:hint="default" w:ascii="Times New Roman" w:hAnsi="Times New Roman" w:cs="Times New Roman" w:eastAsiaTheme="minorEastAsia"/>
                      <w:color w:val="auto"/>
                      <w:spacing w:val="0"/>
                      <w:sz w:val="21"/>
                      <w:szCs w:val="21"/>
                      <w:highlight w:val="none"/>
                      <w:lang w:eastAsia="zh-CN"/>
                    </w:rPr>
                    <w:t>）</w:t>
                  </w:r>
                  <w:r>
                    <w:rPr>
                      <w:rFonts w:hint="default" w:ascii="Times New Roman" w:hAnsi="Times New Roman" w:eastAsia="宋体" w:cs="Times New Roman"/>
                      <w:color w:val="0000FF"/>
                      <w:spacing w:val="0"/>
                      <w:sz w:val="21"/>
                      <w:szCs w:val="21"/>
                      <w:highlight w:val="none"/>
                      <w:lang w:val="en-US" w:eastAsia="zh-CN"/>
                    </w:rPr>
                    <w:t>井场四周20cm高的土</w:t>
                  </w:r>
                  <w:r>
                    <w:rPr>
                      <w:rFonts w:hint="default" w:ascii="Times New Roman" w:hAnsi="Times New Roman" w:eastAsia="宋体" w:cs="Times New Roman"/>
                      <w:color w:val="0000FF"/>
                      <w:spacing w:val="0"/>
                      <w:sz w:val="21"/>
                      <w:szCs w:val="21"/>
                      <w:highlight w:val="none"/>
                      <w:lang w:eastAsia="zh-CN"/>
                    </w:rPr>
                    <w:t>围堰</w:t>
                  </w:r>
                  <w:r>
                    <w:rPr>
                      <w:rFonts w:hint="eastAsia" w:ascii="Times New Roman" w:hAnsi="Times New Roman" w:eastAsia="宋体" w:cs="Times New Roman"/>
                      <w:color w:val="0000FF"/>
                      <w:spacing w:val="0"/>
                      <w:sz w:val="21"/>
                      <w:szCs w:val="21"/>
                      <w:highlight w:val="none"/>
                      <w:lang w:eastAsia="zh-CN"/>
                    </w:rPr>
                    <w:t>；</w:t>
                  </w:r>
                  <w:r>
                    <w:rPr>
                      <w:rFonts w:hint="eastAsia" w:ascii="Times New Roman" w:hAnsi="Times New Roman" w:eastAsia="宋体" w:cs="Times New Roman"/>
                      <w:color w:val="0000FF"/>
                      <w:spacing w:val="0"/>
                      <w:sz w:val="21"/>
                      <w:szCs w:val="21"/>
                      <w:highlight w:val="none"/>
                      <w:lang w:val="en-US" w:eastAsia="zh-CN"/>
                    </w:rPr>
                    <w:t>8</w:t>
                  </w:r>
                  <w:r>
                    <w:rPr>
                      <w:rFonts w:hint="default" w:ascii="Times New Roman" w:hAnsi="Times New Roman" w:eastAsia="宋体" w:cs="Times New Roman"/>
                      <w:color w:val="0000FF"/>
                      <w:spacing w:val="0"/>
                      <w:sz w:val="21"/>
                      <w:szCs w:val="21"/>
                      <w:highlight w:val="none"/>
                      <w:lang w:val="en-US" w:eastAsia="zh-CN"/>
                    </w:rPr>
                    <w:t>0cm高</w:t>
                  </w:r>
                  <w:r>
                    <w:rPr>
                      <w:rFonts w:hint="eastAsia" w:ascii="Times New Roman" w:hAnsi="Times New Roman" w:eastAsia="宋体" w:cs="Times New Roman"/>
                      <w:color w:val="0000FF"/>
                      <w:spacing w:val="0"/>
                      <w:sz w:val="21"/>
                      <w:szCs w:val="21"/>
                      <w:highlight w:val="none"/>
                      <w:lang w:val="en-US" w:eastAsia="zh-CN"/>
                    </w:rPr>
                    <w:t>砖混围墙，作为临时设施，现已拆除</w:t>
                  </w:r>
                  <w:r>
                    <w:rPr>
                      <w:rFonts w:hint="default" w:ascii="Times New Roman" w:hAnsi="Times New Roman" w:cs="Times New Roman" w:eastAsiaTheme="minorEastAsia"/>
                      <w:color w:val="auto"/>
                      <w:spacing w:val="0"/>
                      <w:sz w:val="21"/>
                      <w:szCs w:val="21"/>
                      <w:highlight w:val="none"/>
                      <w:lang w:val="en-US" w:eastAsia="zh-CN"/>
                    </w:rPr>
                    <w:t>；井场钻井设备摆放处、循环水利用设施、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bidi="ar-SA"/>
                    </w:rPr>
                    <w:t>（2）施工期安装井控装置，防止井喷；加强各类储罐的储存管理，罐区均采用防渗措施，四周设置围堰；同时加强施工期间风险管理，井场布置按照《钻前工程及井场布置技术要求》的规定进行了设置；项目</w:t>
                  </w:r>
                  <w:r>
                    <w:rPr>
                      <w:rFonts w:hint="default" w:ascii="Times New Roman" w:hAnsi="Times New Roman" w:eastAsia="宋体" w:cs="Times New Roman"/>
                      <w:color w:val="auto"/>
                      <w:sz w:val="21"/>
                      <w:szCs w:val="21"/>
                      <w:highlight w:val="none"/>
                      <w:lang w:eastAsia="zh-CN"/>
                    </w:rPr>
                    <w:t>周边地下水、土壤等的</w:t>
                  </w:r>
                  <w:r>
                    <w:rPr>
                      <w:rFonts w:hint="default"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21CB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（3）中国石油化工股份有限公司华北油气分公司采油一厂针对可能发生的石油泄漏事故制定了相关的风险防范措施并进行了落实，定期组织进行学习与培训</w:t>
                  </w:r>
                  <w:r>
                    <w:rPr>
                      <w:rFonts w:hint="eastAsia" w:ascii="Times New Roman" w:hAnsi="Times New Roman" w:cs="Times New Roman" w:eastAsiaTheme="minorEastAsia"/>
                      <w:color w:val="auto"/>
                      <w:sz w:val="21"/>
                      <w:szCs w:val="21"/>
                      <w:highlight w:val="none"/>
                      <w:lang w:val="en-US" w:eastAsia="zh-CN"/>
                    </w:rPr>
                    <w:t>，</w:t>
                  </w:r>
                  <w:r>
                    <w:rPr>
                      <w:rFonts w:hint="default" w:ascii="Times New Roman" w:hAnsi="Times New Roman" w:eastAsia="宋体" w:cs="Times New Roman"/>
                      <w:color w:val="0000FF"/>
                      <w:sz w:val="21"/>
                      <w:szCs w:val="21"/>
                      <w:highlight w:val="none"/>
                      <w:lang w:eastAsia="zh-CN"/>
                    </w:rPr>
                    <w:t>加强对污染物处置的跟踪监管，严格车辆运输管理，控制行车速度，随车携带吸油毡等，积极预防和应对突发性环境污染事件</w:t>
                  </w:r>
                  <w:r>
                    <w:rPr>
                      <w:rFonts w:hint="default" w:ascii="Times New Roman" w:hAnsi="Times New Roman" w:cs="Times New Roman" w:eastAsiaTheme="minorEastAsia"/>
                      <w:color w:val="auto"/>
                      <w:sz w:val="21"/>
                      <w:szCs w:val="21"/>
                      <w:highlight w:val="none"/>
                      <w:lang w:val="en-US" w:eastAsia="zh-CN"/>
                    </w:rPr>
                    <w:t>；同时中国石油化工股份有限公司华北油气分公司采油一厂也认真制定了突发环境事件应急预案，并于</w:t>
                  </w:r>
                  <w:r>
                    <w:rPr>
                      <w:rFonts w:hint="eastAsia" w:ascii="Times New Roman" w:hAnsi="Times New Roman" w:cs="Times New Roman" w:eastAsiaTheme="minorEastAsia"/>
                      <w:color w:val="auto"/>
                      <w:sz w:val="21"/>
                      <w:szCs w:val="21"/>
                      <w:highlight w:val="none"/>
                      <w:lang w:val="en-US" w:eastAsia="zh-CN"/>
                    </w:rPr>
                    <w:t>2023年1月11日</w:t>
                  </w:r>
                  <w:r>
                    <w:rPr>
                      <w:rFonts w:hint="default" w:ascii="Times New Roman" w:hAnsi="Times New Roman" w:cs="Times New Roman" w:eastAsiaTheme="minorEastAsia"/>
                      <w:color w:val="auto"/>
                      <w:sz w:val="21"/>
                      <w:szCs w:val="21"/>
                      <w:highlight w:val="none"/>
                      <w:lang w:val="en-US" w:eastAsia="zh-CN"/>
                    </w:rPr>
                    <w:t>取得了庆阳市生态环境局</w:t>
                  </w:r>
                  <w:r>
                    <w:rPr>
                      <w:rFonts w:hint="eastAsia" w:ascii="Times New Roman" w:hAnsi="Times New Roman" w:cs="Times New Roman" w:eastAsiaTheme="minorEastAsia"/>
                      <w:color w:val="auto"/>
                      <w:sz w:val="21"/>
                      <w:szCs w:val="21"/>
                      <w:highlight w:val="none"/>
                      <w:lang w:val="en-US" w:eastAsia="zh-CN"/>
                    </w:rPr>
                    <w:t>宁县分局</w:t>
                  </w:r>
                  <w:r>
                    <w:rPr>
                      <w:rFonts w:hint="default" w:ascii="Times New Roman" w:hAnsi="Times New Roman" w:cs="Times New Roman" w:eastAsiaTheme="minorEastAsia"/>
                      <w:color w:val="auto"/>
                      <w:sz w:val="21"/>
                      <w:szCs w:val="21"/>
                      <w:highlight w:val="none"/>
                      <w:lang w:val="en-US" w:eastAsia="zh-CN"/>
                    </w:rPr>
                    <w:t>备案文件（见附件），并按该预案中相关应急措施进行定期演练。</w:t>
                  </w:r>
                  <w:r>
                    <w:rPr>
                      <w:rFonts w:hint="default" w:ascii="Times New Roman" w:hAnsi="Times New Roman" w:eastAsia="宋体" w:cs="Times New Roman"/>
                      <w:color w:val="auto"/>
                      <w:sz w:val="21"/>
                      <w:szCs w:val="21"/>
                      <w:highlight w:val="none"/>
                      <w:lang w:val="en-US" w:eastAsia="zh-CN"/>
                    </w:rPr>
                    <w:t>该应急预案修编日期为</w:t>
                  </w:r>
                  <w:r>
                    <w:rPr>
                      <w:rFonts w:hint="eastAsia" w:ascii="Times New Roman" w:hAnsi="Times New Roman" w:eastAsia="宋体" w:cs="Times New Roman"/>
                      <w:color w:val="auto"/>
                      <w:sz w:val="21"/>
                      <w:szCs w:val="21"/>
                      <w:highlight w:val="none"/>
                      <w:lang w:val="en-US" w:eastAsia="zh-CN"/>
                    </w:rPr>
                    <w:t>2026年1月11日</w:t>
                  </w:r>
                  <w:r>
                    <w:rPr>
                      <w:rFonts w:hint="default" w:ascii="Times New Roman" w:hAnsi="Times New Roman" w:eastAsia="宋体" w:cs="Times New Roman"/>
                      <w:color w:val="auto"/>
                      <w:sz w:val="21"/>
                      <w:szCs w:val="21"/>
                      <w:highlight w:val="none"/>
                      <w:lang w:val="en-US" w:eastAsia="zh-CN"/>
                    </w:rPr>
                    <w:t>，在本项目验收时间范围内。</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0CE37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EB1FA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bookmarkStart w:id="21" w:name="_GoBack"/>
                  <w:bookmarkEnd w:id="21"/>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178"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329"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3" w:type="pct"/>
                  <w:tcBorders>
                    <w:tl2br w:val="nil"/>
                    <w:tr2bl w:val="nil"/>
                  </w:tcBorders>
                  <w:shd w:val="clear" w:color="auto" w:fill="auto"/>
                  <w:vAlign w:val="center"/>
                </w:tcPr>
                <w:p w14:paraId="019DB7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63FD23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eastAsia="zh-CN"/>
                    </w:rPr>
                    <w:t>加强实施周期内废水、噪声、废气、固废等污染防治和环境风险管理，并加强场站巡查频次，不定期开展应急演练，加强对污染物处置的跟踪监管，严格车辆运输管理，控制行车速度，随车携带吸油毡等，积极预防和应对突发性环境污染事件。</w:t>
                  </w:r>
                </w:p>
              </w:tc>
              <w:tc>
                <w:tcPr>
                  <w:tcW w:w="1822"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770"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社会影响</w:t>
                  </w:r>
                </w:p>
              </w:tc>
              <w:tc>
                <w:tcPr>
                  <w:tcW w:w="1813"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822"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1"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生态影响</w:t>
                  </w:r>
                </w:p>
              </w:tc>
              <w:tc>
                <w:tcPr>
                  <w:tcW w:w="329"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3"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822"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1"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污染影响</w:t>
                  </w:r>
                </w:p>
              </w:tc>
              <w:tc>
                <w:tcPr>
                  <w:tcW w:w="329"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813" w:type="pct"/>
                  <w:tcBorders>
                    <w:tl2br w:val="nil"/>
                    <w:tr2bl w:val="nil"/>
                  </w:tcBorders>
                  <w:shd w:val="clear" w:color="auto" w:fill="auto"/>
                  <w:vAlign w:val="center"/>
                </w:tcPr>
                <w:p w14:paraId="11F2E7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7DA8CE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822" w:type="pct"/>
                  <w:tcBorders>
                    <w:tl2br w:val="nil"/>
                    <w:tr2bl w:val="nil"/>
                  </w:tcBorders>
                  <w:shd w:val="clear" w:color="auto" w:fill="auto"/>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目前，井场已探出油，后续转入生产井。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8"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329"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3" w:type="pct"/>
                  <w:tcBorders>
                    <w:tl2br w:val="nil"/>
                    <w:tr2bl w:val="nil"/>
                  </w:tcBorders>
                  <w:shd w:val="clear" w:color="auto" w:fill="auto"/>
                  <w:vAlign w:val="center"/>
                </w:tcPr>
                <w:p w14:paraId="188C9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433AE8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该项目为陆地石油资源地质勘探工程，若勘探井转为生产井，须纳入油田区块管理并及时报批环评文件。建立完善“一井一档”相关资料并积极配合各级生态环境部门开展现场检查。</w:t>
                  </w:r>
                </w:p>
              </w:tc>
              <w:tc>
                <w:tcPr>
                  <w:tcW w:w="1822" w:type="pct"/>
                  <w:tcBorders>
                    <w:tl2br w:val="nil"/>
                    <w:tr2bl w:val="nil"/>
                  </w:tcBorders>
                  <w:shd w:val="clear" w:color="auto" w:fill="auto"/>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该项目为陆地石油资源地质勘探工程，具有开采价值，后续纳入油田区块管理并及时报批环评文件。建立完善“一井一档”相关资料并积极配合各级生态环境部门开展现场检查。</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8"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1"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rPr>
                    <w:t>社会影响</w:t>
                  </w:r>
                </w:p>
              </w:tc>
              <w:tc>
                <w:tcPr>
                  <w:tcW w:w="329"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3"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1822"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1A40CA07">
            <w:pPr>
              <w:pStyle w:val="5"/>
              <w:widowControl w:val="0"/>
              <w:suppressLineNumbers w:val="0"/>
              <w:spacing w:before="0"/>
              <w:ind w:left="0" w:right="0"/>
              <w:jc w:val="both"/>
              <w:rPr>
                <w:rFonts w:hint="default" w:ascii="Times New Roman" w:hAnsi="Times New Roman" w:cs="Times New Roman"/>
                <w:color w:val="auto"/>
              </w:rPr>
            </w:pPr>
          </w:p>
        </w:tc>
      </w:tr>
    </w:tbl>
    <w:p w14:paraId="03FB4149">
      <w:pPr>
        <w:pStyle w:val="2"/>
        <w:ind w:left="0" w:leftChars="0" w:firstLine="0" w:firstLineChars="0"/>
        <w:rPr>
          <w:rFonts w:hint="default" w:ascii="Times New Roman" w:hAnsi="Times New Roman" w:cs="Times New Roman"/>
          <w:color w:val="auto"/>
          <w:highlight w:val="none"/>
        </w:rPr>
      </w:pPr>
    </w:p>
    <w:p w14:paraId="65E4A0A6">
      <w:pPr>
        <w:rPr>
          <w:rFonts w:hint="default" w:ascii="Times New Roman" w:hAnsi="Times New Roman" w:cs="Times New Roman"/>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10" w:name="_Toc28235"/>
      <w:r>
        <w:rPr>
          <w:rFonts w:hint="default" w:ascii="Times New Roman" w:hAnsi="Times New Roman" w:eastAsia="宋体" w:cs="Times New Roman"/>
          <w:b/>
          <w:bCs/>
          <w:color w:val="auto"/>
          <w:w w:val="95"/>
          <w:sz w:val="32"/>
          <w:highlight w:val="none"/>
          <w:lang w:val="en-US" w:eastAsia="zh-CN"/>
        </w:rPr>
        <w:t>7.环境影响调查</w:t>
      </w:r>
      <w:bookmarkEnd w:id="10"/>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6"/>
        <w:gridCol w:w="7611"/>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4" w:hRule="atLeast"/>
        </w:trPr>
        <w:tc>
          <w:tcPr>
            <w:tcW w:w="455"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456"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11"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11" w:name="_Toc529516475"/>
            <w:bookmarkStart w:id="12" w:name="_Toc536625867"/>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6CBDD418">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4CF1DB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195EC0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2、工程占地影响调查</w:t>
            </w:r>
          </w:p>
          <w:p w14:paraId="2501BD09">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项目建设临时占地包括项目钻井井场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施工营地及</w:t>
            </w:r>
            <w:r>
              <w:rPr>
                <w:rFonts w:hint="default" w:ascii="Times New Roman" w:hAnsi="Times New Roman" w:eastAsia="宋体" w:cs="Times New Roman"/>
                <w:color w:val="auto"/>
                <w:sz w:val="24"/>
                <w:szCs w:val="24"/>
                <w:highlight w:val="none"/>
              </w:rPr>
              <w:t>进场道路等占地，占地面积约</w:t>
            </w:r>
            <w:r>
              <w:rPr>
                <w:rFonts w:hint="eastAsia" w:ascii="Times New Roman" w:hAnsi="Times New Roman" w:eastAsia="宋体" w:cs="Times New Roman"/>
                <w:color w:val="auto"/>
                <w:sz w:val="24"/>
                <w:szCs w:val="24"/>
                <w:lang w:val="en-US" w:eastAsia="zh-CN"/>
              </w:rPr>
              <w:t>7400</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eastAsia="宋体" w:cs="Times New Roman"/>
                <w:color w:val="auto"/>
                <w:sz w:val="24"/>
                <w:szCs w:val="24"/>
                <w:highlight w:val="none"/>
              </w:rPr>
              <w:t>，占地类型为</w:t>
            </w:r>
            <w:r>
              <w:rPr>
                <w:rFonts w:hint="default"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rPr>
              <w:t>。</w:t>
            </w:r>
          </w:p>
          <w:p w14:paraId="19BCDD4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进行临时关井，待转产，除预留转为生产开发所需的面积外，对其余临时占地及时进行了植被恢复。</w:t>
            </w:r>
          </w:p>
          <w:p w14:paraId="1214D8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69FB013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0970A97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项目占地类型主要为</w:t>
            </w:r>
            <w:r>
              <w:rPr>
                <w:rFonts w:hint="default"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项目区域内</w:t>
            </w:r>
            <w:r>
              <w:rPr>
                <w:rFonts w:hint="default"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default" w:ascii="Times New Roman" w:hAnsi="Times New Roman" w:eastAsia="宋体" w:cs="Times New Roman"/>
                <w:color w:val="auto"/>
                <w:sz w:val="24"/>
                <w:szCs w:val="24"/>
                <w:highlight w:val="none"/>
                <w:lang w:eastAsia="zh-CN"/>
              </w:rPr>
              <w:t>。</w:t>
            </w:r>
          </w:p>
          <w:bookmarkEnd w:id="11"/>
          <w:bookmarkEnd w:id="12"/>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3" w:name="_Toc34838380"/>
            <w:bookmarkStart w:id="14" w:name="_Toc529516477"/>
            <w:bookmarkStart w:id="15" w:name="_Toc536625869"/>
            <w:r>
              <w:rPr>
                <w:rFonts w:hint="default" w:ascii="Times New Roman" w:hAnsi="Times New Roman" w:eastAsia="宋体" w:cs="Times New Roman"/>
                <w:b/>
                <w:bCs/>
                <w:color w:val="auto"/>
                <w:sz w:val="24"/>
                <w:szCs w:val="24"/>
                <w:highlight w:val="none"/>
                <w:lang w:val="en-US" w:eastAsia="zh-CN"/>
              </w:rPr>
              <w:t>4、</w:t>
            </w:r>
            <w:bookmarkEnd w:id="13"/>
            <w:r>
              <w:rPr>
                <w:rFonts w:hint="default" w:ascii="Times New Roman" w:hAnsi="Times New Roman" w:eastAsia="宋体" w:cs="Times New Roman"/>
                <w:b/>
                <w:bCs/>
                <w:color w:val="auto"/>
                <w:sz w:val="24"/>
                <w:szCs w:val="24"/>
                <w:highlight w:val="none"/>
                <w:lang w:val="en-US" w:eastAsia="zh-CN"/>
              </w:rPr>
              <w:t>土壤环境影响调查</w:t>
            </w:r>
          </w:p>
          <w:p w14:paraId="6D03CB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项目对土壤的影响主要是土方的开挖和回填改变土壤结构、施工扰动造成水土流失，以及事故状态下可能对土壤造成污染，影响土壤环境质量。</w:t>
            </w:r>
          </w:p>
          <w:p w14:paraId="338F6BC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本项目实施过程中，落实了水土保持措施，使水土流失将得到有效控制。</w:t>
            </w:r>
            <w:r>
              <w:rPr>
                <w:rFonts w:hint="default" w:ascii="Times New Roman" w:hAnsi="Times New Roman" w:eastAsia="宋体" w:cs="Times New Roman"/>
                <w:color w:val="auto"/>
                <w:sz w:val="24"/>
                <w:szCs w:val="24"/>
                <w:highlight w:val="none"/>
                <w:lang w:val="en-US" w:eastAsia="zh-CN"/>
              </w:rPr>
              <w:t>为调查项目建设可能对土壤环境产生的影响，</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。因此，项目验收调查范围内土壤环境受到建设项目的影响较小。</w:t>
            </w:r>
          </w:p>
          <w:p w14:paraId="0B50B4C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5、植被影响、陆地动物及其栖息地的影响调查</w:t>
            </w:r>
            <w:bookmarkEnd w:id="14"/>
            <w:bookmarkEnd w:id="15"/>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生态功能调查</w:t>
            </w:r>
          </w:p>
          <w:p w14:paraId="49C16ED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firstLine="0" w:firstLineChars="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水土流失影响调查</w:t>
            </w:r>
          </w:p>
          <w:p w14:paraId="71441BF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56EAADB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8、主要生态问题及采取的生态保护措施</w:t>
            </w:r>
          </w:p>
          <w:p w14:paraId="19B91FC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05F2CA0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3C88D34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21E23F6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465C9D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55BC44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780D5D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61F096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0.3m，耙细并整平。</w:t>
            </w:r>
          </w:p>
          <w:p w14:paraId="32B990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455"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11" w:type="dxa"/>
            <w:tcMar>
              <w:top w:w="85" w:type="dxa"/>
              <w:left w:w="108" w:type="dxa"/>
              <w:bottom w:w="85" w:type="dxa"/>
              <w:right w:w="108" w:type="dxa"/>
            </w:tcMar>
            <w:vAlign w:val="center"/>
          </w:tcPr>
          <w:p w14:paraId="3FDDEC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33F450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6349CB2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本项目废气主要包括施工扬尘、施工过程中车辆与机械废气和钻井柴油发动机废气和井场试油伴生气。</w:t>
            </w:r>
          </w:p>
          <w:p w14:paraId="6004F46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16DCAC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47CCA1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③采用了燃烧效率高的柴油机以及含硫量低的柴油，减少了污染物排放； </w:t>
            </w:r>
          </w:p>
          <w:p w14:paraId="558C6C6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④少量伴生气逸散；本项目试油过程中无井喷事故发生。</w:t>
            </w:r>
          </w:p>
          <w:p w14:paraId="17B68D7E">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D2364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235C9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5A8ED91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项目废水主要为施工废水、生活污水及雨水，施工废水来自钻井废水、洗井废水、压裂返排液及生活污水。</w:t>
            </w:r>
          </w:p>
          <w:p w14:paraId="0D7CEFC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处理达标后回注油层，废水不外排。施工井场设置了移动式环保厕所，施工人员少量盥洗废水用于洒水降尘，无污水外排现象。</w:t>
            </w:r>
          </w:p>
          <w:p w14:paraId="09A383DB">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项目建设期间落实了环评及批复要求的环保措施，对周边环境影响有限。</w:t>
            </w:r>
          </w:p>
          <w:p w14:paraId="735431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3.声环境影响调查</w:t>
            </w:r>
          </w:p>
          <w:p w14:paraId="5F374A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核实，项目施工期间的噪声主要来源于正常生产过程中机械噪声和运输车辆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2F83F28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4.固体废物影响调查</w:t>
            </w:r>
          </w:p>
          <w:p w14:paraId="4529C8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本项目施工期固体废物主要为</w:t>
            </w:r>
            <w:r>
              <w:rPr>
                <w:rFonts w:hint="default"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岩屑）</w:t>
            </w:r>
            <w:r>
              <w:rPr>
                <w:rFonts w:hint="default" w:ascii="Times New Roman" w:hAnsi="Times New Roman" w:eastAsia="宋体" w:cs="Times New Roman"/>
                <w:color w:val="auto"/>
                <w:sz w:val="24"/>
                <w:szCs w:val="24"/>
                <w:highlight w:val="none"/>
                <w:lang w:val="en-US" w:eastAsia="zh-CN"/>
              </w:rPr>
              <w:t>。</w:t>
            </w:r>
          </w:p>
          <w:p w14:paraId="079DBBF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经调查，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采用“下铺上盖”方式。纯碱、膨润土废弃包装、废防渗布（不含油）由钻井单位（</w:t>
            </w:r>
            <w:r>
              <w:rPr>
                <w:rFonts w:hint="eastAsia" w:ascii="Times New Roman" w:hAnsi="Times New Roman" w:eastAsia="宋体" w:cs="Times New Roman"/>
                <w:color w:val="auto"/>
                <w:spacing w:val="0"/>
                <w:sz w:val="24"/>
                <w:szCs w:val="24"/>
                <w:highlight w:val="none"/>
                <w:lang w:val="en-US" w:eastAsia="zh-CN"/>
              </w:rPr>
              <w:t>五普40839HB</w:t>
            </w:r>
            <w:r>
              <w:rPr>
                <w:rFonts w:hint="default" w:ascii="Times New Roman" w:hAnsi="Times New Roman" w:eastAsia="宋体" w:cs="Times New Roman"/>
                <w:color w:val="auto"/>
                <w:spacing w:val="0"/>
                <w:sz w:val="24"/>
                <w:szCs w:val="24"/>
                <w:highlight w:val="none"/>
                <w:lang w:val="en-US" w:eastAsia="zh-CN"/>
              </w:rPr>
              <w:t>）回收综合利用。</w:t>
            </w:r>
          </w:p>
          <w:p w14:paraId="17F9874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施工期未产生废机油、废润滑油、建筑垃圾。</w:t>
            </w:r>
          </w:p>
          <w:p w14:paraId="2E25431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含油岩屑、落地油、被污染的防渗布、废含油抹布、废过硫酸钾包装袋经收集暂存于临时危废贮存库后，委托庆阳丰泰环保有限责任公司进行安全处置。施工场地设置生活垃圾箱（桶），经收集后交由就近的生活垃圾中转站处置。</w:t>
            </w:r>
          </w:p>
          <w:p w14:paraId="19282A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455"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清洁生产调查</w:t>
            </w:r>
          </w:p>
        </w:tc>
        <w:tc>
          <w:tcPr>
            <w:tcW w:w="7611"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建设单位按照清洁生产的要求进行施工，具体调查如下：</w:t>
            </w:r>
          </w:p>
          <w:p w14:paraId="79C60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default" w:ascii="Times New Roman" w:hAnsi="Times New Roman" w:eastAsia="宋体" w:cs="Times New Roman"/>
                <w:b/>
                <w:bCs/>
                <w:color w:val="auto"/>
                <w:sz w:val="24"/>
                <w:szCs w:val="24"/>
                <w:highlight w:val="none"/>
                <w:lang w:val="en-US" w:eastAsia="zh-CN" w:bidi="ar-SA"/>
              </w:rPr>
              <w:t>1、绿色钻井技术</w:t>
            </w:r>
          </w:p>
          <w:p w14:paraId="45BDB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（1）井口安装防喷器，减少井喷事故的概率。加强油井井口的密闭，加装密封垫，减少井口烃类的无组织挥发。</w:t>
            </w:r>
          </w:p>
          <w:p w14:paraId="21D77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（2）项目区域采取分区防渗措施；分区防渗的要求详见表4-3。防止对地下水造成污染。</w:t>
            </w:r>
          </w:p>
          <w:p w14:paraId="56D6E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（3）</w:t>
            </w:r>
            <w:r>
              <w:rPr>
                <w:rFonts w:hint="default" w:ascii="Times New Roman" w:hAnsi="Times New Roman" w:eastAsia="宋体" w:cs="Times New Roman"/>
                <w:color w:val="auto"/>
                <w:sz w:val="24"/>
                <w:szCs w:val="24"/>
                <w:highlight w:val="none"/>
                <w:lang w:val="en-US" w:eastAsia="zh-CN"/>
              </w:rPr>
              <w:t>废水、固废收集处理见上文。</w:t>
            </w:r>
          </w:p>
          <w:p w14:paraId="0BC501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建设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455"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环境风险事故防范及应急措施调查</w:t>
            </w:r>
          </w:p>
        </w:tc>
        <w:tc>
          <w:tcPr>
            <w:tcW w:w="7611"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（1）组织机构与职责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由应急领导小组、应急办公室、安全环保组、外部邻近消防资源、现场应急小组、事发单位承包商环境应急处置小组组成。各工作组分别由相关专业人员组成，紧急状态下，由应急救援指挥部统一指挥，分兵把关，各司其职，迅速展开救援工作，承担紧急抢险救援任务。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kern w:val="0"/>
                <w:sz w:val="24"/>
                <w:szCs w:val="24"/>
              </w:rPr>
              <mc:AlternateContent>
                <mc:Choice Requires="wpg">
                  <w:drawing>
                    <wp:inline distT="0" distB="0" distL="114300" distR="114300">
                      <wp:extent cx="4709160" cy="2649220"/>
                      <wp:effectExtent l="4445" t="4445" r="10795" b="13335"/>
                      <wp:docPr id="2" name="组合 2"/>
                      <wp:cNvGraphicFramePr/>
                      <a:graphic xmlns:a="http://schemas.openxmlformats.org/drawingml/2006/main">
                        <a:graphicData uri="http://schemas.microsoft.com/office/word/2010/wordprocessingGroup">
                          <wpg:wgp>
                            <wpg:cNvGrpSpPr/>
                            <wpg:grpSpPr>
                              <a:xfrm>
                                <a:off x="0" y="0"/>
                                <a:ext cx="4709164" cy="2649220"/>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8.6pt;width:370.8pt;" coordorigin="7876,284235" coordsize="7365,3515" o:gfxdata="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IuwlovXAAAABQEAAA8AAAAAAAAAAQAgAAAAIgAAAGRycy9kb3ducmV2&#10;LnhtbFBLAQIUABQAAAAIAIdO4kBbYsg2GwUAABAmAAAOAAAAAAAAAAEAIAAAACYBAABkcnMvZTJv&#10;RG9jLnhtbFBLBQYAAAAABgAGAFkBAACzC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突发环境事件应急预案》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应急物资充分，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工程从施工到目前未发生过环境污染事故。采取的环境风险防范措施及应急预案切实有效。采油一厂已制定了突发环境事件应急预案，并于</w:t>
            </w:r>
            <w:r>
              <w:rPr>
                <w:rFonts w:hint="eastAsia" w:ascii="Times New Roman" w:hAnsi="Times New Roman" w:eastAsia="宋体" w:cs="Times New Roman"/>
                <w:color w:val="auto"/>
                <w:sz w:val="24"/>
                <w:szCs w:val="24"/>
                <w:highlight w:val="none"/>
                <w:lang w:val="en-US" w:eastAsia="zh-CN" w:bidi="ar-SA"/>
              </w:rPr>
              <w:t>2023年1月11日</w:t>
            </w:r>
            <w:r>
              <w:rPr>
                <w:rFonts w:hint="default" w:ascii="Times New Roman" w:hAnsi="Times New Roman" w:eastAsia="宋体" w:cs="Times New Roman"/>
                <w:color w:val="auto"/>
                <w:sz w:val="24"/>
                <w:szCs w:val="24"/>
                <w:highlight w:val="none"/>
                <w:lang w:val="en-US" w:eastAsia="zh-CN" w:bidi="ar-SA"/>
              </w:rPr>
              <w:t>取得了庆阳市生态环境局</w:t>
            </w:r>
            <w:r>
              <w:rPr>
                <w:rFonts w:hint="eastAsia" w:ascii="Times New Roman" w:hAnsi="Times New Roman" w:eastAsia="宋体" w:cs="Times New Roman"/>
                <w:color w:val="auto"/>
                <w:sz w:val="24"/>
                <w:szCs w:val="24"/>
                <w:highlight w:val="none"/>
                <w:lang w:val="en-US" w:eastAsia="zh-CN" w:bidi="ar-SA"/>
              </w:rPr>
              <w:t>宁县分局</w:t>
            </w:r>
            <w:r>
              <w:rPr>
                <w:rFonts w:hint="default" w:ascii="Times New Roman" w:hAnsi="Times New Roman" w:eastAsia="宋体" w:cs="Times New Roman"/>
                <w:color w:val="auto"/>
                <w:sz w:val="24"/>
                <w:szCs w:val="24"/>
                <w:highlight w:val="none"/>
                <w:lang w:val="en-US" w:eastAsia="zh-CN" w:bidi="ar-SA"/>
              </w:rPr>
              <w:t>预案备案文件（见附件），并按照预案中相关应急措施进行定期演练。该应急预案修编日期为</w:t>
            </w:r>
            <w:r>
              <w:rPr>
                <w:rFonts w:hint="eastAsia" w:ascii="Times New Roman" w:hAnsi="Times New Roman" w:eastAsia="宋体" w:cs="Times New Roman"/>
                <w:color w:val="auto"/>
                <w:sz w:val="24"/>
                <w:szCs w:val="24"/>
                <w:highlight w:val="none"/>
                <w:lang w:val="en-US" w:eastAsia="zh-CN" w:bidi="ar-SA"/>
              </w:rPr>
              <w:t>2026年1月11日</w:t>
            </w:r>
            <w:r>
              <w:rPr>
                <w:rFonts w:hint="default" w:ascii="Times New Roman" w:hAnsi="Times New Roman" w:eastAsia="宋体" w:cs="Times New Roman"/>
                <w:color w:val="auto"/>
                <w:sz w:val="24"/>
                <w:szCs w:val="24"/>
                <w:highlight w:val="none"/>
                <w:lang w:val="en-US" w:eastAsia="zh-CN" w:bidi="ar-SA"/>
              </w:rPr>
              <w:t>，在本项目验收时间范围内。</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社会影响</w:t>
            </w:r>
          </w:p>
        </w:tc>
        <w:tc>
          <w:tcPr>
            <w:tcW w:w="7611" w:type="dxa"/>
            <w:shd w:val="clear" w:color="auto" w:fill="auto"/>
            <w:tcMar>
              <w:top w:w="85" w:type="dxa"/>
              <w:left w:w="108" w:type="dxa"/>
              <w:bottom w:w="85" w:type="dxa"/>
              <w:right w:w="108" w:type="dxa"/>
            </w:tcMar>
            <w:vAlign w:val="center"/>
          </w:tcPr>
          <w:p w14:paraId="27FF66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restart"/>
            <w:vAlign w:val="center"/>
          </w:tcPr>
          <w:p w14:paraId="6847A3F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2388D1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456"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11" w:type="dxa"/>
            <w:vMerge w:val="restart"/>
            <w:shd w:val="clear" w:color="auto" w:fill="auto"/>
            <w:tcMar>
              <w:top w:w="85" w:type="dxa"/>
              <w:left w:w="108" w:type="dxa"/>
              <w:bottom w:w="85" w:type="dxa"/>
              <w:right w:w="108" w:type="dxa"/>
            </w:tcMar>
            <w:vAlign w:val="center"/>
          </w:tcPr>
          <w:p w14:paraId="10DE76A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经试油，井场具有工业开采价值，临时关井，待转产，本次验收不涉及运行期。</w:t>
            </w:r>
          </w:p>
          <w:p w14:paraId="5333E1DC">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0D9FD643">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B09FF86">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296E5B8">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6F4CFD93">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262EE916">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5B52DFE2">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3A33E636">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6E9E8129">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0CEC015B">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788FE8DE">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6A88E52F">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6D7A6CA0">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20A09C7C">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2A1F8BF4">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01666CF6">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7663D442">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p w14:paraId="289B1E66">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微软雅黑" w:cs="Times New Roman"/>
                <w:color w:val="auto"/>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11"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cs="Times New Roman"/>
                <w:color w:val="auto"/>
                <w:sz w:val="24"/>
                <w:szCs w:val="24"/>
                <w:highlight w:val="none"/>
              </w:rPr>
            </w:pPr>
          </w:p>
        </w:tc>
        <w:tc>
          <w:tcPr>
            <w:tcW w:w="456"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eastAsia="宋体" w:cs="Times New Roman"/>
                <w:b/>
                <w:bCs/>
                <w:color w:val="auto"/>
                <w:sz w:val="24"/>
                <w:szCs w:val="24"/>
                <w:highlight w:val="none"/>
                <w:lang w:eastAsia="zh-CN"/>
              </w:rPr>
              <w:t>社会影响</w:t>
            </w:r>
          </w:p>
        </w:tc>
        <w:tc>
          <w:tcPr>
            <w:tcW w:w="7611" w:type="dxa"/>
            <w:vMerge w:val="continue"/>
            <w:tcMar>
              <w:top w:w="85" w:type="dxa"/>
              <w:left w:w="108" w:type="dxa"/>
              <w:bottom w:w="85" w:type="dxa"/>
              <w:right w:w="108" w:type="dxa"/>
            </w:tcMar>
            <w:vAlign w:val="center"/>
          </w:tcPr>
          <w:p w14:paraId="151BDF67">
            <w:pPr>
              <w:pStyle w:val="24"/>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firstLine="0" w:firstLineChars="0"/>
              <w:jc w:val="both"/>
              <w:textAlignment w:val="auto"/>
              <w:rPr>
                <w:rFonts w:hint="default" w:ascii="Times New Roman" w:hAnsi="Times New Roman" w:cs="Times New Roman"/>
                <w:color w:val="auto"/>
              </w:rPr>
            </w:pPr>
          </w:p>
        </w:tc>
      </w:tr>
    </w:tbl>
    <w:p w14:paraId="7423924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6" w:name="_Toc24330"/>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8.环境质量及污染源监测</w:t>
      </w:r>
      <w:bookmarkEnd w:id="1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107"/>
        <w:gridCol w:w="1922"/>
        <w:gridCol w:w="2425"/>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项目</w:t>
            </w:r>
          </w:p>
        </w:tc>
        <w:tc>
          <w:tcPr>
            <w:tcW w:w="122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监测频次</w:t>
            </w:r>
          </w:p>
        </w:tc>
        <w:tc>
          <w:tcPr>
            <w:tcW w:w="2039"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监测点位</w:t>
            </w:r>
          </w:p>
        </w:tc>
        <w:tc>
          <w:tcPr>
            <w:tcW w:w="2713"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监测项目</w:t>
            </w:r>
          </w:p>
        </w:tc>
        <w:tc>
          <w:tcPr>
            <w:tcW w:w="1801"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default" w:ascii="Times New Roman" w:hAnsi="Times New Roman" w:eastAsia="宋体" w:cs="Times New Roman"/>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44"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环境空气</w:t>
            </w:r>
          </w:p>
        </w:tc>
        <w:tc>
          <w:tcPr>
            <w:tcW w:w="122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44"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地下水环境</w:t>
            </w:r>
          </w:p>
        </w:tc>
        <w:tc>
          <w:tcPr>
            <w:tcW w:w="122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44"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声环境</w:t>
            </w:r>
          </w:p>
        </w:tc>
        <w:tc>
          <w:tcPr>
            <w:tcW w:w="122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44"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土壤环境</w:t>
            </w:r>
          </w:p>
        </w:tc>
        <w:tc>
          <w:tcPr>
            <w:tcW w:w="1225" w:type="dxa"/>
            <w:vAlign w:val="center"/>
          </w:tcPr>
          <w:p w14:paraId="4AAEE202">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2025年3月26日；监测频率：每个点采样1次</w:t>
            </w:r>
          </w:p>
        </w:tc>
        <w:tc>
          <w:tcPr>
            <w:tcW w:w="2039" w:type="dxa"/>
            <w:vAlign w:val="center"/>
          </w:tcPr>
          <w:p w14:paraId="031108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default"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000000" w:themeColor="text1"/>
                <w:szCs w:val="21"/>
                <w14:textFill>
                  <w14:solidFill>
                    <w14:schemeClr w14:val="tx1"/>
                  </w14:solidFill>
                </w14:textFill>
              </w:rPr>
              <w:t>E107°47′38″</w:t>
            </w:r>
          </w:p>
          <w:p w14:paraId="3E1C4D5B">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Cs w:val="21"/>
                <w14:textFill>
                  <w14:solidFill>
                    <w14:schemeClr w14:val="tx1"/>
                  </w14:solidFill>
                </w14:textFill>
              </w:rPr>
              <w:t>N35°22′39″</w:t>
            </w:r>
            <w:r>
              <w:rPr>
                <w:rFonts w:hint="default" w:ascii="Times New Roman" w:hAnsi="Times New Roman" w:eastAsia="宋体" w:cs="Times New Roman"/>
                <w:color w:val="auto"/>
                <w:spacing w:val="10"/>
                <w:sz w:val="21"/>
                <w:szCs w:val="21"/>
                <w:highlight w:val="none"/>
                <w:lang w:val="en-US" w:eastAsia="zh-CN" w:bidi="ar-SA"/>
              </w:rPr>
              <w:t>；</w:t>
            </w:r>
          </w:p>
          <w:p w14:paraId="0885CF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E107°47′38″</w:t>
            </w:r>
          </w:p>
          <w:p w14:paraId="3092744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Cs w:val="21"/>
                <w14:textFill>
                  <w14:solidFill>
                    <w14:schemeClr w14:val="tx1"/>
                  </w14:solidFill>
                </w14:textFill>
              </w:rPr>
              <w:t>N35°22′40″</w:t>
            </w:r>
          </w:p>
        </w:tc>
        <w:tc>
          <w:tcPr>
            <w:tcW w:w="2713" w:type="dxa"/>
            <w:vAlign w:val="center"/>
          </w:tcPr>
          <w:p w14:paraId="5B2D06B8">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3A4F8380">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5B6FBE89">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p>
        </w:tc>
        <w:tc>
          <w:tcPr>
            <w:tcW w:w="1801" w:type="dxa"/>
            <w:vAlign w:val="center"/>
          </w:tcPr>
          <w:p w14:paraId="0A1BD75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7" w:name="_Toc3866"/>
            <w:r>
              <w:rPr>
                <w:rFonts w:hint="default"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lang w:val="en-US" w:eastAsia="zh-CN"/>
              </w:rPr>
              <w:t>土壤监测结果见表8-1。</w:t>
            </w:r>
          </w:p>
          <w:p w14:paraId="4EB18F7E">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表8-</w:t>
            </w:r>
            <w:r>
              <w:rPr>
                <w:rFonts w:hint="default" w:ascii="Times New Roman" w:hAnsi="Times New Roman"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2684"/>
              <w:gridCol w:w="1728"/>
              <w:gridCol w:w="1931"/>
              <w:gridCol w:w="1125"/>
            </w:tblGrid>
            <w:tr w14:paraId="7CC472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vMerge w:val="restart"/>
                  <w:tcBorders>
                    <w:tl2br w:val="nil"/>
                    <w:tr2bl w:val="nil"/>
                  </w:tcBorders>
                  <w:noWrap w:val="0"/>
                  <w:tcMar>
                    <w:top w:w="0" w:type="dxa"/>
                    <w:left w:w="0" w:type="dxa"/>
                    <w:bottom w:w="0" w:type="dxa"/>
                    <w:right w:w="0" w:type="dxa"/>
                  </w:tcMar>
                  <w:vAlign w:val="center"/>
                </w:tcPr>
                <w:p w14:paraId="25D14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680" w:type="pct"/>
                  <w:vMerge w:val="restart"/>
                  <w:tcBorders>
                    <w:tl2br w:val="nil"/>
                    <w:tr2bl w:val="nil"/>
                  </w:tcBorders>
                  <w:noWrap w:val="0"/>
                  <w:tcMar>
                    <w:top w:w="0" w:type="dxa"/>
                    <w:left w:w="0" w:type="dxa"/>
                    <w:bottom w:w="0" w:type="dxa"/>
                    <w:right w:w="0" w:type="dxa"/>
                  </w:tcMar>
                  <w:vAlign w:val="center"/>
                </w:tcPr>
                <w:p w14:paraId="29600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291"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检测结果及日期(2025年3月26日)</w:t>
                  </w:r>
                </w:p>
              </w:tc>
              <w:tc>
                <w:tcPr>
                  <w:tcW w:w="704" w:type="pct"/>
                  <w:vMerge w:val="restart"/>
                  <w:tcBorders>
                    <w:tl2br w:val="nil"/>
                    <w:tr2bl w:val="nil"/>
                  </w:tcBorders>
                  <w:noWrap w:val="0"/>
                  <w:tcMar>
                    <w:top w:w="0" w:type="dxa"/>
                    <w:left w:w="0" w:type="dxa"/>
                    <w:bottom w:w="0" w:type="dxa"/>
                    <w:right w:w="0" w:type="dxa"/>
                  </w:tcMar>
                  <w:vAlign w:val="center"/>
                </w:tcPr>
                <w:p w14:paraId="08DFEF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标准限值</w:t>
                  </w:r>
                </w:p>
              </w:tc>
            </w:tr>
            <w:tr w14:paraId="3C4AC3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3" w:type="pct"/>
                  <w:vMerge w:val="continue"/>
                  <w:tcBorders>
                    <w:tl2br w:val="nil"/>
                    <w:tr2bl w:val="nil"/>
                  </w:tcBorders>
                  <w:noWrap w:val="0"/>
                  <w:tcMar>
                    <w:top w:w="0" w:type="dxa"/>
                    <w:left w:w="0" w:type="dxa"/>
                    <w:bottom w:w="0" w:type="dxa"/>
                    <w:right w:w="0" w:type="dxa"/>
                  </w:tcMar>
                  <w:vAlign w:val="center"/>
                </w:tcPr>
                <w:p w14:paraId="43A1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680" w:type="pct"/>
                  <w:vMerge w:val="continue"/>
                  <w:tcBorders>
                    <w:tl2br w:val="nil"/>
                    <w:tr2bl w:val="nil"/>
                  </w:tcBorders>
                  <w:noWrap w:val="0"/>
                  <w:tcMar>
                    <w:top w:w="0" w:type="dxa"/>
                    <w:left w:w="0" w:type="dxa"/>
                    <w:bottom w:w="0" w:type="dxa"/>
                    <w:right w:w="0" w:type="dxa"/>
                  </w:tcMar>
                  <w:vAlign w:val="center"/>
                </w:tcPr>
                <w:p w14:paraId="4DDBF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082"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和2H</w:t>
                  </w:r>
                  <w:r>
                    <w:rPr>
                      <w:rFonts w:hint="default" w:ascii="Times New Roman" w:hAnsi="Times New Roman" w:eastAsia="宋体" w:cs="Times New Roman"/>
                      <w:b w:val="0"/>
                      <w:bCs w:val="0"/>
                      <w:sz w:val="21"/>
                      <w:szCs w:val="21"/>
                      <w:u w:val="none"/>
                      <w:vertAlign w:val="baseline"/>
                      <w:lang w:val="en-US" w:eastAsia="zh-CN"/>
                    </w:rPr>
                    <w:t>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1209" w:type="pct"/>
                  <w:tcBorders>
                    <w:tl2br w:val="nil"/>
                    <w:tr2bl w:val="nil"/>
                  </w:tcBorders>
                  <w:shd w:val="clear" w:color="auto" w:fill="auto"/>
                  <w:noWrap w:val="0"/>
                  <w:tcMar>
                    <w:top w:w="0" w:type="dxa"/>
                    <w:left w:w="0" w:type="dxa"/>
                    <w:bottom w:w="0" w:type="dxa"/>
                    <w:right w:w="0" w:type="dxa"/>
                  </w:tcMar>
                  <w:vAlign w:val="center"/>
                </w:tcPr>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和2H</w:t>
                  </w:r>
                  <w:r>
                    <w:rPr>
                      <w:rFonts w:hint="default" w:ascii="Times New Roman" w:hAnsi="Times New Roman" w:eastAsia="宋体" w:cs="Times New Roman"/>
                      <w:b w:val="0"/>
                      <w:bCs w:val="0"/>
                      <w:sz w:val="21"/>
                      <w:szCs w:val="21"/>
                      <w:u w:val="none"/>
                      <w:vertAlign w:val="baseline"/>
                      <w:lang w:val="en-US" w:eastAsia="zh-CN"/>
                    </w:rPr>
                    <w:t>井场外(</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704" w:type="pct"/>
                  <w:vMerge w:val="continue"/>
                  <w:tcBorders>
                    <w:tl2br w:val="nil"/>
                    <w:tr2bl w:val="nil"/>
                  </w:tcBorders>
                  <w:noWrap w:val="0"/>
                  <w:tcMar>
                    <w:top w:w="0" w:type="dxa"/>
                    <w:left w:w="0" w:type="dxa"/>
                    <w:bottom w:w="0" w:type="dxa"/>
                    <w:right w:w="0" w:type="dxa"/>
                  </w:tcMar>
                  <w:vAlign w:val="center"/>
                </w:tcPr>
                <w:p w14:paraId="19F8C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p>
              </w:tc>
            </w:tr>
            <w:tr w14:paraId="294717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2B65B1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680" w:type="pct"/>
                  <w:tcBorders>
                    <w:tl2br w:val="nil"/>
                    <w:tr2bl w:val="nil"/>
                  </w:tcBorders>
                  <w:shd w:val="clear" w:color="auto" w:fill="auto"/>
                  <w:noWrap w:val="0"/>
                  <w:tcMar>
                    <w:top w:w="0" w:type="dxa"/>
                    <w:left w:w="0" w:type="dxa"/>
                    <w:bottom w:w="0" w:type="dxa"/>
                    <w:right w:w="0" w:type="dxa"/>
                  </w:tcMar>
                  <w:vAlign w:val="center"/>
                </w:tcPr>
                <w:p w14:paraId="031C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082" w:type="pct"/>
                  <w:tcBorders>
                    <w:tl2br w:val="nil"/>
                    <w:tr2bl w:val="nil"/>
                  </w:tcBorders>
                  <w:shd w:val="clear" w:color="auto" w:fill="auto"/>
                  <w:noWrap w:val="0"/>
                  <w:tcMar>
                    <w:top w:w="0" w:type="dxa"/>
                    <w:left w:w="0" w:type="dxa"/>
                    <w:bottom w:w="0" w:type="dxa"/>
                    <w:right w:w="0" w:type="dxa"/>
                  </w:tcMar>
                  <w:vAlign w:val="center"/>
                </w:tcPr>
                <w:p w14:paraId="0BC44A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7.36</w:t>
                  </w:r>
                </w:p>
              </w:tc>
              <w:tc>
                <w:tcPr>
                  <w:tcW w:w="1209" w:type="pct"/>
                  <w:tcBorders>
                    <w:tl2br w:val="nil"/>
                    <w:tr2bl w:val="nil"/>
                  </w:tcBorders>
                  <w:shd w:val="clear" w:color="auto" w:fill="auto"/>
                  <w:noWrap w:val="0"/>
                  <w:tcMar>
                    <w:top w:w="0" w:type="dxa"/>
                    <w:left w:w="0" w:type="dxa"/>
                    <w:bottom w:w="0" w:type="dxa"/>
                    <w:right w:w="0" w:type="dxa"/>
                  </w:tcMar>
                  <w:vAlign w:val="center"/>
                </w:tcPr>
                <w:p w14:paraId="6FCFB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 xml:space="preserve">7.40 </w:t>
                  </w:r>
                </w:p>
              </w:tc>
              <w:tc>
                <w:tcPr>
                  <w:tcW w:w="704" w:type="pct"/>
                  <w:tcBorders>
                    <w:tl2br w:val="nil"/>
                    <w:tr2bl w:val="nil"/>
                  </w:tcBorders>
                  <w:shd w:val="clear" w:color="auto" w:fill="auto"/>
                  <w:noWrap w:val="0"/>
                  <w:tcMar>
                    <w:top w:w="0" w:type="dxa"/>
                    <w:left w:w="0" w:type="dxa"/>
                    <w:bottom w:w="0" w:type="dxa"/>
                    <w:right w:w="0" w:type="dxa"/>
                  </w:tcMar>
                  <w:vAlign w:val="center"/>
                </w:tcPr>
                <w:p w14:paraId="38BC57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1748A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680" w:type="pct"/>
                  <w:tcBorders>
                    <w:tl2br w:val="nil"/>
                    <w:tr2bl w:val="nil"/>
                  </w:tcBorders>
                  <w:shd w:val="clear" w:color="auto" w:fill="auto"/>
                  <w:noWrap w:val="0"/>
                  <w:tcMar>
                    <w:top w:w="0" w:type="dxa"/>
                    <w:left w:w="0" w:type="dxa"/>
                    <w:bottom w:w="0" w:type="dxa"/>
                    <w:right w:w="0" w:type="dxa"/>
                  </w:tcMar>
                  <w:vAlign w:val="center"/>
                </w:tcPr>
                <w:p w14:paraId="26B6F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082" w:type="pct"/>
                  <w:tcBorders>
                    <w:tl2br w:val="nil"/>
                    <w:tr2bl w:val="nil"/>
                  </w:tcBorders>
                  <w:shd w:val="clear" w:color="auto" w:fill="auto"/>
                  <w:noWrap w:val="0"/>
                  <w:tcMar>
                    <w:top w:w="0" w:type="dxa"/>
                    <w:left w:w="0" w:type="dxa"/>
                    <w:bottom w:w="0" w:type="dxa"/>
                    <w:right w:w="0" w:type="dxa"/>
                  </w:tcMar>
                  <w:vAlign w:val="center"/>
                </w:tcPr>
                <w:p w14:paraId="086C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0.24</w:t>
                  </w:r>
                </w:p>
              </w:tc>
              <w:tc>
                <w:tcPr>
                  <w:tcW w:w="1209" w:type="pct"/>
                  <w:tcBorders>
                    <w:tl2br w:val="nil"/>
                    <w:tr2bl w:val="nil"/>
                  </w:tcBorders>
                  <w:shd w:val="clear" w:color="auto" w:fill="auto"/>
                  <w:noWrap w:val="0"/>
                  <w:tcMar>
                    <w:top w:w="0" w:type="dxa"/>
                    <w:left w:w="0" w:type="dxa"/>
                    <w:bottom w:w="0" w:type="dxa"/>
                    <w:right w:w="0" w:type="dxa"/>
                  </w:tcMar>
                  <w:vAlign w:val="center"/>
                </w:tcPr>
                <w:p w14:paraId="4E0AD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0.23</w:t>
                  </w:r>
                </w:p>
              </w:tc>
              <w:tc>
                <w:tcPr>
                  <w:tcW w:w="704"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0.3</w:t>
                  </w:r>
                </w:p>
              </w:tc>
            </w:tr>
            <w:bookmarkEnd w:id="18"/>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136E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680" w:type="pct"/>
                  <w:tcBorders>
                    <w:tl2br w:val="nil"/>
                    <w:tr2bl w:val="nil"/>
                  </w:tcBorders>
                  <w:shd w:val="clear" w:color="auto" w:fill="auto"/>
                  <w:noWrap w:val="0"/>
                  <w:tcMar>
                    <w:top w:w="0" w:type="dxa"/>
                    <w:left w:w="0" w:type="dxa"/>
                    <w:bottom w:w="0" w:type="dxa"/>
                    <w:right w:w="0" w:type="dxa"/>
                  </w:tcMar>
                  <w:vAlign w:val="center"/>
                </w:tcPr>
                <w:p w14:paraId="65D45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082" w:type="pct"/>
                  <w:tcBorders>
                    <w:tl2br w:val="nil"/>
                    <w:tr2bl w:val="nil"/>
                  </w:tcBorders>
                  <w:shd w:val="clear" w:color="auto" w:fill="auto"/>
                  <w:noWrap w:val="0"/>
                  <w:tcMar>
                    <w:top w:w="0" w:type="dxa"/>
                    <w:left w:w="0" w:type="dxa"/>
                    <w:bottom w:w="0" w:type="dxa"/>
                    <w:right w:w="0" w:type="dxa"/>
                  </w:tcMar>
                  <w:vAlign w:val="center"/>
                </w:tcPr>
                <w:p w14:paraId="0E38B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ND</w:t>
                  </w:r>
                </w:p>
              </w:tc>
              <w:tc>
                <w:tcPr>
                  <w:tcW w:w="1209" w:type="pct"/>
                  <w:tcBorders>
                    <w:tl2br w:val="nil"/>
                    <w:tr2bl w:val="nil"/>
                  </w:tcBorders>
                  <w:shd w:val="clear" w:color="auto" w:fill="auto"/>
                  <w:noWrap w:val="0"/>
                  <w:tcMar>
                    <w:top w:w="0" w:type="dxa"/>
                    <w:left w:w="0" w:type="dxa"/>
                    <w:bottom w:w="0" w:type="dxa"/>
                    <w:right w:w="0" w:type="dxa"/>
                  </w:tcMar>
                  <w:vAlign w:val="center"/>
                </w:tcPr>
                <w:p w14:paraId="09F71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46</w:t>
                  </w:r>
                </w:p>
              </w:tc>
              <w:tc>
                <w:tcPr>
                  <w:tcW w:w="704"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72EA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w:t>
                  </w:r>
                </w:p>
              </w:tc>
              <w:tc>
                <w:tcPr>
                  <w:tcW w:w="1680" w:type="pct"/>
                  <w:tcBorders>
                    <w:tl2br w:val="nil"/>
                    <w:tr2bl w:val="nil"/>
                  </w:tcBorders>
                  <w:shd w:val="clear" w:color="auto" w:fill="auto"/>
                  <w:noWrap w:val="0"/>
                  <w:tcMar>
                    <w:top w:w="0" w:type="dxa"/>
                    <w:left w:w="0" w:type="dxa"/>
                    <w:bottom w:w="0" w:type="dxa"/>
                    <w:right w:w="0" w:type="dxa"/>
                  </w:tcMar>
                  <w:vAlign w:val="center"/>
                </w:tcPr>
                <w:p w14:paraId="42495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082" w:type="pct"/>
                  <w:tcBorders>
                    <w:tl2br w:val="nil"/>
                    <w:tr2bl w:val="nil"/>
                  </w:tcBorders>
                  <w:shd w:val="clear" w:color="auto" w:fill="auto"/>
                  <w:noWrap w:val="0"/>
                  <w:tcMar>
                    <w:top w:w="0" w:type="dxa"/>
                    <w:left w:w="0" w:type="dxa"/>
                    <w:bottom w:w="0" w:type="dxa"/>
                    <w:right w:w="0" w:type="dxa"/>
                  </w:tcMar>
                  <w:vAlign w:val="center"/>
                </w:tcPr>
                <w:p w14:paraId="32C59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65</w:t>
                  </w:r>
                </w:p>
              </w:tc>
              <w:tc>
                <w:tcPr>
                  <w:tcW w:w="1209" w:type="pct"/>
                  <w:tcBorders>
                    <w:tl2br w:val="nil"/>
                    <w:tr2bl w:val="nil"/>
                  </w:tcBorders>
                  <w:shd w:val="clear" w:color="auto" w:fill="auto"/>
                  <w:noWrap w:val="0"/>
                  <w:tcMar>
                    <w:top w:w="0" w:type="dxa"/>
                    <w:left w:w="0" w:type="dxa"/>
                    <w:bottom w:w="0" w:type="dxa"/>
                    <w:right w:w="0" w:type="dxa"/>
                  </w:tcMar>
                  <w:vAlign w:val="center"/>
                </w:tcPr>
                <w:p w14:paraId="55DC7F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47</w:t>
                  </w:r>
                </w:p>
              </w:tc>
              <w:tc>
                <w:tcPr>
                  <w:tcW w:w="704"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2F4449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w:t>
                  </w:r>
                </w:p>
              </w:tc>
              <w:tc>
                <w:tcPr>
                  <w:tcW w:w="1680" w:type="pct"/>
                  <w:tcBorders>
                    <w:tl2br w:val="nil"/>
                    <w:tr2bl w:val="nil"/>
                  </w:tcBorders>
                  <w:shd w:val="clear" w:color="auto" w:fill="auto"/>
                  <w:noWrap w:val="0"/>
                  <w:tcMar>
                    <w:top w:w="0" w:type="dxa"/>
                    <w:left w:w="0" w:type="dxa"/>
                    <w:bottom w:w="0" w:type="dxa"/>
                    <w:right w:w="0" w:type="dxa"/>
                  </w:tcMar>
                  <w:vAlign w:val="center"/>
                </w:tcPr>
                <w:p w14:paraId="5FDC9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082" w:type="pct"/>
                  <w:tcBorders>
                    <w:tl2br w:val="nil"/>
                    <w:tr2bl w:val="nil"/>
                  </w:tcBorders>
                  <w:shd w:val="clear" w:color="auto" w:fill="auto"/>
                  <w:noWrap w:val="0"/>
                  <w:tcMar>
                    <w:top w:w="0" w:type="dxa"/>
                    <w:left w:w="0" w:type="dxa"/>
                    <w:bottom w:w="0" w:type="dxa"/>
                    <w:right w:w="0" w:type="dxa"/>
                  </w:tcMar>
                  <w:vAlign w:val="center"/>
                </w:tcPr>
                <w:p w14:paraId="58FC6D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43</w:t>
                  </w:r>
                </w:p>
              </w:tc>
              <w:tc>
                <w:tcPr>
                  <w:tcW w:w="1209" w:type="pct"/>
                  <w:tcBorders>
                    <w:tl2br w:val="nil"/>
                    <w:tr2bl w:val="nil"/>
                  </w:tcBorders>
                  <w:shd w:val="clear" w:color="auto" w:fill="auto"/>
                  <w:noWrap w:val="0"/>
                  <w:tcMar>
                    <w:top w:w="0" w:type="dxa"/>
                    <w:left w:w="0" w:type="dxa"/>
                    <w:bottom w:w="0" w:type="dxa"/>
                    <w:right w:w="0" w:type="dxa"/>
                  </w:tcMar>
                  <w:vAlign w:val="center"/>
                </w:tcPr>
                <w:p w14:paraId="0D44A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51</w:t>
                  </w:r>
                </w:p>
              </w:tc>
              <w:tc>
                <w:tcPr>
                  <w:tcW w:w="704"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6C5D9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6</w:t>
                  </w:r>
                </w:p>
              </w:tc>
              <w:tc>
                <w:tcPr>
                  <w:tcW w:w="1680" w:type="pct"/>
                  <w:tcBorders>
                    <w:tl2br w:val="nil"/>
                    <w:tr2bl w:val="nil"/>
                  </w:tcBorders>
                  <w:shd w:val="clear" w:color="auto" w:fill="auto"/>
                  <w:noWrap w:val="0"/>
                  <w:tcMar>
                    <w:top w:w="0" w:type="dxa"/>
                    <w:left w:w="0" w:type="dxa"/>
                    <w:bottom w:w="0" w:type="dxa"/>
                    <w:right w:w="0" w:type="dxa"/>
                  </w:tcMar>
                  <w:vAlign w:val="center"/>
                </w:tcPr>
                <w:p w14:paraId="42C83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082" w:type="pct"/>
                  <w:tcBorders>
                    <w:tl2br w:val="nil"/>
                    <w:tr2bl w:val="nil"/>
                  </w:tcBorders>
                  <w:shd w:val="clear" w:color="auto" w:fill="auto"/>
                  <w:noWrap w:val="0"/>
                  <w:tcMar>
                    <w:top w:w="0" w:type="dxa"/>
                    <w:left w:w="0" w:type="dxa"/>
                    <w:bottom w:w="0" w:type="dxa"/>
                    <w:right w:w="0" w:type="dxa"/>
                  </w:tcMar>
                  <w:vAlign w:val="center"/>
                </w:tcPr>
                <w:p w14:paraId="1CDFB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0.044</w:t>
                  </w:r>
                </w:p>
              </w:tc>
              <w:tc>
                <w:tcPr>
                  <w:tcW w:w="1209" w:type="pct"/>
                  <w:tcBorders>
                    <w:tl2br w:val="nil"/>
                    <w:tr2bl w:val="nil"/>
                  </w:tcBorders>
                  <w:shd w:val="clear" w:color="auto" w:fill="auto"/>
                  <w:noWrap w:val="0"/>
                  <w:tcMar>
                    <w:top w:w="0" w:type="dxa"/>
                    <w:left w:w="0" w:type="dxa"/>
                    <w:bottom w:w="0" w:type="dxa"/>
                    <w:right w:w="0" w:type="dxa"/>
                  </w:tcMar>
                  <w:vAlign w:val="center"/>
                </w:tcPr>
                <w:p w14:paraId="1F4BD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0.044</w:t>
                  </w:r>
                </w:p>
              </w:tc>
              <w:tc>
                <w:tcPr>
                  <w:tcW w:w="704"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6FBB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w:t>
                  </w:r>
                </w:p>
              </w:tc>
              <w:tc>
                <w:tcPr>
                  <w:tcW w:w="1680" w:type="pct"/>
                  <w:tcBorders>
                    <w:tl2br w:val="nil"/>
                    <w:tr2bl w:val="nil"/>
                  </w:tcBorders>
                  <w:shd w:val="clear" w:color="auto" w:fill="auto"/>
                  <w:noWrap w:val="0"/>
                  <w:tcMar>
                    <w:top w:w="0" w:type="dxa"/>
                    <w:left w:w="0" w:type="dxa"/>
                    <w:bottom w:w="0" w:type="dxa"/>
                    <w:right w:w="0" w:type="dxa"/>
                  </w:tcMar>
                  <w:vAlign w:val="center"/>
                </w:tcPr>
                <w:p w14:paraId="7C250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082" w:type="pct"/>
                  <w:tcBorders>
                    <w:tl2br w:val="nil"/>
                    <w:tr2bl w:val="nil"/>
                  </w:tcBorders>
                  <w:shd w:val="clear" w:color="auto" w:fill="auto"/>
                  <w:noWrap w:val="0"/>
                  <w:tcMar>
                    <w:top w:w="0" w:type="dxa"/>
                    <w:left w:w="0" w:type="dxa"/>
                    <w:bottom w:w="0" w:type="dxa"/>
                    <w:right w:w="0" w:type="dxa"/>
                  </w:tcMar>
                  <w:vAlign w:val="center"/>
                </w:tcPr>
                <w:p w14:paraId="0BF4F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38</w:t>
                  </w:r>
                </w:p>
              </w:tc>
              <w:tc>
                <w:tcPr>
                  <w:tcW w:w="1209" w:type="pct"/>
                  <w:tcBorders>
                    <w:tl2br w:val="nil"/>
                    <w:tr2bl w:val="nil"/>
                  </w:tcBorders>
                  <w:shd w:val="clear" w:color="auto" w:fill="auto"/>
                  <w:noWrap w:val="0"/>
                  <w:tcMar>
                    <w:top w:w="0" w:type="dxa"/>
                    <w:left w:w="0" w:type="dxa"/>
                    <w:bottom w:w="0" w:type="dxa"/>
                    <w:right w:w="0" w:type="dxa"/>
                  </w:tcMar>
                  <w:vAlign w:val="center"/>
                </w:tcPr>
                <w:p w14:paraId="37173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40</w:t>
                  </w:r>
                </w:p>
              </w:tc>
              <w:tc>
                <w:tcPr>
                  <w:tcW w:w="704"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3D159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w:t>
                  </w:r>
                </w:p>
              </w:tc>
              <w:tc>
                <w:tcPr>
                  <w:tcW w:w="1680" w:type="pct"/>
                  <w:tcBorders>
                    <w:tl2br w:val="nil"/>
                    <w:tr2bl w:val="nil"/>
                  </w:tcBorders>
                  <w:shd w:val="clear" w:color="auto" w:fill="auto"/>
                  <w:noWrap w:val="0"/>
                  <w:tcMar>
                    <w:top w:w="0" w:type="dxa"/>
                    <w:left w:w="0" w:type="dxa"/>
                    <w:bottom w:w="0" w:type="dxa"/>
                    <w:right w:w="0" w:type="dxa"/>
                  </w:tcMar>
                  <w:vAlign w:val="center"/>
                </w:tcPr>
                <w:p w14:paraId="68B7D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082" w:type="pct"/>
                  <w:tcBorders>
                    <w:tl2br w:val="nil"/>
                    <w:tr2bl w:val="nil"/>
                  </w:tcBorders>
                  <w:shd w:val="clear" w:color="auto" w:fill="auto"/>
                  <w:noWrap w:val="0"/>
                  <w:tcMar>
                    <w:top w:w="0" w:type="dxa"/>
                    <w:left w:w="0" w:type="dxa"/>
                    <w:bottom w:w="0" w:type="dxa"/>
                    <w:right w:w="0" w:type="dxa"/>
                  </w:tcMar>
                  <w:vAlign w:val="center"/>
                </w:tcPr>
                <w:p w14:paraId="7CBD8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9.42</w:t>
                  </w:r>
                </w:p>
              </w:tc>
              <w:tc>
                <w:tcPr>
                  <w:tcW w:w="1209" w:type="pct"/>
                  <w:tcBorders>
                    <w:tl2br w:val="nil"/>
                    <w:tr2bl w:val="nil"/>
                  </w:tcBorders>
                  <w:shd w:val="clear" w:color="auto" w:fill="auto"/>
                  <w:noWrap w:val="0"/>
                  <w:tcMar>
                    <w:top w:w="0" w:type="dxa"/>
                    <w:left w:w="0" w:type="dxa"/>
                    <w:bottom w:w="0" w:type="dxa"/>
                    <w:right w:w="0" w:type="dxa"/>
                  </w:tcMar>
                  <w:vAlign w:val="center"/>
                </w:tcPr>
                <w:p w14:paraId="32DD96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8.82</w:t>
                  </w:r>
                </w:p>
              </w:tc>
              <w:tc>
                <w:tcPr>
                  <w:tcW w:w="704"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28555D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9" w:name="OLE_LINK10" w:colFirst="0" w:colLast="0"/>
                  <w:r>
                    <w:rPr>
                      <w:rFonts w:hint="default" w:ascii="Times New Roman" w:hAnsi="Times New Roman" w:eastAsia="宋体" w:cs="Times New Roman"/>
                      <w:b w:val="0"/>
                      <w:bCs w:val="0"/>
                      <w:sz w:val="21"/>
                      <w:szCs w:val="21"/>
                      <w:u w:val="none"/>
                      <w:vertAlign w:val="baseline"/>
                      <w:lang w:val="en-US" w:eastAsia="zh-CN"/>
                    </w:rPr>
                    <w:t>9</w:t>
                  </w:r>
                </w:p>
              </w:tc>
              <w:tc>
                <w:tcPr>
                  <w:tcW w:w="1680" w:type="pct"/>
                  <w:tcBorders>
                    <w:tl2br w:val="nil"/>
                    <w:tr2bl w:val="nil"/>
                  </w:tcBorders>
                  <w:shd w:val="clear" w:color="auto" w:fill="auto"/>
                  <w:noWrap w:val="0"/>
                  <w:tcMar>
                    <w:top w:w="0" w:type="dxa"/>
                    <w:left w:w="0" w:type="dxa"/>
                    <w:bottom w:w="0" w:type="dxa"/>
                    <w:right w:w="0" w:type="dxa"/>
                  </w:tcMar>
                  <w:vAlign w:val="center"/>
                </w:tcPr>
                <w:p w14:paraId="6E496C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 xml:space="preserve">锌(mg/kg) </w:t>
                  </w:r>
                </w:p>
              </w:tc>
              <w:tc>
                <w:tcPr>
                  <w:tcW w:w="1082" w:type="pct"/>
                  <w:tcBorders>
                    <w:tl2br w:val="nil"/>
                    <w:tr2bl w:val="nil"/>
                  </w:tcBorders>
                  <w:shd w:val="clear" w:color="auto" w:fill="auto"/>
                  <w:noWrap w:val="0"/>
                  <w:tcMar>
                    <w:top w:w="0" w:type="dxa"/>
                    <w:left w:w="0" w:type="dxa"/>
                    <w:bottom w:w="0" w:type="dxa"/>
                    <w:right w:w="0" w:type="dxa"/>
                  </w:tcMar>
                  <w:vAlign w:val="center"/>
                </w:tcPr>
                <w:p w14:paraId="79B313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61</w:t>
                  </w:r>
                </w:p>
              </w:tc>
              <w:tc>
                <w:tcPr>
                  <w:tcW w:w="1209" w:type="pct"/>
                  <w:tcBorders>
                    <w:tl2br w:val="nil"/>
                    <w:tr2bl w:val="nil"/>
                  </w:tcBorders>
                  <w:shd w:val="clear" w:color="auto" w:fill="auto"/>
                  <w:noWrap w:val="0"/>
                  <w:tcMar>
                    <w:top w:w="0" w:type="dxa"/>
                    <w:left w:w="0" w:type="dxa"/>
                    <w:bottom w:w="0" w:type="dxa"/>
                    <w:right w:w="0" w:type="dxa"/>
                  </w:tcMar>
                  <w:vAlign w:val="center"/>
                </w:tcPr>
                <w:p w14:paraId="3ADF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51</w:t>
                  </w:r>
                </w:p>
              </w:tc>
              <w:tc>
                <w:tcPr>
                  <w:tcW w:w="704"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55878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1680" w:type="pct"/>
                  <w:tcBorders>
                    <w:tl2br w:val="nil"/>
                    <w:tr2bl w:val="nil"/>
                  </w:tcBorders>
                  <w:shd w:val="clear" w:color="auto" w:fill="auto"/>
                  <w:noWrap w:val="0"/>
                  <w:tcMar>
                    <w:top w:w="0" w:type="dxa"/>
                    <w:left w:w="0" w:type="dxa"/>
                    <w:bottom w:w="0" w:type="dxa"/>
                    <w:right w:w="0" w:type="dxa"/>
                  </w:tcMar>
                  <w:vAlign w:val="center"/>
                </w:tcPr>
                <w:p w14:paraId="3CF92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石油烃（</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6</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9</w:t>
                  </w:r>
                  <w:r>
                    <w:rPr>
                      <w:rFonts w:hint="default" w:ascii="Times New Roman" w:hAnsi="Times New Roman" w:eastAsia="宋体" w:cs="Times New Roman"/>
                      <w:b w:val="0"/>
                      <w:bCs w:val="0"/>
                      <w:sz w:val="21"/>
                      <w:szCs w:val="21"/>
                      <w:u w:val="none"/>
                      <w:vertAlign w:val="baseline"/>
                      <w:lang w:val="en-US" w:eastAsia="zh-CN"/>
                    </w:rPr>
                    <w:t>）(mg/kg)</w:t>
                  </w:r>
                </w:p>
              </w:tc>
              <w:tc>
                <w:tcPr>
                  <w:tcW w:w="1082" w:type="pct"/>
                  <w:tcBorders>
                    <w:tl2br w:val="nil"/>
                    <w:tr2bl w:val="nil"/>
                  </w:tcBorders>
                  <w:shd w:val="clear" w:color="auto" w:fill="auto"/>
                  <w:noWrap w:val="0"/>
                  <w:tcMar>
                    <w:top w:w="0" w:type="dxa"/>
                    <w:left w:w="0" w:type="dxa"/>
                    <w:bottom w:w="0" w:type="dxa"/>
                    <w:right w:w="0" w:type="dxa"/>
                  </w:tcMar>
                  <w:vAlign w:val="center"/>
                </w:tcPr>
                <w:p w14:paraId="2FAA5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1209" w:type="pct"/>
                  <w:tcBorders>
                    <w:tl2br w:val="nil"/>
                    <w:tr2bl w:val="nil"/>
                  </w:tcBorders>
                  <w:shd w:val="clear" w:color="auto" w:fill="auto"/>
                  <w:noWrap w:val="0"/>
                  <w:tcMar>
                    <w:top w:w="0" w:type="dxa"/>
                    <w:left w:w="0" w:type="dxa"/>
                    <w:bottom w:w="0" w:type="dxa"/>
                    <w:right w:w="0" w:type="dxa"/>
                  </w:tcMar>
                  <w:vAlign w:val="center"/>
                </w:tcPr>
                <w:p w14:paraId="67C0B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w:t>
                  </w:r>
                </w:p>
              </w:tc>
              <w:tc>
                <w:tcPr>
                  <w:tcW w:w="704"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 w:type="pct"/>
                  <w:tcBorders>
                    <w:tl2br w:val="nil"/>
                    <w:tr2bl w:val="nil"/>
                  </w:tcBorders>
                  <w:noWrap w:val="0"/>
                  <w:tcMar>
                    <w:top w:w="0" w:type="dxa"/>
                    <w:left w:w="0" w:type="dxa"/>
                    <w:bottom w:w="0" w:type="dxa"/>
                    <w:right w:w="0" w:type="dxa"/>
                  </w:tcMar>
                  <w:vAlign w:val="center"/>
                </w:tcPr>
                <w:p w14:paraId="20FB6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11</w:t>
                  </w:r>
                </w:p>
              </w:tc>
              <w:tc>
                <w:tcPr>
                  <w:tcW w:w="1680" w:type="pct"/>
                  <w:tcBorders>
                    <w:tl2br w:val="nil"/>
                    <w:tr2bl w:val="nil"/>
                  </w:tcBorders>
                  <w:shd w:val="clear" w:color="auto" w:fill="auto"/>
                  <w:noWrap w:val="0"/>
                  <w:tcMar>
                    <w:top w:w="0" w:type="dxa"/>
                    <w:left w:w="0" w:type="dxa"/>
                    <w:bottom w:w="0" w:type="dxa"/>
                    <w:right w:w="0" w:type="dxa"/>
                  </w:tcMar>
                  <w:vAlign w:val="center"/>
                </w:tcPr>
                <w:p w14:paraId="2FD5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石油烃（</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10</w:t>
                  </w:r>
                  <w:r>
                    <w:rPr>
                      <w:rFonts w:hint="default" w:ascii="Times New Roman" w:hAnsi="Times New Roman" w:eastAsia="宋体" w:cs="Times New Roman"/>
                      <w:color w:val="auto"/>
                      <w:spacing w:val="10"/>
                      <w:sz w:val="21"/>
                      <w:szCs w:val="21"/>
                      <w:highlight w:val="none"/>
                      <w:lang w:val="en-US" w:eastAsia="zh-CN" w:bidi="ar-SA"/>
                    </w:rPr>
                    <w:t>-C</w:t>
                  </w:r>
                  <w:r>
                    <w:rPr>
                      <w:rFonts w:hint="default" w:ascii="Times New Roman" w:hAnsi="Times New Roman" w:eastAsia="宋体" w:cs="Times New Roman"/>
                      <w:color w:val="auto"/>
                      <w:spacing w:val="10"/>
                      <w:sz w:val="21"/>
                      <w:szCs w:val="21"/>
                      <w:highlight w:val="none"/>
                      <w:vertAlign w:val="subscript"/>
                      <w:lang w:val="en-US" w:eastAsia="zh-CN" w:bidi="ar-SA"/>
                    </w:rPr>
                    <w:t>40</w:t>
                  </w:r>
                  <w:r>
                    <w:rPr>
                      <w:rFonts w:hint="default" w:ascii="Times New Roman" w:hAnsi="Times New Roman" w:eastAsia="宋体" w:cs="Times New Roman"/>
                      <w:b w:val="0"/>
                      <w:bCs w:val="0"/>
                      <w:sz w:val="21"/>
                      <w:szCs w:val="21"/>
                      <w:u w:val="none"/>
                      <w:vertAlign w:val="baseline"/>
                      <w:lang w:val="en-US" w:eastAsia="zh-CN"/>
                    </w:rPr>
                    <w:t>）(mg/kg)</w:t>
                  </w:r>
                </w:p>
              </w:tc>
              <w:tc>
                <w:tcPr>
                  <w:tcW w:w="1082" w:type="pct"/>
                  <w:tcBorders>
                    <w:tl2br w:val="nil"/>
                    <w:tr2bl w:val="nil"/>
                  </w:tcBorders>
                  <w:shd w:val="clear" w:color="auto" w:fill="auto"/>
                  <w:noWrap w:val="0"/>
                  <w:tcMar>
                    <w:top w:w="0" w:type="dxa"/>
                    <w:left w:w="0" w:type="dxa"/>
                    <w:bottom w:w="0" w:type="dxa"/>
                    <w:right w:w="0" w:type="dxa"/>
                  </w:tcMar>
                  <w:vAlign w:val="center"/>
                </w:tcPr>
                <w:p w14:paraId="0BE23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36</w:t>
                  </w:r>
                </w:p>
              </w:tc>
              <w:tc>
                <w:tcPr>
                  <w:tcW w:w="1209" w:type="pct"/>
                  <w:tcBorders>
                    <w:tl2br w:val="nil"/>
                    <w:tr2bl w:val="nil"/>
                  </w:tcBorders>
                  <w:shd w:val="clear" w:color="auto" w:fill="auto"/>
                  <w:noWrap w:val="0"/>
                  <w:tcMar>
                    <w:top w:w="0" w:type="dxa"/>
                    <w:left w:w="0" w:type="dxa"/>
                    <w:bottom w:w="0" w:type="dxa"/>
                    <w:right w:w="0" w:type="dxa"/>
                  </w:tcMar>
                  <w:vAlign w:val="center"/>
                </w:tcPr>
                <w:p w14:paraId="2FE4D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21</w:t>
                  </w:r>
                </w:p>
              </w:tc>
              <w:tc>
                <w:tcPr>
                  <w:tcW w:w="704"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500</w:t>
                  </w:r>
                </w:p>
              </w:tc>
            </w:tr>
            <w:bookmarkEnd w:id="19"/>
          </w:tbl>
          <w:p w14:paraId="1CD8507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730601A3">
            <w:pPr>
              <w:keepNext w:val="0"/>
              <w:keepLines w:val="0"/>
              <w:widowControl w:val="0"/>
              <w:suppressLineNumbers w:val="0"/>
              <w:spacing w:before="0" w:beforeAutospacing="0" w:afterAutospacing="0"/>
              <w:ind w:left="0" w:right="0"/>
              <w:jc w:val="both"/>
              <w:rPr>
                <w:rFonts w:hint="default"/>
                <w:lang w:val="en-US" w:eastAsia="zh-CN"/>
              </w:rPr>
            </w:pPr>
          </w:p>
          <w:p w14:paraId="546AC1DB">
            <w:pPr>
              <w:keepNext w:val="0"/>
              <w:keepLines w:val="0"/>
              <w:widowControl w:val="0"/>
              <w:suppressLineNumbers w:val="0"/>
              <w:spacing w:before="0" w:beforeAutospacing="0" w:afterAutospacing="0"/>
              <w:ind w:left="0" w:right="0"/>
              <w:jc w:val="both"/>
              <w:rPr>
                <w:rFonts w:hint="default"/>
                <w:lang w:val="en-US" w:eastAsia="zh-CN"/>
              </w:rPr>
            </w:pPr>
          </w:p>
          <w:p w14:paraId="00E15C3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654FD4E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7C70D656">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7168FF42">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tc>
      </w:tr>
    </w:tbl>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9.环境管理</w:t>
      </w:r>
      <w:bookmarkEnd w:id="17"/>
      <w:r>
        <w:rPr>
          <w:rFonts w:hint="default"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为贯彻执行相关环境保护法律法规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及时了解项目及周围环境质量、社会因子的变化情况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掌握环境保护措施实施效果</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保证项目所在区域良好的环境质量</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本项目环境管理的主要目标为监督和检查项目污染防治措施、生态影响恢复措施的落实情况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确保各项环境保护措施按照环评及批复要求进行落实</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把项目建设对周边环境的影响减小到最低程度</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确保环境保护设施建设达到设计要求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1）施工期环境管理机构由</w:t>
            </w:r>
            <w:r>
              <w:rPr>
                <w:rFonts w:hint="default" w:ascii="Times New Roman" w:hAnsi="Times New Roman" w:eastAsia="宋体" w:cs="Times New Roman"/>
                <w:color w:val="auto"/>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rPr>
              <w:t>和施工单位联合组成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负责项目施工期间环境管理的组织、协调、监督和检查工作。在各个单项施工合同中列入环境保护的相关要求</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2）施工期环境管理机构工作人员监督、检查各项环保设施的落实情况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重点检查项目进站是否符合“三同时”原则。同时对施工期废气治理、污水处置、固废处置</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噪声排放等工作进行组织协调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通过现场调查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并根据建设单位提供的资料可知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在本项目的施工期间没有发生过环境污染事故</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本项目不涉及</w:t>
            </w:r>
            <w:r>
              <w:rPr>
                <w:rFonts w:hint="default" w:ascii="Times New Roman" w:hAnsi="Times New Roman" w:eastAsia="宋体" w:cs="Times New Roman"/>
                <w:color w:val="auto"/>
                <w:sz w:val="24"/>
                <w:szCs w:val="24"/>
                <w:highlight w:val="none"/>
                <w:lang w:eastAsia="zh-CN"/>
              </w:rPr>
              <w:t>石油</w:t>
            </w:r>
            <w:r>
              <w:rPr>
                <w:rFonts w:hint="default" w:ascii="Times New Roman" w:hAnsi="Times New Roman" w:eastAsia="宋体" w:cs="Times New Roman"/>
                <w:color w:val="auto"/>
                <w:sz w:val="24"/>
                <w:szCs w:val="24"/>
                <w:highlight w:val="none"/>
              </w:rPr>
              <w:t>开采</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rPr>
              <w:t>负责</w:t>
            </w:r>
            <w:r>
              <w:rPr>
                <w:rFonts w:hint="default" w:ascii="Times New Roman" w:hAnsi="Times New Roman" w:eastAsia="宋体" w:cs="Times New Roman"/>
                <w:color w:val="auto"/>
                <w:sz w:val="24"/>
                <w:szCs w:val="24"/>
                <w:highlight w:val="none"/>
                <w:lang w:eastAsia="zh-CN"/>
              </w:rPr>
              <w:t>井场</w:t>
            </w:r>
            <w:r>
              <w:rPr>
                <w:rFonts w:hint="default" w:ascii="Times New Roman" w:hAnsi="Times New Roman" w:eastAsia="宋体" w:cs="Times New Roman"/>
                <w:color w:val="auto"/>
                <w:sz w:val="24"/>
                <w:szCs w:val="24"/>
                <w:highlight w:val="none"/>
              </w:rPr>
              <w:t>关井期管理工作</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default"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强化</w:t>
            </w:r>
            <w:r>
              <w:rPr>
                <w:rFonts w:hint="default"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9.3</w:t>
            </w:r>
            <w:r>
              <w:rPr>
                <w:rFonts w:hint="default" w:ascii="Times New Roman" w:hAnsi="Times New Roman" w:eastAsia="宋体" w:cs="Times New Roman"/>
                <w:b/>
                <w:bCs/>
                <w:color w:val="auto"/>
                <w:sz w:val="24"/>
                <w:szCs w:val="24"/>
                <w:highlight w:val="none"/>
              </w:rPr>
              <w:t>监测计划及其落实情况</w:t>
            </w:r>
          </w:p>
          <w:p w14:paraId="562BD9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本项目为石油勘探项目，不涉及石油开采，环境影响报告表中未提出监测计划。</w:t>
            </w:r>
          </w:p>
          <w:p w14:paraId="6F0FC7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default" w:ascii="Times New Roman" w:hAnsi="Times New Roman" w:eastAsia="宋体" w:cs="Times New Roman"/>
                <w:b/>
                <w:bCs/>
                <w:color w:val="auto"/>
                <w:w w:val="100"/>
                <w:sz w:val="24"/>
                <w:szCs w:val="24"/>
                <w:highlight w:val="none"/>
                <w:vertAlign w:val="baseline"/>
                <w:lang w:val="en-US" w:eastAsia="zh-CN"/>
              </w:rPr>
              <w:t>9.4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lang w:val="en-US" w:eastAsia="zh-CN"/>
              </w:rPr>
            </w:pPr>
            <w:r>
              <w:rPr>
                <w:rFonts w:hint="default"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bidi="ar-SA"/>
              </w:rPr>
              <w:t>并于</w:t>
            </w:r>
            <w:r>
              <w:rPr>
                <w:rFonts w:hint="eastAsia" w:ascii="Times New Roman" w:hAnsi="Times New Roman" w:eastAsia="宋体" w:cs="Times New Roman"/>
                <w:color w:val="auto"/>
                <w:sz w:val="24"/>
                <w:szCs w:val="24"/>
                <w:highlight w:val="none"/>
                <w:lang w:val="en-US" w:eastAsia="zh-CN" w:bidi="ar-SA"/>
              </w:rPr>
              <w:t>2023年1月11日</w:t>
            </w:r>
            <w:r>
              <w:rPr>
                <w:rFonts w:hint="default" w:ascii="Times New Roman" w:hAnsi="Times New Roman" w:eastAsia="宋体" w:cs="Times New Roman"/>
                <w:color w:val="auto"/>
                <w:sz w:val="24"/>
                <w:szCs w:val="24"/>
                <w:highlight w:val="none"/>
                <w:lang w:val="en-US" w:eastAsia="zh-CN" w:bidi="ar-SA"/>
              </w:rPr>
              <w:t>取得了庆阳市生态环境局</w:t>
            </w:r>
            <w:r>
              <w:rPr>
                <w:rFonts w:hint="eastAsia" w:ascii="Times New Roman" w:hAnsi="Times New Roman" w:eastAsia="宋体" w:cs="Times New Roman"/>
                <w:color w:val="auto"/>
                <w:sz w:val="24"/>
                <w:szCs w:val="24"/>
                <w:highlight w:val="none"/>
                <w:lang w:val="en-US" w:eastAsia="zh-CN" w:bidi="ar-SA"/>
              </w:rPr>
              <w:t>宁县分局</w:t>
            </w:r>
            <w:r>
              <w:rPr>
                <w:rFonts w:hint="default" w:ascii="Times New Roman" w:hAnsi="Times New Roman" w:eastAsia="宋体" w:cs="Times New Roman"/>
                <w:color w:val="auto"/>
                <w:sz w:val="24"/>
                <w:szCs w:val="24"/>
                <w:highlight w:val="none"/>
                <w:lang w:val="en-US" w:eastAsia="zh-CN" w:bidi="ar-SA"/>
              </w:rPr>
              <w:t>备案文件。该应急预案修编日期为</w:t>
            </w:r>
            <w:r>
              <w:rPr>
                <w:rFonts w:hint="eastAsia" w:ascii="Times New Roman" w:hAnsi="Times New Roman" w:eastAsia="宋体" w:cs="Times New Roman"/>
                <w:color w:val="auto"/>
                <w:sz w:val="24"/>
                <w:szCs w:val="24"/>
                <w:highlight w:val="none"/>
                <w:lang w:val="en-US" w:eastAsia="zh-CN" w:bidi="ar-SA"/>
              </w:rPr>
              <w:t>2026年1月11日</w:t>
            </w:r>
            <w:r>
              <w:rPr>
                <w:rFonts w:hint="default" w:ascii="Times New Roman" w:hAnsi="Times New Roman" w:eastAsia="宋体" w:cs="Times New Roman"/>
                <w:color w:val="auto"/>
                <w:sz w:val="24"/>
                <w:szCs w:val="24"/>
                <w:highlight w:val="none"/>
                <w:lang w:val="en-US" w:eastAsia="zh-CN" w:bidi="ar-SA"/>
              </w:rPr>
              <w:t>，在本项目验收时间范围内。本项目已按该应急预案进行了应急演练。</w:t>
            </w:r>
            <w:r>
              <w:rPr>
                <w:rFonts w:hint="default" w:ascii="Times New Roman" w:hAnsi="Times New Roman" w:eastAsia="宋体" w:cs="Times New Roman"/>
                <w:color w:val="auto"/>
                <w:sz w:val="24"/>
                <w:szCs w:val="24"/>
                <w:highlight w:val="none"/>
                <w:lang w:val="en-US" w:eastAsia="zh-CN"/>
              </w:rPr>
              <w:t>环保管理机构与管理制度健全，环境保护相关档案资料齐备，保存完整，采取的环境管理措施到位，从现场调查的情况来看，环境保护工作取得了较好的效果，没有因环境管理失误对环境造成不良影响。</w:t>
            </w:r>
          </w:p>
          <w:p w14:paraId="73DAE3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9.6排污许可证</w:t>
            </w:r>
          </w:p>
          <w:p w14:paraId="469D8C7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E3073A1">
            <w:pPr>
              <w:keepNext w:val="0"/>
              <w:keepLines w:val="0"/>
              <w:widowControl w:val="0"/>
              <w:suppressLineNumbers w:val="0"/>
              <w:spacing w:before="0" w:beforeAutospacing="0" w:afterAutospacing="0"/>
              <w:ind w:left="0" w:right="0"/>
              <w:jc w:val="both"/>
              <w:rPr>
                <w:rFonts w:hint="default" w:ascii="Times New Roman" w:hAnsi="Times New Roman" w:cs="Times New Roman"/>
                <w:color w:val="auto"/>
                <w:lang w:val="en-US" w:eastAsia="zh-CN"/>
              </w:rPr>
            </w:pPr>
          </w:p>
          <w:p w14:paraId="2AA1D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20"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default" w:ascii="Times New Roman" w:hAnsi="Times New Roman" w:eastAsia="宋体" w:cs="Times New Roman"/>
          <w:b/>
          <w:bCs/>
          <w:color w:val="auto"/>
          <w:spacing w:val="10"/>
          <w:w w:val="95"/>
          <w:sz w:val="32"/>
          <w:szCs w:val="22"/>
          <w:highlight w:val="none"/>
          <w:lang w:val="en-US" w:eastAsia="zh-CN" w:bidi="ar-SA"/>
        </w:rPr>
        <w:t>10.调查结论与建议</w:t>
      </w:r>
      <w:bookmarkEnd w:id="20"/>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10.1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138835C3">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pacing w:val="0"/>
                <w:w w:val="100"/>
                <w:sz w:val="24"/>
                <w:szCs w:val="24"/>
                <w:highlight w:val="none"/>
                <w:lang w:eastAsia="zh-CN"/>
              </w:rPr>
              <w:t>和2H</w:t>
            </w:r>
            <w:r>
              <w:rPr>
                <w:rFonts w:hint="default" w:ascii="Times New Roman" w:hAnsi="Times New Roman" w:eastAsia="宋体" w:cs="Times New Roman"/>
                <w:color w:val="auto"/>
                <w:spacing w:val="0"/>
                <w:w w:val="100"/>
                <w:sz w:val="24"/>
                <w:szCs w:val="24"/>
                <w:highlight w:val="none"/>
                <w:lang w:eastAsia="zh-CN"/>
              </w:rPr>
              <w:t>：甘肃省庆阳市</w:t>
            </w:r>
            <w:r>
              <w:rPr>
                <w:rFonts w:hint="default" w:ascii="Times New Roman" w:hAnsi="Times New Roman" w:cs="Times New Roman"/>
                <w:color w:val="auto"/>
                <w:spacing w:val="0"/>
                <w:w w:val="100"/>
                <w:sz w:val="24"/>
                <w:szCs w:val="24"/>
                <w:highlight w:val="none"/>
                <w:lang w:eastAsia="zh-CN"/>
              </w:rPr>
              <w:t>宁县太昌镇肖家村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w:t>
            </w:r>
            <w:r>
              <w:rPr>
                <w:rFonts w:hint="default" w:ascii="Times New Roman" w:hAnsi="Times New Roman" w:cs="Times New Roman"/>
                <w:color w:val="auto"/>
                <w:spacing w:val="0"/>
                <w:w w:val="100"/>
                <w:sz w:val="24"/>
                <w:szCs w:val="24"/>
                <w:highlight w:val="none"/>
                <w:lang w:val="en-US" w:eastAsia="zh-CN"/>
              </w:rPr>
              <w:t>108°16′56.778″</w:t>
            </w:r>
            <w:r>
              <w:rPr>
                <w:rFonts w:hint="default" w:ascii="Times New Roman" w:hAnsi="Times New Roman" w:eastAsia="宋体" w:cs="Times New Roman"/>
                <w:color w:val="auto"/>
                <w:spacing w:val="0"/>
                <w:w w:val="100"/>
                <w:sz w:val="24"/>
                <w:szCs w:val="24"/>
                <w:highlight w:val="none"/>
                <w:lang w:val="en-US" w:eastAsia="zh-CN"/>
              </w:rPr>
              <w:t>，N</w:t>
            </w:r>
            <w:r>
              <w:rPr>
                <w:rFonts w:hint="default" w:ascii="Times New Roman" w:hAnsi="Times New Roman" w:cs="Times New Roman"/>
                <w:color w:val="auto"/>
                <w:spacing w:val="0"/>
                <w:w w:val="100"/>
                <w:sz w:val="24"/>
                <w:szCs w:val="24"/>
                <w:highlight w:val="none"/>
                <w:lang w:val="en-US" w:eastAsia="zh-CN"/>
              </w:rPr>
              <w:t>35°25′22.123″</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建设1</w:t>
            </w:r>
            <w:r>
              <w:rPr>
                <w:rFonts w:hint="default" w:ascii="Times New Roman" w:hAnsi="Times New Roman" w:eastAsia="宋体" w:cs="Times New Roman"/>
                <w:color w:val="auto"/>
                <w:sz w:val="24"/>
                <w:szCs w:val="24"/>
                <w:lang w:val="en-US" w:eastAsia="zh-CN"/>
              </w:rPr>
              <w:t>口</w:t>
            </w:r>
            <w:r>
              <w:rPr>
                <w:rFonts w:hint="default" w:ascii="Times New Roman" w:hAnsi="Times New Roman"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default" w:ascii="Times New Roman" w:hAnsi="Times New Roman" w:cs="Times New Roman"/>
                <w:color w:val="auto"/>
                <w:sz w:val="24"/>
                <w:szCs w:val="24"/>
                <w:lang w:val="en-US" w:eastAsia="zh-CN"/>
              </w:rPr>
              <w:t>及进场道路，</w:t>
            </w:r>
            <w:r>
              <w:rPr>
                <w:rFonts w:hint="default" w:ascii="Times New Roman" w:hAnsi="Times New Roman" w:eastAsia="宋体" w:cs="Times New Roman"/>
                <w:color w:val="auto"/>
                <w:sz w:val="24"/>
                <w:szCs w:val="24"/>
              </w:rPr>
              <w:t>临时占地</w:t>
            </w:r>
            <w:r>
              <w:rPr>
                <w:rFonts w:hint="default" w:ascii="Times New Roman" w:hAnsi="Times New Roman" w:cs="Times New Roman"/>
                <w:color w:val="auto"/>
                <w:sz w:val="24"/>
                <w:szCs w:val="24"/>
                <w:lang w:val="en-US" w:eastAsia="zh-CN"/>
              </w:rPr>
              <w:t>面积</w:t>
            </w:r>
            <w:r>
              <w:rPr>
                <w:rFonts w:hint="eastAsia" w:ascii="Times New Roman" w:hAnsi="Times New Roman" w:cs="Times New Roman"/>
                <w:color w:val="auto"/>
                <w:sz w:val="24"/>
                <w:szCs w:val="24"/>
                <w:lang w:val="en-US" w:eastAsia="zh-CN"/>
              </w:rPr>
              <w:t>7400</w:t>
            </w:r>
            <w:r>
              <w:rPr>
                <w:rFonts w:hint="default" w:ascii="Times New Roman" w:hAnsi="Times New Roman" w:cs="Times New Roman"/>
                <w:color w:val="auto"/>
                <w:sz w:val="24"/>
                <w:szCs w:val="24"/>
                <w:lang w:val="en-US" w:eastAsia="zh-CN"/>
              </w:rPr>
              <w:t>m</w:t>
            </w:r>
            <w:r>
              <w:rPr>
                <w:rFonts w:hint="default" w:ascii="Times New Roman" w:hAnsi="Times New Roman" w:cs="Times New Roman"/>
                <w:color w:val="auto"/>
                <w:sz w:val="24"/>
                <w:szCs w:val="24"/>
                <w:vertAlign w:val="superscript"/>
                <w:lang w:val="en-US" w:eastAsia="zh-CN"/>
              </w:rPr>
              <w:t>2</w:t>
            </w:r>
            <w:r>
              <w:rPr>
                <w:rFonts w:hint="default" w:ascii="Times New Roman" w:hAnsi="Times New Roman" w:cs="Times New Roman"/>
                <w:color w:val="auto"/>
                <w:sz w:val="24"/>
                <w:szCs w:val="24"/>
                <w:vertAlign w:val="baseline"/>
                <w:lang w:eastAsia="zh-CN"/>
              </w:rPr>
              <w:t>，</w:t>
            </w:r>
            <w:r>
              <w:rPr>
                <w:rFonts w:hint="default" w:ascii="Times New Roman" w:hAnsi="Times New Roman" w:cs="Times New Roman"/>
                <w:color w:val="auto"/>
                <w:sz w:val="24"/>
                <w:szCs w:val="24"/>
                <w:lang w:val="en-US" w:eastAsia="zh-CN"/>
              </w:rPr>
              <w:t>占地类型为耕地</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钻井深度为2104m</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井型为</w:t>
            </w:r>
            <w:r>
              <w:rPr>
                <w:rFonts w:hint="default" w:ascii="Times New Roman" w:hAnsi="Times New Roman" w:cs="Times New Roman"/>
                <w:color w:val="auto"/>
                <w:sz w:val="24"/>
                <w:szCs w:val="24"/>
                <w:lang w:val="en-US" w:eastAsia="zh-CN"/>
              </w:rPr>
              <w:t>直井</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lang w:val="en-US" w:eastAsia="zh-CN"/>
              </w:rPr>
              <w:t>目的层位</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长</w:t>
            </w:r>
            <w:r>
              <w:rPr>
                <w:rFonts w:hint="default" w:ascii="Times New Roman" w:hAnsi="Times New Roman" w:cs="Times New Roman"/>
                <w:color w:val="auto"/>
                <w:sz w:val="24"/>
                <w:szCs w:val="24"/>
                <w:lang w:val="en-US" w:eastAsia="zh-CN"/>
              </w:rPr>
              <w:t>8</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完钻层位“长</w:t>
            </w:r>
            <w:r>
              <w:rPr>
                <w:rFonts w:hint="default" w:ascii="Times New Roman" w:hAnsi="Times New Roman" w:cs="Times New Roman"/>
                <w:color w:val="auto"/>
                <w:sz w:val="24"/>
                <w:szCs w:val="24"/>
                <w:lang w:val="en-US" w:eastAsia="zh-CN"/>
              </w:rPr>
              <w:t>9</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rPr>
              <w:t>钻井结束后，进行了完井测试，工程实际建设内容与环评及审查意见内容一致。</w:t>
            </w:r>
          </w:p>
          <w:p w14:paraId="31E8417A">
            <w:pPr>
              <w:pStyle w:val="37"/>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default" w:ascii="Times New Roman" w:hAnsi="Times New Roman"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该项目实际总投资</w:t>
            </w: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00万元，环保投资为97.3万元，占工程实际总投资的</w:t>
            </w:r>
            <w:r>
              <w:rPr>
                <w:rFonts w:hint="eastAsia" w:ascii="Times New Roman" w:hAnsi="Times New Roman" w:eastAsia="宋体" w:cs="Times New Roman"/>
                <w:color w:val="auto"/>
                <w:spacing w:val="0"/>
                <w:w w:val="100"/>
                <w:sz w:val="24"/>
                <w:szCs w:val="24"/>
                <w:highlight w:val="none"/>
                <w:lang w:val="en-US" w:eastAsia="zh-CN" w:bidi="ar-SA"/>
              </w:rPr>
              <w:t>12.16%</w:t>
            </w:r>
            <w:r>
              <w:rPr>
                <w:rFonts w:hint="default" w:ascii="Times New Roman" w:hAnsi="Times New Roman" w:eastAsia="宋体" w:cs="Times New Roman"/>
                <w:color w:val="auto"/>
                <w:spacing w:val="0"/>
                <w:w w:val="100"/>
                <w:sz w:val="24"/>
                <w:szCs w:val="24"/>
                <w:highlight w:val="none"/>
                <w:lang w:val="en-US" w:eastAsia="zh-CN" w:bidi="ar-SA"/>
              </w:rPr>
              <w:t>。主要用于施工扬尘治理、废水处理、固体废物处理、噪声污染防治，以及施工迹地生态恢复等。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3、环境影响调查结论</w:t>
            </w:r>
          </w:p>
          <w:p w14:paraId="7BCDD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采油一厂已编制</w:t>
            </w:r>
            <w:r>
              <w:rPr>
                <w:rFonts w:hint="default" w:ascii="Times New Roman" w:hAnsi="Times New Roman" w:eastAsia="宋体" w:cs="Times New Roman"/>
                <w:color w:val="auto"/>
                <w:sz w:val="24"/>
                <w:szCs w:val="24"/>
                <w:highlight w:val="none"/>
                <w:lang w:val="en-US" w:eastAsia="zh-CN"/>
              </w:rPr>
              <w:t>突发环境事件应急预案，并于</w:t>
            </w:r>
            <w:r>
              <w:rPr>
                <w:rFonts w:hint="eastAsia" w:ascii="Times New Roman" w:hAnsi="Times New Roman" w:eastAsia="宋体" w:cs="Times New Roman"/>
                <w:color w:val="auto"/>
                <w:sz w:val="24"/>
                <w:szCs w:val="24"/>
                <w:highlight w:val="none"/>
                <w:lang w:val="en-US" w:eastAsia="zh-CN"/>
              </w:rPr>
              <w:t>2023年1月11日</w:t>
            </w:r>
            <w:r>
              <w:rPr>
                <w:rFonts w:hint="default" w:ascii="Times New Roman" w:hAnsi="Times New Roman" w:eastAsia="宋体" w:cs="Times New Roman"/>
                <w:color w:val="auto"/>
                <w:sz w:val="24"/>
                <w:szCs w:val="24"/>
                <w:highlight w:val="none"/>
                <w:lang w:val="en-US" w:eastAsia="zh-CN"/>
              </w:rPr>
              <w:t>取得了庆阳市生态环境局</w:t>
            </w:r>
            <w:r>
              <w:rPr>
                <w:rFonts w:hint="eastAsia" w:ascii="Times New Roman" w:hAnsi="Times New Roman" w:eastAsia="宋体" w:cs="Times New Roman"/>
                <w:color w:val="auto"/>
                <w:sz w:val="24"/>
                <w:szCs w:val="24"/>
                <w:highlight w:val="none"/>
                <w:lang w:val="en-US" w:eastAsia="zh-CN"/>
              </w:rPr>
              <w:t>宁县分局</w:t>
            </w:r>
            <w:r>
              <w:rPr>
                <w:rFonts w:hint="default" w:ascii="Times New Roman" w:hAnsi="Times New Roman" w:eastAsia="宋体" w:cs="Times New Roman"/>
                <w:color w:val="auto"/>
                <w:sz w:val="24"/>
                <w:szCs w:val="24"/>
                <w:highlight w:val="none"/>
                <w:lang w:val="en-US" w:eastAsia="zh-CN"/>
              </w:rPr>
              <w:t>预案备案文件，并按照预案中相关应急措施进行定期演练。该应急预案修编日期为</w:t>
            </w:r>
            <w:r>
              <w:rPr>
                <w:rFonts w:hint="eastAsia" w:ascii="Times New Roman" w:hAnsi="Times New Roman" w:eastAsia="宋体" w:cs="Times New Roman"/>
                <w:color w:val="auto"/>
                <w:sz w:val="24"/>
                <w:szCs w:val="24"/>
                <w:highlight w:val="none"/>
                <w:lang w:val="en-US" w:eastAsia="zh-CN"/>
              </w:rPr>
              <w:t>2026年1月11日</w:t>
            </w:r>
            <w:r>
              <w:rPr>
                <w:rFonts w:hint="default" w:ascii="Times New Roman" w:hAnsi="Times New Roman" w:eastAsia="宋体" w:cs="Times New Roman"/>
                <w:color w:val="auto"/>
                <w:sz w:val="24"/>
                <w:szCs w:val="24"/>
                <w:highlight w:val="none"/>
                <w:lang w:val="en-US" w:eastAsia="zh-CN"/>
              </w:rPr>
              <w:t>，在本项目验收时间范围内。</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51001B60">
            <w:pPr>
              <w:pStyle w:val="7"/>
              <w:keepNext/>
              <w:keepLines/>
              <w:pageBreakBefore w:val="0"/>
              <w:widowControl/>
              <w:numPr>
                <w:ilvl w:val="0"/>
                <w:numId w:val="7"/>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7C61B57C">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10.2建议和要求</w:t>
            </w:r>
          </w:p>
          <w:p w14:paraId="6D31BA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（1）加强项目施工过程中各项目环保资料的档案管理。 </w:t>
            </w:r>
          </w:p>
          <w:p w14:paraId="1E96760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（2）转生产井应尽快办理探井转生产井等相关环保手续。 </w:t>
            </w:r>
          </w:p>
          <w:p w14:paraId="441BA6C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（3）加强井场生态恢复管理，做好植被恢复养护工作，保证植被成活率。</w:t>
            </w:r>
          </w:p>
          <w:p w14:paraId="3E5F72B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5A0C02E0">
            <w:pPr>
              <w:pStyle w:val="5"/>
              <w:widowControl w:val="0"/>
              <w:suppressLineNumbers w:val="0"/>
              <w:spacing w:before="0"/>
              <w:ind w:left="0" w:right="0"/>
              <w:jc w:val="both"/>
              <w:rPr>
                <w:rFonts w:hint="default" w:ascii="Times New Roman" w:hAnsi="Times New Roman" w:cs="Times New Roman"/>
                <w:color w:val="auto"/>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5A68BD4D">
      <w:pPr>
        <w:rPr>
          <w:rFonts w:hint="default" w:ascii="Times New Roman" w:hAnsi="Times New Roman" w:eastAsia="宋体" w:cs="Times New Roman"/>
          <w:color w:val="auto"/>
          <w:highlight w:val="none"/>
        </w:rPr>
      </w:pPr>
    </w:p>
    <w:p w14:paraId="17A97569">
      <w:pPr>
        <w:pStyle w:val="24"/>
        <w:rPr>
          <w:rFonts w:hint="default" w:ascii="Times New Roman" w:hAnsi="Times New Roman" w:eastAsia="宋体" w:cs="Times New Roman"/>
          <w:color w:val="auto"/>
          <w:highlight w:val="none"/>
        </w:rPr>
      </w:pPr>
    </w:p>
    <w:p w14:paraId="59CD3D5C">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49046">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B8681">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B3B8681">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7666C5">
                          <w:pPr>
                            <w:pStyle w:val="1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F7666C5">
                    <w:pPr>
                      <w:pStyle w:val="1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CB2FF0EA"/>
    <w:multiLevelType w:val="singleLevel"/>
    <w:tmpl w:val="CB2FF0EA"/>
    <w:lvl w:ilvl="0" w:tentative="0">
      <w:start w:val="4"/>
      <w:numFmt w:val="decimal"/>
      <w:suff w:val="nothing"/>
      <w:lvlText w:val="%1、"/>
      <w:lvlJc w:val="left"/>
    </w:lvl>
  </w:abstractNum>
  <w:abstractNum w:abstractNumId="2">
    <w:nsid w:val="D604CBF7"/>
    <w:multiLevelType w:val="singleLevel"/>
    <w:tmpl w:val="D604CBF7"/>
    <w:lvl w:ilvl="0" w:tentative="0">
      <w:start w:val="4"/>
      <w:numFmt w:val="decimal"/>
      <w:lvlText w:val="%1."/>
      <w:lvlJc w:val="left"/>
      <w:pPr>
        <w:tabs>
          <w:tab w:val="left" w:pos="312"/>
        </w:tabs>
      </w:pPr>
    </w:lvl>
  </w:abstractNum>
  <w:abstractNum w:abstractNumId="3">
    <w:nsid w:val="DC941652"/>
    <w:multiLevelType w:val="singleLevel"/>
    <w:tmpl w:val="DC941652"/>
    <w:lvl w:ilvl="0" w:tentative="0">
      <w:start w:val="1"/>
      <w:numFmt w:val="decimal"/>
      <w:suff w:val="nothing"/>
      <w:lvlText w:val="（%1）"/>
      <w:lvlJc w:val="left"/>
    </w:lvl>
  </w:abstractNum>
  <w:abstractNum w:abstractNumId="4">
    <w:nsid w:val="483546B3"/>
    <w:multiLevelType w:val="singleLevel"/>
    <w:tmpl w:val="483546B3"/>
    <w:lvl w:ilvl="0" w:tentative="0">
      <w:start w:val="1"/>
      <w:numFmt w:val="decimal"/>
      <w:suff w:val="nothing"/>
      <w:lvlText w:val="%1、"/>
      <w:lvlJc w:val="left"/>
    </w:lvl>
  </w:abstractNum>
  <w:abstractNum w:abstractNumId="5">
    <w:nsid w:val="4F5213C2"/>
    <w:multiLevelType w:val="singleLevel"/>
    <w:tmpl w:val="4F5213C2"/>
    <w:lvl w:ilvl="0" w:tentative="0">
      <w:start w:val="1"/>
      <w:numFmt w:val="decimal"/>
      <w:suff w:val="nothing"/>
      <w:lvlText w:val="%1、"/>
      <w:lvlJc w:val="left"/>
    </w:lvl>
  </w:abstractNum>
  <w:abstractNum w:abstractNumId="6">
    <w:nsid w:val="7A416AFF"/>
    <w:multiLevelType w:val="singleLevel"/>
    <w:tmpl w:val="7A416AFF"/>
    <w:lvl w:ilvl="0" w:tentative="0">
      <w:start w:val="6"/>
      <w:numFmt w:val="decimal"/>
      <w:suff w:val="nothing"/>
      <w:lvlText w:val="%1、"/>
      <w:lvlJc w:val="left"/>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35135"/>
    <w:rsid w:val="00150EAD"/>
    <w:rsid w:val="0018274C"/>
    <w:rsid w:val="001F1C09"/>
    <w:rsid w:val="00220FB0"/>
    <w:rsid w:val="00295C6D"/>
    <w:rsid w:val="002C65ED"/>
    <w:rsid w:val="003145A2"/>
    <w:rsid w:val="003752C8"/>
    <w:rsid w:val="00390482"/>
    <w:rsid w:val="003F1D0B"/>
    <w:rsid w:val="003F23CE"/>
    <w:rsid w:val="004C4EDD"/>
    <w:rsid w:val="0055266A"/>
    <w:rsid w:val="00563274"/>
    <w:rsid w:val="005714C6"/>
    <w:rsid w:val="005B47D0"/>
    <w:rsid w:val="005C088A"/>
    <w:rsid w:val="005F037B"/>
    <w:rsid w:val="006911F9"/>
    <w:rsid w:val="0069744B"/>
    <w:rsid w:val="00724DE5"/>
    <w:rsid w:val="00732078"/>
    <w:rsid w:val="00733E26"/>
    <w:rsid w:val="007A1026"/>
    <w:rsid w:val="007B6B90"/>
    <w:rsid w:val="007D0F25"/>
    <w:rsid w:val="00803C8F"/>
    <w:rsid w:val="0086777B"/>
    <w:rsid w:val="008769CF"/>
    <w:rsid w:val="008A4EAD"/>
    <w:rsid w:val="008B5614"/>
    <w:rsid w:val="00951517"/>
    <w:rsid w:val="009B5E85"/>
    <w:rsid w:val="009C2C3A"/>
    <w:rsid w:val="009D0EA3"/>
    <w:rsid w:val="00A66BF9"/>
    <w:rsid w:val="00A83AD0"/>
    <w:rsid w:val="00AA32B3"/>
    <w:rsid w:val="00AC3E2D"/>
    <w:rsid w:val="00B32474"/>
    <w:rsid w:val="00B36066"/>
    <w:rsid w:val="00B51FAF"/>
    <w:rsid w:val="00B52690"/>
    <w:rsid w:val="00B561ED"/>
    <w:rsid w:val="00BA1A55"/>
    <w:rsid w:val="00C91C98"/>
    <w:rsid w:val="00CF3752"/>
    <w:rsid w:val="00D074CA"/>
    <w:rsid w:val="00D11846"/>
    <w:rsid w:val="00D17C72"/>
    <w:rsid w:val="00D74DF5"/>
    <w:rsid w:val="00DC19CB"/>
    <w:rsid w:val="00DF270A"/>
    <w:rsid w:val="00E645F8"/>
    <w:rsid w:val="00ED3BD8"/>
    <w:rsid w:val="00EF40AB"/>
    <w:rsid w:val="00EF5BA2"/>
    <w:rsid w:val="00EF7950"/>
    <w:rsid w:val="00F211EF"/>
    <w:rsid w:val="00F46D15"/>
    <w:rsid w:val="00F705B3"/>
    <w:rsid w:val="00F9135F"/>
    <w:rsid w:val="00FC02BF"/>
    <w:rsid w:val="00FF0E03"/>
    <w:rsid w:val="01017684"/>
    <w:rsid w:val="01062EEC"/>
    <w:rsid w:val="011138F0"/>
    <w:rsid w:val="01141165"/>
    <w:rsid w:val="011B7573"/>
    <w:rsid w:val="011C44BE"/>
    <w:rsid w:val="011E3D92"/>
    <w:rsid w:val="011F2AD1"/>
    <w:rsid w:val="01233A9E"/>
    <w:rsid w:val="01311D17"/>
    <w:rsid w:val="014D4677"/>
    <w:rsid w:val="016519C1"/>
    <w:rsid w:val="016D19EC"/>
    <w:rsid w:val="016D4D19"/>
    <w:rsid w:val="016F283F"/>
    <w:rsid w:val="01721FCC"/>
    <w:rsid w:val="017764CA"/>
    <w:rsid w:val="01787946"/>
    <w:rsid w:val="017936BE"/>
    <w:rsid w:val="0179546C"/>
    <w:rsid w:val="017A36FD"/>
    <w:rsid w:val="01820EA5"/>
    <w:rsid w:val="0185764C"/>
    <w:rsid w:val="01877B89"/>
    <w:rsid w:val="018A7679"/>
    <w:rsid w:val="019127B6"/>
    <w:rsid w:val="019422A6"/>
    <w:rsid w:val="019C3DA1"/>
    <w:rsid w:val="019E4ED3"/>
    <w:rsid w:val="01A2062B"/>
    <w:rsid w:val="01A26771"/>
    <w:rsid w:val="01AB3280"/>
    <w:rsid w:val="01B110AA"/>
    <w:rsid w:val="01B46289"/>
    <w:rsid w:val="01B82438"/>
    <w:rsid w:val="01BB5A85"/>
    <w:rsid w:val="01BE06BB"/>
    <w:rsid w:val="01C901A1"/>
    <w:rsid w:val="01C963F3"/>
    <w:rsid w:val="01CE2522"/>
    <w:rsid w:val="01CF1530"/>
    <w:rsid w:val="01D9415D"/>
    <w:rsid w:val="01E07299"/>
    <w:rsid w:val="01E90844"/>
    <w:rsid w:val="01EA5991"/>
    <w:rsid w:val="01EC0334"/>
    <w:rsid w:val="01EF3980"/>
    <w:rsid w:val="01F01BD2"/>
    <w:rsid w:val="01F176F8"/>
    <w:rsid w:val="01F40F97"/>
    <w:rsid w:val="01F42D45"/>
    <w:rsid w:val="01F86CD9"/>
    <w:rsid w:val="01FF0067"/>
    <w:rsid w:val="020421DD"/>
    <w:rsid w:val="020B07BA"/>
    <w:rsid w:val="020F7B7E"/>
    <w:rsid w:val="02131F64"/>
    <w:rsid w:val="021921CC"/>
    <w:rsid w:val="021B4775"/>
    <w:rsid w:val="022A2C9E"/>
    <w:rsid w:val="022D5DEF"/>
    <w:rsid w:val="023868B8"/>
    <w:rsid w:val="023B6634"/>
    <w:rsid w:val="024141DC"/>
    <w:rsid w:val="024912E2"/>
    <w:rsid w:val="024C492F"/>
    <w:rsid w:val="025714DE"/>
    <w:rsid w:val="025727E8"/>
    <w:rsid w:val="025832D3"/>
    <w:rsid w:val="02587777"/>
    <w:rsid w:val="025A529E"/>
    <w:rsid w:val="025D7143"/>
    <w:rsid w:val="025F4662"/>
    <w:rsid w:val="026478F5"/>
    <w:rsid w:val="026532A6"/>
    <w:rsid w:val="02734D1B"/>
    <w:rsid w:val="02757789"/>
    <w:rsid w:val="02777F2E"/>
    <w:rsid w:val="027A149C"/>
    <w:rsid w:val="028160FE"/>
    <w:rsid w:val="02830E67"/>
    <w:rsid w:val="028C11CF"/>
    <w:rsid w:val="028D6E3D"/>
    <w:rsid w:val="028E13EB"/>
    <w:rsid w:val="02935D81"/>
    <w:rsid w:val="02945FBB"/>
    <w:rsid w:val="029925B5"/>
    <w:rsid w:val="029B75CA"/>
    <w:rsid w:val="029F740E"/>
    <w:rsid w:val="02A4476B"/>
    <w:rsid w:val="02A705C7"/>
    <w:rsid w:val="02A76009"/>
    <w:rsid w:val="02A824AD"/>
    <w:rsid w:val="02AF4C2A"/>
    <w:rsid w:val="02BB22C4"/>
    <w:rsid w:val="02BD7E37"/>
    <w:rsid w:val="02BF7CA2"/>
    <w:rsid w:val="02C2251F"/>
    <w:rsid w:val="02C531E2"/>
    <w:rsid w:val="02C80459"/>
    <w:rsid w:val="02C83C80"/>
    <w:rsid w:val="02CA0054"/>
    <w:rsid w:val="02CB3234"/>
    <w:rsid w:val="02CC5BEF"/>
    <w:rsid w:val="02D47C5E"/>
    <w:rsid w:val="02D52B76"/>
    <w:rsid w:val="02DF21EF"/>
    <w:rsid w:val="02E05E32"/>
    <w:rsid w:val="02E73401"/>
    <w:rsid w:val="02ED7EC0"/>
    <w:rsid w:val="02EE3C38"/>
    <w:rsid w:val="02EF1E8A"/>
    <w:rsid w:val="03012405"/>
    <w:rsid w:val="03065425"/>
    <w:rsid w:val="03086AA8"/>
    <w:rsid w:val="030F1A68"/>
    <w:rsid w:val="031420BC"/>
    <w:rsid w:val="031A4F39"/>
    <w:rsid w:val="03217B69"/>
    <w:rsid w:val="03237D85"/>
    <w:rsid w:val="03241A2B"/>
    <w:rsid w:val="03253AFD"/>
    <w:rsid w:val="0328143D"/>
    <w:rsid w:val="032A692E"/>
    <w:rsid w:val="032B4594"/>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33BCD"/>
    <w:rsid w:val="038C32FA"/>
    <w:rsid w:val="038D3AF2"/>
    <w:rsid w:val="03906A9D"/>
    <w:rsid w:val="03915D3E"/>
    <w:rsid w:val="03922815"/>
    <w:rsid w:val="03933BE9"/>
    <w:rsid w:val="03965E35"/>
    <w:rsid w:val="03977E2B"/>
    <w:rsid w:val="03996BF7"/>
    <w:rsid w:val="039B3DC0"/>
    <w:rsid w:val="039B791C"/>
    <w:rsid w:val="039C4493"/>
    <w:rsid w:val="039E740C"/>
    <w:rsid w:val="03A013D6"/>
    <w:rsid w:val="03A02DE7"/>
    <w:rsid w:val="03A04F32"/>
    <w:rsid w:val="03BD629B"/>
    <w:rsid w:val="03BE185C"/>
    <w:rsid w:val="03C926DB"/>
    <w:rsid w:val="03CC68AD"/>
    <w:rsid w:val="03CE7CF1"/>
    <w:rsid w:val="03CF3A69"/>
    <w:rsid w:val="03CF5817"/>
    <w:rsid w:val="03D270B5"/>
    <w:rsid w:val="03D66BA6"/>
    <w:rsid w:val="03E70DB3"/>
    <w:rsid w:val="03E92ECA"/>
    <w:rsid w:val="03EA2651"/>
    <w:rsid w:val="03F4702C"/>
    <w:rsid w:val="03F62DA4"/>
    <w:rsid w:val="03F711C3"/>
    <w:rsid w:val="04003C23"/>
    <w:rsid w:val="0405748B"/>
    <w:rsid w:val="040B1509"/>
    <w:rsid w:val="040B79B6"/>
    <w:rsid w:val="040D6D41"/>
    <w:rsid w:val="04114082"/>
    <w:rsid w:val="041616A2"/>
    <w:rsid w:val="041A1188"/>
    <w:rsid w:val="041D688F"/>
    <w:rsid w:val="04277401"/>
    <w:rsid w:val="042C0DCB"/>
    <w:rsid w:val="042E2066"/>
    <w:rsid w:val="0431202E"/>
    <w:rsid w:val="04341766"/>
    <w:rsid w:val="04367644"/>
    <w:rsid w:val="043809FC"/>
    <w:rsid w:val="043833BC"/>
    <w:rsid w:val="04387860"/>
    <w:rsid w:val="043B6147"/>
    <w:rsid w:val="04433F31"/>
    <w:rsid w:val="04473600"/>
    <w:rsid w:val="04482E3E"/>
    <w:rsid w:val="044959C1"/>
    <w:rsid w:val="045126D0"/>
    <w:rsid w:val="045521C0"/>
    <w:rsid w:val="045A1585"/>
    <w:rsid w:val="04644D0D"/>
    <w:rsid w:val="0467106F"/>
    <w:rsid w:val="04675A50"/>
    <w:rsid w:val="046C66E4"/>
    <w:rsid w:val="046E7887"/>
    <w:rsid w:val="047168CE"/>
    <w:rsid w:val="04722D72"/>
    <w:rsid w:val="0472717F"/>
    <w:rsid w:val="047A5783"/>
    <w:rsid w:val="04830723"/>
    <w:rsid w:val="04882551"/>
    <w:rsid w:val="048900BC"/>
    <w:rsid w:val="04891E6A"/>
    <w:rsid w:val="048C4069"/>
    <w:rsid w:val="048F1DD1"/>
    <w:rsid w:val="04926F71"/>
    <w:rsid w:val="049555F0"/>
    <w:rsid w:val="049820AD"/>
    <w:rsid w:val="049A7BD3"/>
    <w:rsid w:val="049F32D8"/>
    <w:rsid w:val="04A171B4"/>
    <w:rsid w:val="04A722F0"/>
    <w:rsid w:val="04A930A7"/>
    <w:rsid w:val="04B62533"/>
    <w:rsid w:val="04BA0275"/>
    <w:rsid w:val="04C256F2"/>
    <w:rsid w:val="04C66C1A"/>
    <w:rsid w:val="04C904B8"/>
    <w:rsid w:val="04C9670A"/>
    <w:rsid w:val="04CE6D30"/>
    <w:rsid w:val="04D95235"/>
    <w:rsid w:val="04DA0918"/>
    <w:rsid w:val="04DA26C6"/>
    <w:rsid w:val="04E62E18"/>
    <w:rsid w:val="04E71D9A"/>
    <w:rsid w:val="04ED76E2"/>
    <w:rsid w:val="04F45979"/>
    <w:rsid w:val="04F63670"/>
    <w:rsid w:val="04FA7776"/>
    <w:rsid w:val="04FC3176"/>
    <w:rsid w:val="0501370E"/>
    <w:rsid w:val="0506157D"/>
    <w:rsid w:val="05065269"/>
    <w:rsid w:val="050D40FB"/>
    <w:rsid w:val="05141EB3"/>
    <w:rsid w:val="05160A69"/>
    <w:rsid w:val="05184F9C"/>
    <w:rsid w:val="051C6239"/>
    <w:rsid w:val="05203D0E"/>
    <w:rsid w:val="052878D5"/>
    <w:rsid w:val="05290E6D"/>
    <w:rsid w:val="052B2F21"/>
    <w:rsid w:val="052C3426"/>
    <w:rsid w:val="053314F4"/>
    <w:rsid w:val="05391C88"/>
    <w:rsid w:val="053B7608"/>
    <w:rsid w:val="053C512E"/>
    <w:rsid w:val="05405671"/>
    <w:rsid w:val="05410997"/>
    <w:rsid w:val="05463C8E"/>
    <w:rsid w:val="05465FAD"/>
    <w:rsid w:val="054A57DE"/>
    <w:rsid w:val="05542478"/>
    <w:rsid w:val="05557F9E"/>
    <w:rsid w:val="05585FBD"/>
    <w:rsid w:val="055A508B"/>
    <w:rsid w:val="055C30DB"/>
    <w:rsid w:val="05616943"/>
    <w:rsid w:val="05647814"/>
    <w:rsid w:val="05663F59"/>
    <w:rsid w:val="05681A7F"/>
    <w:rsid w:val="056A3A4A"/>
    <w:rsid w:val="05720B50"/>
    <w:rsid w:val="05737CC1"/>
    <w:rsid w:val="05816FE5"/>
    <w:rsid w:val="05881725"/>
    <w:rsid w:val="058A40EC"/>
    <w:rsid w:val="058A5E9A"/>
    <w:rsid w:val="05936AC0"/>
    <w:rsid w:val="05972365"/>
    <w:rsid w:val="059C34D5"/>
    <w:rsid w:val="059E36F3"/>
    <w:rsid w:val="05A0399E"/>
    <w:rsid w:val="05A30A30"/>
    <w:rsid w:val="05A86320"/>
    <w:rsid w:val="05AB4B50"/>
    <w:rsid w:val="05AD7DDA"/>
    <w:rsid w:val="05B01454"/>
    <w:rsid w:val="05B2719F"/>
    <w:rsid w:val="05BD3240"/>
    <w:rsid w:val="05BE041F"/>
    <w:rsid w:val="05C0366A"/>
    <w:rsid w:val="05C23886"/>
    <w:rsid w:val="05C77E2B"/>
    <w:rsid w:val="05CA1F8A"/>
    <w:rsid w:val="05CD5D86"/>
    <w:rsid w:val="05CF7D50"/>
    <w:rsid w:val="05DB4D76"/>
    <w:rsid w:val="05DE7F94"/>
    <w:rsid w:val="05E337FC"/>
    <w:rsid w:val="05EB4740"/>
    <w:rsid w:val="05EC445F"/>
    <w:rsid w:val="05F31C91"/>
    <w:rsid w:val="05F72E03"/>
    <w:rsid w:val="05FA6846"/>
    <w:rsid w:val="06021ED4"/>
    <w:rsid w:val="06141C07"/>
    <w:rsid w:val="061614DB"/>
    <w:rsid w:val="0619597F"/>
    <w:rsid w:val="061B4DDA"/>
    <w:rsid w:val="061C3457"/>
    <w:rsid w:val="061D6AD0"/>
    <w:rsid w:val="061E2218"/>
    <w:rsid w:val="06217102"/>
    <w:rsid w:val="062C51A3"/>
    <w:rsid w:val="062E2CC9"/>
    <w:rsid w:val="0633208D"/>
    <w:rsid w:val="0639082E"/>
    <w:rsid w:val="063D2F0C"/>
    <w:rsid w:val="063E0A32"/>
    <w:rsid w:val="06403946"/>
    <w:rsid w:val="06424B2E"/>
    <w:rsid w:val="06455476"/>
    <w:rsid w:val="06456265"/>
    <w:rsid w:val="064A12E8"/>
    <w:rsid w:val="064E5119"/>
    <w:rsid w:val="06514C09"/>
    <w:rsid w:val="06573980"/>
    <w:rsid w:val="066165AE"/>
    <w:rsid w:val="06622973"/>
    <w:rsid w:val="06654A60"/>
    <w:rsid w:val="0667220B"/>
    <w:rsid w:val="066C139F"/>
    <w:rsid w:val="066C1A43"/>
    <w:rsid w:val="067508F8"/>
    <w:rsid w:val="06765CEE"/>
    <w:rsid w:val="06787E06"/>
    <w:rsid w:val="067A57A2"/>
    <w:rsid w:val="067C6A3C"/>
    <w:rsid w:val="067D155B"/>
    <w:rsid w:val="06826B71"/>
    <w:rsid w:val="06840E03"/>
    <w:rsid w:val="068766B9"/>
    <w:rsid w:val="06894493"/>
    <w:rsid w:val="06906F40"/>
    <w:rsid w:val="06913258"/>
    <w:rsid w:val="06936FD0"/>
    <w:rsid w:val="0696261C"/>
    <w:rsid w:val="06986394"/>
    <w:rsid w:val="06A905A2"/>
    <w:rsid w:val="06AE6F3C"/>
    <w:rsid w:val="06AE7966"/>
    <w:rsid w:val="06B01930"/>
    <w:rsid w:val="06B86A37"/>
    <w:rsid w:val="06B974A5"/>
    <w:rsid w:val="06BC30EF"/>
    <w:rsid w:val="06BC56C6"/>
    <w:rsid w:val="06BC6527"/>
    <w:rsid w:val="06C037F3"/>
    <w:rsid w:val="06C54CB0"/>
    <w:rsid w:val="06CB49BC"/>
    <w:rsid w:val="06CC5B3F"/>
    <w:rsid w:val="06CE0008"/>
    <w:rsid w:val="06D575E9"/>
    <w:rsid w:val="06DA075B"/>
    <w:rsid w:val="06DC1469"/>
    <w:rsid w:val="06E11AE9"/>
    <w:rsid w:val="06E6018A"/>
    <w:rsid w:val="06E65352"/>
    <w:rsid w:val="06EC7548"/>
    <w:rsid w:val="06EE2458"/>
    <w:rsid w:val="06F34474"/>
    <w:rsid w:val="06F37A6F"/>
    <w:rsid w:val="06FC2A3B"/>
    <w:rsid w:val="06FF0E81"/>
    <w:rsid w:val="07041C7C"/>
    <w:rsid w:val="07091C9D"/>
    <w:rsid w:val="070C28DE"/>
    <w:rsid w:val="070E58EA"/>
    <w:rsid w:val="07107F82"/>
    <w:rsid w:val="07124399"/>
    <w:rsid w:val="07135C73"/>
    <w:rsid w:val="07183108"/>
    <w:rsid w:val="071874D5"/>
    <w:rsid w:val="071D208A"/>
    <w:rsid w:val="071D689A"/>
    <w:rsid w:val="071E2D3E"/>
    <w:rsid w:val="071F2612"/>
    <w:rsid w:val="07252162"/>
    <w:rsid w:val="072639A0"/>
    <w:rsid w:val="072A2F74"/>
    <w:rsid w:val="0730481F"/>
    <w:rsid w:val="07332FC1"/>
    <w:rsid w:val="073360BD"/>
    <w:rsid w:val="07350087"/>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C75B8"/>
    <w:rsid w:val="075E40A2"/>
    <w:rsid w:val="076072C9"/>
    <w:rsid w:val="07660A33"/>
    <w:rsid w:val="07682C24"/>
    <w:rsid w:val="07723089"/>
    <w:rsid w:val="07762B7A"/>
    <w:rsid w:val="077A4DF6"/>
    <w:rsid w:val="077D65A4"/>
    <w:rsid w:val="077E1A2E"/>
    <w:rsid w:val="077F2189"/>
    <w:rsid w:val="078017C9"/>
    <w:rsid w:val="07837045"/>
    <w:rsid w:val="078608E3"/>
    <w:rsid w:val="078659B5"/>
    <w:rsid w:val="07866B35"/>
    <w:rsid w:val="07941252"/>
    <w:rsid w:val="07996868"/>
    <w:rsid w:val="079E79DA"/>
    <w:rsid w:val="07A1396F"/>
    <w:rsid w:val="07A33756"/>
    <w:rsid w:val="07A9580E"/>
    <w:rsid w:val="07AD2313"/>
    <w:rsid w:val="07AF7E3A"/>
    <w:rsid w:val="07B40FAC"/>
    <w:rsid w:val="07B45A00"/>
    <w:rsid w:val="07B76CEE"/>
    <w:rsid w:val="07BC0F3D"/>
    <w:rsid w:val="07C733D5"/>
    <w:rsid w:val="07C80EFB"/>
    <w:rsid w:val="07D05C2B"/>
    <w:rsid w:val="07D258D6"/>
    <w:rsid w:val="07D31C10"/>
    <w:rsid w:val="07DD46FE"/>
    <w:rsid w:val="07E04497"/>
    <w:rsid w:val="07E15CFA"/>
    <w:rsid w:val="07EA1643"/>
    <w:rsid w:val="07F41CF0"/>
    <w:rsid w:val="07F95559"/>
    <w:rsid w:val="07F97307"/>
    <w:rsid w:val="07FD6DFF"/>
    <w:rsid w:val="08005A0C"/>
    <w:rsid w:val="08030185"/>
    <w:rsid w:val="08053EFD"/>
    <w:rsid w:val="080C528C"/>
    <w:rsid w:val="08144660"/>
    <w:rsid w:val="0815082E"/>
    <w:rsid w:val="08163A15"/>
    <w:rsid w:val="081D1247"/>
    <w:rsid w:val="081D5FCD"/>
    <w:rsid w:val="08337999"/>
    <w:rsid w:val="0836469C"/>
    <w:rsid w:val="08442237"/>
    <w:rsid w:val="0849203C"/>
    <w:rsid w:val="084E7652"/>
    <w:rsid w:val="084F0A5C"/>
    <w:rsid w:val="084F33CB"/>
    <w:rsid w:val="08513E84"/>
    <w:rsid w:val="08543A14"/>
    <w:rsid w:val="0858402D"/>
    <w:rsid w:val="08601134"/>
    <w:rsid w:val="08607386"/>
    <w:rsid w:val="08640C24"/>
    <w:rsid w:val="08643561"/>
    <w:rsid w:val="087370B9"/>
    <w:rsid w:val="08752E31"/>
    <w:rsid w:val="08760957"/>
    <w:rsid w:val="087A0447"/>
    <w:rsid w:val="087A532A"/>
    <w:rsid w:val="08803584"/>
    <w:rsid w:val="08843074"/>
    <w:rsid w:val="08852948"/>
    <w:rsid w:val="088C1F29"/>
    <w:rsid w:val="088E5CA1"/>
    <w:rsid w:val="08907D8B"/>
    <w:rsid w:val="08910319"/>
    <w:rsid w:val="08940DDD"/>
    <w:rsid w:val="0895702F"/>
    <w:rsid w:val="089808CE"/>
    <w:rsid w:val="089B03B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B71DA"/>
    <w:rsid w:val="08DD4532"/>
    <w:rsid w:val="08E21B49"/>
    <w:rsid w:val="08E458C1"/>
    <w:rsid w:val="08E6788B"/>
    <w:rsid w:val="08EB30F3"/>
    <w:rsid w:val="08EC29C7"/>
    <w:rsid w:val="08F16230"/>
    <w:rsid w:val="08F55D20"/>
    <w:rsid w:val="08F655F4"/>
    <w:rsid w:val="08FF7E1C"/>
    <w:rsid w:val="090830A4"/>
    <w:rsid w:val="090C33A6"/>
    <w:rsid w:val="090F35C3"/>
    <w:rsid w:val="09181829"/>
    <w:rsid w:val="091C1203"/>
    <w:rsid w:val="091F0FEF"/>
    <w:rsid w:val="092C1798"/>
    <w:rsid w:val="092C7EAE"/>
    <w:rsid w:val="09304766"/>
    <w:rsid w:val="09306D58"/>
    <w:rsid w:val="093218B9"/>
    <w:rsid w:val="093C56FD"/>
    <w:rsid w:val="093D3223"/>
    <w:rsid w:val="093F256B"/>
    <w:rsid w:val="094432B3"/>
    <w:rsid w:val="094559F1"/>
    <w:rsid w:val="094B1DE4"/>
    <w:rsid w:val="095567BF"/>
    <w:rsid w:val="09616400"/>
    <w:rsid w:val="09644C54"/>
    <w:rsid w:val="0965366A"/>
    <w:rsid w:val="09680BF5"/>
    <w:rsid w:val="096864F2"/>
    <w:rsid w:val="0969226A"/>
    <w:rsid w:val="096F5AD2"/>
    <w:rsid w:val="097B7030"/>
    <w:rsid w:val="098552F6"/>
    <w:rsid w:val="09896468"/>
    <w:rsid w:val="098A46BA"/>
    <w:rsid w:val="09903C9B"/>
    <w:rsid w:val="09975029"/>
    <w:rsid w:val="099834FE"/>
    <w:rsid w:val="09A03EDE"/>
    <w:rsid w:val="09A15749"/>
    <w:rsid w:val="09A3577C"/>
    <w:rsid w:val="09B039F5"/>
    <w:rsid w:val="09B16EAB"/>
    <w:rsid w:val="09B63701"/>
    <w:rsid w:val="09B71227"/>
    <w:rsid w:val="09B76BD4"/>
    <w:rsid w:val="09B96D4E"/>
    <w:rsid w:val="09BA2AC6"/>
    <w:rsid w:val="09BE7F4B"/>
    <w:rsid w:val="09C0565C"/>
    <w:rsid w:val="09C35E1E"/>
    <w:rsid w:val="09C474A0"/>
    <w:rsid w:val="09C556F2"/>
    <w:rsid w:val="09C6146A"/>
    <w:rsid w:val="09C661EE"/>
    <w:rsid w:val="09C676BC"/>
    <w:rsid w:val="09C7187E"/>
    <w:rsid w:val="09CD0C44"/>
    <w:rsid w:val="09D122E9"/>
    <w:rsid w:val="09D27E0F"/>
    <w:rsid w:val="09D43B87"/>
    <w:rsid w:val="09D74664"/>
    <w:rsid w:val="09D91F81"/>
    <w:rsid w:val="09DE4A06"/>
    <w:rsid w:val="09E10052"/>
    <w:rsid w:val="09E35B78"/>
    <w:rsid w:val="09E85885"/>
    <w:rsid w:val="09EF451D"/>
    <w:rsid w:val="09F71624"/>
    <w:rsid w:val="0A037FC9"/>
    <w:rsid w:val="0A110938"/>
    <w:rsid w:val="0A124E0D"/>
    <w:rsid w:val="0A127C3E"/>
    <w:rsid w:val="0A163877"/>
    <w:rsid w:val="0A1A1394"/>
    <w:rsid w:val="0A252635"/>
    <w:rsid w:val="0A2763AD"/>
    <w:rsid w:val="0A2D4C39"/>
    <w:rsid w:val="0A312D88"/>
    <w:rsid w:val="0A3C34DB"/>
    <w:rsid w:val="0A410AF1"/>
    <w:rsid w:val="0A4D4588"/>
    <w:rsid w:val="0A51055F"/>
    <w:rsid w:val="0A522CFE"/>
    <w:rsid w:val="0A530F50"/>
    <w:rsid w:val="0A5C1147"/>
    <w:rsid w:val="0A5C2888"/>
    <w:rsid w:val="0A5E227D"/>
    <w:rsid w:val="0A640318"/>
    <w:rsid w:val="0A653A66"/>
    <w:rsid w:val="0A6F6E1B"/>
    <w:rsid w:val="0A7113D6"/>
    <w:rsid w:val="0A742C74"/>
    <w:rsid w:val="0A7809B7"/>
    <w:rsid w:val="0A7F72EB"/>
    <w:rsid w:val="0A8729A8"/>
    <w:rsid w:val="0A876917"/>
    <w:rsid w:val="0A8A693C"/>
    <w:rsid w:val="0A8E01DA"/>
    <w:rsid w:val="0A93759F"/>
    <w:rsid w:val="0A9450C5"/>
    <w:rsid w:val="0A9B28F7"/>
    <w:rsid w:val="0A9D666F"/>
    <w:rsid w:val="0AA17D21"/>
    <w:rsid w:val="0AA2576C"/>
    <w:rsid w:val="0AA479FE"/>
    <w:rsid w:val="0AA7304A"/>
    <w:rsid w:val="0AB03BF9"/>
    <w:rsid w:val="0AB063A2"/>
    <w:rsid w:val="0AB21F41"/>
    <w:rsid w:val="0AB9662C"/>
    <w:rsid w:val="0ABB2680"/>
    <w:rsid w:val="0ABB6AF5"/>
    <w:rsid w:val="0ABC1909"/>
    <w:rsid w:val="0ABE4797"/>
    <w:rsid w:val="0ABE7666"/>
    <w:rsid w:val="0AC105A6"/>
    <w:rsid w:val="0AC44356"/>
    <w:rsid w:val="0AC7549A"/>
    <w:rsid w:val="0ACA305A"/>
    <w:rsid w:val="0ACD0F93"/>
    <w:rsid w:val="0AD24031"/>
    <w:rsid w:val="0AD33E3F"/>
    <w:rsid w:val="0AD45172"/>
    <w:rsid w:val="0AD461BB"/>
    <w:rsid w:val="0AD6392F"/>
    <w:rsid w:val="0ADB7197"/>
    <w:rsid w:val="0ADD6A6C"/>
    <w:rsid w:val="0AE0030A"/>
    <w:rsid w:val="0AE24082"/>
    <w:rsid w:val="0AE778EA"/>
    <w:rsid w:val="0AEA2F37"/>
    <w:rsid w:val="0AF32CFE"/>
    <w:rsid w:val="0AFB5144"/>
    <w:rsid w:val="0AFD318D"/>
    <w:rsid w:val="0AFD710E"/>
    <w:rsid w:val="0B0264D2"/>
    <w:rsid w:val="0B04049C"/>
    <w:rsid w:val="0B095AB3"/>
    <w:rsid w:val="0B0D50BA"/>
    <w:rsid w:val="0B13272E"/>
    <w:rsid w:val="0B152302"/>
    <w:rsid w:val="0B177818"/>
    <w:rsid w:val="0B1A2728"/>
    <w:rsid w:val="0B1C2641"/>
    <w:rsid w:val="0B1D50BA"/>
    <w:rsid w:val="0B1F0902"/>
    <w:rsid w:val="0B1F0E32"/>
    <w:rsid w:val="0B2379A7"/>
    <w:rsid w:val="0B2711C0"/>
    <w:rsid w:val="0B282BC9"/>
    <w:rsid w:val="0B291CB1"/>
    <w:rsid w:val="0B297F03"/>
    <w:rsid w:val="0B2B3F13"/>
    <w:rsid w:val="0B2D79F3"/>
    <w:rsid w:val="0B310B66"/>
    <w:rsid w:val="0B3568A8"/>
    <w:rsid w:val="0B3C11A9"/>
    <w:rsid w:val="0B3E2E09"/>
    <w:rsid w:val="0B3F3C9B"/>
    <w:rsid w:val="0B481FE1"/>
    <w:rsid w:val="0B494101"/>
    <w:rsid w:val="0B495EAF"/>
    <w:rsid w:val="0B4D1562"/>
    <w:rsid w:val="0B50723E"/>
    <w:rsid w:val="0B507DED"/>
    <w:rsid w:val="0B521208"/>
    <w:rsid w:val="0B560D41"/>
    <w:rsid w:val="0B5807E8"/>
    <w:rsid w:val="0B617633"/>
    <w:rsid w:val="0B63653F"/>
    <w:rsid w:val="0B670D6C"/>
    <w:rsid w:val="0B6727D9"/>
    <w:rsid w:val="0B793428"/>
    <w:rsid w:val="0B7D1118"/>
    <w:rsid w:val="0B81537D"/>
    <w:rsid w:val="0B84338B"/>
    <w:rsid w:val="0B855E5B"/>
    <w:rsid w:val="0B8E217B"/>
    <w:rsid w:val="0B8E7D66"/>
    <w:rsid w:val="0B8F6081"/>
    <w:rsid w:val="0B9C6927"/>
    <w:rsid w:val="0BA17A99"/>
    <w:rsid w:val="0BA650B0"/>
    <w:rsid w:val="0BB21CA6"/>
    <w:rsid w:val="0BB377CC"/>
    <w:rsid w:val="0BBC1554"/>
    <w:rsid w:val="0BC1319E"/>
    <w:rsid w:val="0BC63572"/>
    <w:rsid w:val="0BC727C6"/>
    <w:rsid w:val="0BCD0578"/>
    <w:rsid w:val="0BD641F6"/>
    <w:rsid w:val="0BDA11FD"/>
    <w:rsid w:val="0BEA7692"/>
    <w:rsid w:val="0BEB51B8"/>
    <w:rsid w:val="0BEF4CA9"/>
    <w:rsid w:val="0BF0642E"/>
    <w:rsid w:val="0BF277E3"/>
    <w:rsid w:val="0BFA157F"/>
    <w:rsid w:val="0C000C64"/>
    <w:rsid w:val="0C0B585A"/>
    <w:rsid w:val="0C0F1E96"/>
    <w:rsid w:val="0C1507A5"/>
    <w:rsid w:val="0C191D25"/>
    <w:rsid w:val="0C2B3807"/>
    <w:rsid w:val="0C300E1D"/>
    <w:rsid w:val="0C3845C3"/>
    <w:rsid w:val="0C3B65EE"/>
    <w:rsid w:val="0C3C5A14"/>
    <w:rsid w:val="0C3F2232"/>
    <w:rsid w:val="0C3F62B8"/>
    <w:rsid w:val="0C41302A"/>
    <w:rsid w:val="0C436DA2"/>
    <w:rsid w:val="0C441D60"/>
    <w:rsid w:val="0C48085D"/>
    <w:rsid w:val="0C4B7A88"/>
    <w:rsid w:val="0C4D7C21"/>
    <w:rsid w:val="0C4F3999"/>
    <w:rsid w:val="0C4F6BDA"/>
    <w:rsid w:val="0C50326D"/>
    <w:rsid w:val="0C547201"/>
    <w:rsid w:val="0C603692"/>
    <w:rsid w:val="0C61547A"/>
    <w:rsid w:val="0C6A2581"/>
    <w:rsid w:val="0C6F4DCD"/>
    <w:rsid w:val="0C6F7B97"/>
    <w:rsid w:val="0C7043B9"/>
    <w:rsid w:val="0C711828"/>
    <w:rsid w:val="0C735804"/>
    <w:rsid w:val="0C743400"/>
    <w:rsid w:val="0C776A4C"/>
    <w:rsid w:val="0C7D4058"/>
    <w:rsid w:val="0C7E3DA7"/>
    <w:rsid w:val="0C7F42EA"/>
    <w:rsid w:val="0C873133"/>
    <w:rsid w:val="0C8A2C23"/>
    <w:rsid w:val="0C8B0506"/>
    <w:rsid w:val="0C8D4945"/>
    <w:rsid w:val="0C945850"/>
    <w:rsid w:val="0C9950B0"/>
    <w:rsid w:val="0C9A5778"/>
    <w:rsid w:val="0C9D2956"/>
    <w:rsid w:val="0CA23AC9"/>
    <w:rsid w:val="0CA26789"/>
    <w:rsid w:val="0CA61B23"/>
    <w:rsid w:val="0CA63264"/>
    <w:rsid w:val="0CA830A9"/>
    <w:rsid w:val="0CAA1606"/>
    <w:rsid w:val="0CAA5073"/>
    <w:rsid w:val="0CAA5E52"/>
    <w:rsid w:val="0CAD0C97"/>
    <w:rsid w:val="0CB358A1"/>
    <w:rsid w:val="0CBD6B55"/>
    <w:rsid w:val="0CC04897"/>
    <w:rsid w:val="0CC04961"/>
    <w:rsid w:val="0CC94EBC"/>
    <w:rsid w:val="0CCC6D98"/>
    <w:rsid w:val="0CD43E9E"/>
    <w:rsid w:val="0CD65E68"/>
    <w:rsid w:val="0CF42CB0"/>
    <w:rsid w:val="0CF85DDF"/>
    <w:rsid w:val="0CFD33F5"/>
    <w:rsid w:val="0CFF53BF"/>
    <w:rsid w:val="0D074274"/>
    <w:rsid w:val="0D0B5B12"/>
    <w:rsid w:val="0D0C0CD0"/>
    <w:rsid w:val="0D1D75F3"/>
    <w:rsid w:val="0D1D76A3"/>
    <w:rsid w:val="0D2210AE"/>
    <w:rsid w:val="0D22380E"/>
    <w:rsid w:val="0D232F82"/>
    <w:rsid w:val="0D2E1801"/>
    <w:rsid w:val="0D305579"/>
    <w:rsid w:val="0D3112F1"/>
    <w:rsid w:val="0D3861DB"/>
    <w:rsid w:val="0D444E00"/>
    <w:rsid w:val="0D50069F"/>
    <w:rsid w:val="0D531267"/>
    <w:rsid w:val="0D5D2504"/>
    <w:rsid w:val="0D6C40D7"/>
    <w:rsid w:val="0D6E21C2"/>
    <w:rsid w:val="0D6E42F3"/>
    <w:rsid w:val="0D7116ED"/>
    <w:rsid w:val="0D783105"/>
    <w:rsid w:val="0D784215"/>
    <w:rsid w:val="0D7A6610"/>
    <w:rsid w:val="0D8238FA"/>
    <w:rsid w:val="0D8368AF"/>
    <w:rsid w:val="0D8609C6"/>
    <w:rsid w:val="0D8838E1"/>
    <w:rsid w:val="0D8E6B48"/>
    <w:rsid w:val="0D904269"/>
    <w:rsid w:val="0D9378B6"/>
    <w:rsid w:val="0D957AD2"/>
    <w:rsid w:val="0D965E01"/>
    <w:rsid w:val="0D9771BF"/>
    <w:rsid w:val="0D9C2C0E"/>
    <w:rsid w:val="0D9F44AC"/>
    <w:rsid w:val="0DA03D74"/>
    <w:rsid w:val="0DA16809"/>
    <w:rsid w:val="0DB333E3"/>
    <w:rsid w:val="0DB37F58"/>
    <w:rsid w:val="0DB461AA"/>
    <w:rsid w:val="0DB55A7E"/>
    <w:rsid w:val="0DB5782C"/>
    <w:rsid w:val="0DB92613"/>
    <w:rsid w:val="0DBF68FD"/>
    <w:rsid w:val="0DC022DF"/>
    <w:rsid w:val="0DC3019B"/>
    <w:rsid w:val="0DCC335C"/>
    <w:rsid w:val="0DCD445C"/>
    <w:rsid w:val="0DCF4D92"/>
    <w:rsid w:val="0DD73C46"/>
    <w:rsid w:val="0DD8076D"/>
    <w:rsid w:val="0DD85A87"/>
    <w:rsid w:val="0DDA1988"/>
    <w:rsid w:val="0DDD6D83"/>
    <w:rsid w:val="0DE545B5"/>
    <w:rsid w:val="0DE95727"/>
    <w:rsid w:val="0DEE408A"/>
    <w:rsid w:val="0DF02010"/>
    <w:rsid w:val="0DF53FDF"/>
    <w:rsid w:val="0DFC6334"/>
    <w:rsid w:val="0DFD060A"/>
    <w:rsid w:val="0DFD78B7"/>
    <w:rsid w:val="0DFE11D3"/>
    <w:rsid w:val="0E0013EF"/>
    <w:rsid w:val="0E074C7B"/>
    <w:rsid w:val="0E082052"/>
    <w:rsid w:val="0E082913"/>
    <w:rsid w:val="0E094EF4"/>
    <w:rsid w:val="0E0B7D94"/>
    <w:rsid w:val="0E1409F6"/>
    <w:rsid w:val="0E1434A7"/>
    <w:rsid w:val="0E1704E7"/>
    <w:rsid w:val="0E1F1149"/>
    <w:rsid w:val="0E2140D4"/>
    <w:rsid w:val="0E214EC1"/>
    <w:rsid w:val="0E26072A"/>
    <w:rsid w:val="0E285C93"/>
    <w:rsid w:val="0E294B7B"/>
    <w:rsid w:val="0E29660B"/>
    <w:rsid w:val="0E2B5D40"/>
    <w:rsid w:val="0E3015A8"/>
    <w:rsid w:val="0E337741"/>
    <w:rsid w:val="0E356BBF"/>
    <w:rsid w:val="0E3A7BBC"/>
    <w:rsid w:val="0E3C1CFB"/>
    <w:rsid w:val="0E3C6626"/>
    <w:rsid w:val="0E4137B5"/>
    <w:rsid w:val="0E43752E"/>
    <w:rsid w:val="0E470BD3"/>
    <w:rsid w:val="0E4911BF"/>
    <w:rsid w:val="0E4A0A8E"/>
    <w:rsid w:val="0E4B5CA1"/>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D0E68"/>
    <w:rsid w:val="0E6F05A5"/>
    <w:rsid w:val="0E7476E7"/>
    <w:rsid w:val="0E772D33"/>
    <w:rsid w:val="0E796AAB"/>
    <w:rsid w:val="0E7C0D4C"/>
    <w:rsid w:val="0E7C47EE"/>
    <w:rsid w:val="0E7D7E97"/>
    <w:rsid w:val="0E83792A"/>
    <w:rsid w:val="0E8813E4"/>
    <w:rsid w:val="0E9246B3"/>
    <w:rsid w:val="0E9733D5"/>
    <w:rsid w:val="0E984B63"/>
    <w:rsid w:val="0E9B1118"/>
    <w:rsid w:val="0E9B4435"/>
    <w:rsid w:val="0E9D6C3E"/>
    <w:rsid w:val="0E9F20E3"/>
    <w:rsid w:val="0EA02077"/>
    <w:rsid w:val="0EA07AC5"/>
    <w:rsid w:val="0EAA4EB7"/>
    <w:rsid w:val="0EAD7F26"/>
    <w:rsid w:val="0EAE1E0B"/>
    <w:rsid w:val="0EAE31C6"/>
    <w:rsid w:val="0EB66E30"/>
    <w:rsid w:val="0EB83A78"/>
    <w:rsid w:val="0EC51CF1"/>
    <w:rsid w:val="0ECA521F"/>
    <w:rsid w:val="0ECD6DF7"/>
    <w:rsid w:val="0ED140CD"/>
    <w:rsid w:val="0ED168E7"/>
    <w:rsid w:val="0ED21347"/>
    <w:rsid w:val="0ED37136"/>
    <w:rsid w:val="0ED77A52"/>
    <w:rsid w:val="0EDB1514"/>
    <w:rsid w:val="0EE303C9"/>
    <w:rsid w:val="0EE63E27"/>
    <w:rsid w:val="0EE978C9"/>
    <w:rsid w:val="0EEA1757"/>
    <w:rsid w:val="0EEA79A9"/>
    <w:rsid w:val="0EF3685E"/>
    <w:rsid w:val="0EF53A43"/>
    <w:rsid w:val="0EF645A0"/>
    <w:rsid w:val="0EF95E3E"/>
    <w:rsid w:val="0F006F15"/>
    <w:rsid w:val="0F052A35"/>
    <w:rsid w:val="0F07055B"/>
    <w:rsid w:val="0F082129"/>
    <w:rsid w:val="0F087E2F"/>
    <w:rsid w:val="0F17111B"/>
    <w:rsid w:val="0F1802A8"/>
    <w:rsid w:val="0F1D38DB"/>
    <w:rsid w:val="0F1D7D7F"/>
    <w:rsid w:val="0F220EF1"/>
    <w:rsid w:val="0F233AE0"/>
    <w:rsid w:val="0F235963"/>
    <w:rsid w:val="0F2410E0"/>
    <w:rsid w:val="0F2904D1"/>
    <w:rsid w:val="0F38025F"/>
    <w:rsid w:val="0F39623B"/>
    <w:rsid w:val="0F40288F"/>
    <w:rsid w:val="0F43251D"/>
    <w:rsid w:val="0F456EC4"/>
    <w:rsid w:val="0F4F244E"/>
    <w:rsid w:val="0F515A6B"/>
    <w:rsid w:val="0F5A2BFE"/>
    <w:rsid w:val="0F5B1EE7"/>
    <w:rsid w:val="0F607C6B"/>
    <w:rsid w:val="0F61431B"/>
    <w:rsid w:val="0F64150A"/>
    <w:rsid w:val="0F6E5418"/>
    <w:rsid w:val="0F7335C5"/>
    <w:rsid w:val="0F733988"/>
    <w:rsid w:val="0F744C35"/>
    <w:rsid w:val="0F751969"/>
    <w:rsid w:val="0F796797"/>
    <w:rsid w:val="0F7A6D8E"/>
    <w:rsid w:val="0F7C2CF7"/>
    <w:rsid w:val="0F824086"/>
    <w:rsid w:val="0F8704DA"/>
    <w:rsid w:val="0F894C05"/>
    <w:rsid w:val="0F895F66"/>
    <w:rsid w:val="0F8B4CE8"/>
    <w:rsid w:val="0F94421F"/>
    <w:rsid w:val="0F9F0794"/>
    <w:rsid w:val="0F9F2542"/>
    <w:rsid w:val="0F9F379D"/>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264A"/>
    <w:rsid w:val="0FEA3AD6"/>
    <w:rsid w:val="0FEB6E16"/>
    <w:rsid w:val="0FF00FEF"/>
    <w:rsid w:val="0FF95DC6"/>
    <w:rsid w:val="0FFA3C1C"/>
    <w:rsid w:val="10036F74"/>
    <w:rsid w:val="10051DAE"/>
    <w:rsid w:val="10060D14"/>
    <w:rsid w:val="10066A51"/>
    <w:rsid w:val="10072DFF"/>
    <w:rsid w:val="100B2C10"/>
    <w:rsid w:val="10125409"/>
    <w:rsid w:val="10167818"/>
    <w:rsid w:val="102424ED"/>
    <w:rsid w:val="10264A11"/>
    <w:rsid w:val="10284558"/>
    <w:rsid w:val="102A7BD6"/>
    <w:rsid w:val="102B16F6"/>
    <w:rsid w:val="102E7C6A"/>
    <w:rsid w:val="10305890"/>
    <w:rsid w:val="1030763E"/>
    <w:rsid w:val="10307AD1"/>
    <w:rsid w:val="1033355D"/>
    <w:rsid w:val="1033613D"/>
    <w:rsid w:val="10374E70"/>
    <w:rsid w:val="104135F9"/>
    <w:rsid w:val="10417A9D"/>
    <w:rsid w:val="10456B0C"/>
    <w:rsid w:val="10463305"/>
    <w:rsid w:val="10525806"/>
    <w:rsid w:val="10545A22"/>
    <w:rsid w:val="105477D0"/>
    <w:rsid w:val="1055127B"/>
    <w:rsid w:val="10572E1C"/>
    <w:rsid w:val="105932D2"/>
    <w:rsid w:val="105C0433"/>
    <w:rsid w:val="105C48D7"/>
    <w:rsid w:val="105E41AB"/>
    <w:rsid w:val="10616A49"/>
    <w:rsid w:val="10635C65"/>
    <w:rsid w:val="10667503"/>
    <w:rsid w:val="10691AB4"/>
    <w:rsid w:val="106C2D6C"/>
    <w:rsid w:val="106D2640"/>
    <w:rsid w:val="106F0166"/>
    <w:rsid w:val="10740D75"/>
    <w:rsid w:val="10747DE7"/>
    <w:rsid w:val="107C0612"/>
    <w:rsid w:val="107C4E2A"/>
    <w:rsid w:val="107E4317"/>
    <w:rsid w:val="10802373"/>
    <w:rsid w:val="10863711"/>
    <w:rsid w:val="10883147"/>
    <w:rsid w:val="10A11E96"/>
    <w:rsid w:val="10AA5642"/>
    <w:rsid w:val="10AE266F"/>
    <w:rsid w:val="10B206E1"/>
    <w:rsid w:val="10B45CF5"/>
    <w:rsid w:val="10BE6ECD"/>
    <w:rsid w:val="10C870A2"/>
    <w:rsid w:val="10CA1F6B"/>
    <w:rsid w:val="10CC3E81"/>
    <w:rsid w:val="10CD7582"/>
    <w:rsid w:val="10CF662A"/>
    <w:rsid w:val="10D976F4"/>
    <w:rsid w:val="10E87F18"/>
    <w:rsid w:val="10EA5F52"/>
    <w:rsid w:val="10ED1D02"/>
    <w:rsid w:val="10F33F66"/>
    <w:rsid w:val="10F36FE9"/>
    <w:rsid w:val="10F7015B"/>
    <w:rsid w:val="10FB3679"/>
    <w:rsid w:val="10FF1B4C"/>
    <w:rsid w:val="110237D8"/>
    <w:rsid w:val="11053860"/>
    <w:rsid w:val="1109680C"/>
    <w:rsid w:val="110A60E1"/>
    <w:rsid w:val="1111121D"/>
    <w:rsid w:val="111210E3"/>
    <w:rsid w:val="111331E7"/>
    <w:rsid w:val="111C601E"/>
    <w:rsid w:val="111C620F"/>
    <w:rsid w:val="111F337A"/>
    <w:rsid w:val="112076B2"/>
    <w:rsid w:val="1122342A"/>
    <w:rsid w:val="11226A50"/>
    <w:rsid w:val="11287D75"/>
    <w:rsid w:val="112A0531"/>
    <w:rsid w:val="112E6D8A"/>
    <w:rsid w:val="11325E55"/>
    <w:rsid w:val="11351D18"/>
    <w:rsid w:val="113B273E"/>
    <w:rsid w:val="11494E5B"/>
    <w:rsid w:val="114E3535"/>
    <w:rsid w:val="11544B02"/>
    <w:rsid w:val="115D26B4"/>
    <w:rsid w:val="11621A79"/>
    <w:rsid w:val="116B6410"/>
    <w:rsid w:val="1173399A"/>
    <w:rsid w:val="11744091"/>
    <w:rsid w:val="117A14B8"/>
    <w:rsid w:val="117C2CAF"/>
    <w:rsid w:val="117D32A8"/>
    <w:rsid w:val="11867E5D"/>
    <w:rsid w:val="118771A0"/>
    <w:rsid w:val="118E7D16"/>
    <w:rsid w:val="11904838"/>
    <w:rsid w:val="11943E08"/>
    <w:rsid w:val="1194410A"/>
    <w:rsid w:val="11964CC3"/>
    <w:rsid w:val="11977084"/>
    <w:rsid w:val="119B75C7"/>
    <w:rsid w:val="11A07ABC"/>
    <w:rsid w:val="11A872DE"/>
    <w:rsid w:val="11A976A8"/>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F6EEC"/>
    <w:rsid w:val="11F13A88"/>
    <w:rsid w:val="11F31F18"/>
    <w:rsid w:val="11F35990"/>
    <w:rsid w:val="11F50B3F"/>
    <w:rsid w:val="11F612D3"/>
    <w:rsid w:val="11FC1ECD"/>
    <w:rsid w:val="12040D82"/>
    <w:rsid w:val="12086726"/>
    <w:rsid w:val="120A5069"/>
    <w:rsid w:val="1215227E"/>
    <w:rsid w:val="121960FF"/>
    <w:rsid w:val="121A313E"/>
    <w:rsid w:val="1220326C"/>
    <w:rsid w:val="122A6C3F"/>
    <w:rsid w:val="123526C4"/>
    <w:rsid w:val="12360E39"/>
    <w:rsid w:val="123A29F6"/>
    <w:rsid w:val="123C051C"/>
    <w:rsid w:val="123E414F"/>
    <w:rsid w:val="123F24AA"/>
    <w:rsid w:val="125735A8"/>
    <w:rsid w:val="125C296C"/>
    <w:rsid w:val="126A321F"/>
    <w:rsid w:val="126B0E01"/>
    <w:rsid w:val="12711EC4"/>
    <w:rsid w:val="12723F3D"/>
    <w:rsid w:val="12747CB6"/>
    <w:rsid w:val="127E6D86"/>
    <w:rsid w:val="12810624"/>
    <w:rsid w:val="128413AE"/>
    <w:rsid w:val="128F15C7"/>
    <w:rsid w:val="128F2D41"/>
    <w:rsid w:val="12902616"/>
    <w:rsid w:val="1297339E"/>
    <w:rsid w:val="129B6D9C"/>
    <w:rsid w:val="129D2F74"/>
    <w:rsid w:val="129F0E57"/>
    <w:rsid w:val="129F5A65"/>
    <w:rsid w:val="12A12A75"/>
    <w:rsid w:val="12A165D1"/>
    <w:rsid w:val="12A62B0D"/>
    <w:rsid w:val="12AA451D"/>
    <w:rsid w:val="12B268AA"/>
    <w:rsid w:val="12B549BD"/>
    <w:rsid w:val="12BA7692"/>
    <w:rsid w:val="12BC3AF3"/>
    <w:rsid w:val="12C30BED"/>
    <w:rsid w:val="12C32F26"/>
    <w:rsid w:val="12C63CBE"/>
    <w:rsid w:val="12CD5618"/>
    <w:rsid w:val="12DA4CBE"/>
    <w:rsid w:val="12DC5736"/>
    <w:rsid w:val="12E82EF7"/>
    <w:rsid w:val="12E878DB"/>
    <w:rsid w:val="12EC0194"/>
    <w:rsid w:val="12ED6B8F"/>
    <w:rsid w:val="12F72695"/>
    <w:rsid w:val="12F9640D"/>
    <w:rsid w:val="13053004"/>
    <w:rsid w:val="130866EA"/>
    <w:rsid w:val="130B7721"/>
    <w:rsid w:val="130D3782"/>
    <w:rsid w:val="130E7841"/>
    <w:rsid w:val="13135EB3"/>
    <w:rsid w:val="13145B25"/>
    <w:rsid w:val="13191D25"/>
    <w:rsid w:val="132316DC"/>
    <w:rsid w:val="1324792E"/>
    <w:rsid w:val="13271457"/>
    <w:rsid w:val="13272FB7"/>
    <w:rsid w:val="132D2863"/>
    <w:rsid w:val="1336476B"/>
    <w:rsid w:val="133B6A25"/>
    <w:rsid w:val="133E02C4"/>
    <w:rsid w:val="133F6234"/>
    <w:rsid w:val="13405DEA"/>
    <w:rsid w:val="134566BC"/>
    <w:rsid w:val="134753CA"/>
    <w:rsid w:val="134C29E0"/>
    <w:rsid w:val="13580A0A"/>
    <w:rsid w:val="136617BC"/>
    <w:rsid w:val="136F66CF"/>
    <w:rsid w:val="137141F5"/>
    <w:rsid w:val="13727D5F"/>
    <w:rsid w:val="13734411"/>
    <w:rsid w:val="13741F37"/>
    <w:rsid w:val="137912FC"/>
    <w:rsid w:val="137B5074"/>
    <w:rsid w:val="137D5290"/>
    <w:rsid w:val="138008DC"/>
    <w:rsid w:val="13826402"/>
    <w:rsid w:val="13830CE4"/>
    <w:rsid w:val="13871C6A"/>
    <w:rsid w:val="13961EAE"/>
    <w:rsid w:val="13972590"/>
    <w:rsid w:val="139908A5"/>
    <w:rsid w:val="139F2458"/>
    <w:rsid w:val="13A42943"/>
    <w:rsid w:val="13A66595"/>
    <w:rsid w:val="13A84C2F"/>
    <w:rsid w:val="13AA7707"/>
    <w:rsid w:val="13AB3BAB"/>
    <w:rsid w:val="13AB53F8"/>
    <w:rsid w:val="13AC657F"/>
    <w:rsid w:val="13B80076"/>
    <w:rsid w:val="13BC5DB8"/>
    <w:rsid w:val="13C24A51"/>
    <w:rsid w:val="13C42478"/>
    <w:rsid w:val="13C800FB"/>
    <w:rsid w:val="13DE01AE"/>
    <w:rsid w:val="13DF2573"/>
    <w:rsid w:val="13E069FD"/>
    <w:rsid w:val="13E62E35"/>
    <w:rsid w:val="13E7095B"/>
    <w:rsid w:val="13EF16E6"/>
    <w:rsid w:val="13EF52EF"/>
    <w:rsid w:val="13F6294C"/>
    <w:rsid w:val="13F762F6"/>
    <w:rsid w:val="13F97987"/>
    <w:rsid w:val="13FA41EA"/>
    <w:rsid w:val="13FD2BF1"/>
    <w:rsid w:val="13FF3EF7"/>
    <w:rsid w:val="13FF5CA5"/>
    <w:rsid w:val="14025795"/>
    <w:rsid w:val="140421EF"/>
    <w:rsid w:val="14060DE1"/>
    <w:rsid w:val="14092680"/>
    <w:rsid w:val="14121CFA"/>
    <w:rsid w:val="14131A12"/>
    <w:rsid w:val="14173200"/>
    <w:rsid w:val="141860EE"/>
    <w:rsid w:val="141B5B83"/>
    <w:rsid w:val="141C7294"/>
    <w:rsid w:val="141F1EA3"/>
    <w:rsid w:val="14276FAA"/>
    <w:rsid w:val="14305E5E"/>
    <w:rsid w:val="14346B76"/>
    <w:rsid w:val="143811B7"/>
    <w:rsid w:val="14392305"/>
    <w:rsid w:val="14504752"/>
    <w:rsid w:val="14507177"/>
    <w:rsid w:val="145C4EA5"/>
    <w:rsid w:val="145D4214"/>
    <w:rsid w:val="148075AE"/>
    <w:rsid w:val="1485199D"/>
    <w:rsid w:val="14865B6C"/>
    <w:rsid w:val="148D60AB"/>
    <w:rsid w:val="14911599"/>
    <w:rsid w:val="14962841"/>
    <w:rsid w:val="14983A03"/>
    <w:rsid w:val="149A3C1F"/>
    <w:rsid w:val="14A405FA"/>
    <w:rsid w:val="14A762CF"/>
    <w:rsid w:val="14AE6EE2"/>
    <w:rsid w:val="14B75B71"/>
    <w:rsid w:val="14BD6EA8"/>
    <w:rsid w:val="14BE790E"/>
    <w:rsid w:val="14C06253"/>
    <w:rsid w:val="14C20ED8"/>
    <w:rsid w:val="14CB1B54"/>
    <w:rsid w:val="14CF129F"/>
    <w:rsid w:val="14D273DE"/>
    <w:rsid w:val="14D40EDF"/>
    <w:rsid w:val="14D82CC8"/>
    <w:rsid w:val="14DB04C0"/>
    <w:rsid w:val="14DF2DF6"/>
    <w:rsid w:val="14DF7B05"/>
    <w:rsid w:val="14E37E55"/>
    <w:rsid w:val="14E530ED"/>
    <w:rsid w:val="14E8498B"/>
    <w:rsid w:val="14EA425F"/>
    <w:rsid w:val="14EC447B"/>
    <w:rsid w:val="14F234C5"/>
    <w:rsid w:val="14F52F16"/>
    <w:rsid w:val="14F93F9F"/>
    <w:rsid w:val="14FF1472"/>
    <w:rsid w:val="15011746"/>
    <w:rsid w:val="15077134"/>
    <w:rsid w:val="150D6C7B"/>
    <w:rsid w:val="151439D2"/>
    <w:rsid w:val="15165CA2"/>
    <w:rsid w:val="15186E22"/>
    <w:rsid w:val="15194B44"/>
    <w:rsid w:val="151D77DE"/>
    <w:rsid w:val="15205ED3"/>
    <w:rsid w:val="152534C4"/>
    <w:rsid w:val="15265878"/>
    <w:rsid w:val="15284ADE"/>
    <w:rsid w:val="152D05F0"/>
    <w:rsid w:val="15365999"/>
    <w:rsid w:val="15373433"/>
    <w:rsid w:val="15393438"/>
    <w:rsid w:val="153A3F16"/>
    <w:rsid w:val="153B130E"/>
    <w:rsid w:val="15412BF0"/>
    <w:rsid w:val="154B54F4"/>
    <w:rsid w:val="154C6CC8"/>
    <w:rsid w:val="154D2A40"/>
    <w:rsid w:val="154E59C0"/>
    <w:rsid w:val="154F67B8"/>
    <w:rsid w:val="15510782"/>
    <w:rsid w:val="15567B46"/>
    <w:rsid w:val="155713D3"/>
    <w:rsid w:val="155D0ED5"/>
    <w:rsid w:val="155D7127"/>
    <w:rsid w:val="1568787A"/>
    <w:rsid w:val="156F3D9A"/>
    <w:rsid w:val="156F619B"/>
    <w:rsid w:val="15736F3C"/>
    <w:rsid w:val="157708C6"/>
    <w:rsid w:val="15774823"/>
    <w:rsid w:val="15791A87"/>
    <w:rsid w:val="157955E3"/>
    <w:rsid w:val="157E55BA"/>
    <w:rsid w:val="15804BC3"/>
    <w:rsid w:val="15810768"/>
    <w:rsid w:val="158346B4"/>
    <w:rsid w:val="158C3568"/>
    <w:rsid w:val="158F12AA"/>
    <w:rsid w:val="159348F7"/>
    <w:rsid w:val="15962639"/>
    <w:rsid w:val="159A0CB4"/>
    <w:rsid w:val="15A303A4"/>
    <w:rsid w:val="15A308B2"/>
    <w:rsid w:val="15B30AF5"/>
    <w:rsid w:val="15B34F99"/>
    <w:rsid w:val="15BA4298"/>
    <w:rsid w:val="15BD6FF9"/>
    <w:rsid w:val="15BF393E"/>
    <w:rsid w:val="15BF5ABC"/>
    <w:rsid w:val="15C92400"/>
    <w:rsid w:val="15D114D0"/>
    <w:rsid w:val="15D373E9"/>
    <w:rsid w:val="15D53220"/>
    <w:rsid w:val="15D60A62"/>
    <w:rsid w:val="15DA2525"/>
    <w:rsid w:val="15DB2014"/>
    <w:rsid w:val="15DF7B3C"/>
    <w:rsid w:val="15E16E62"/>
    <w:rsid w:val="15E213DA"/>
    <w:rsid w:val="15E40C88"/>
    <w:rsid w:val="15E52CE0"/>
    <w:rsid w:val="15EC04AB"/>
    <w:rsid w:val="15F4066B"/>
    <w:rsid w:val="15F5110D"/>
    <w:rsid w:val="15FA4976"/>
    <w:rsid w:val="15FD578A"/>
    <w:rsid w:val="160948EA"/>
    <w:rsid w:val="16220333"/>
    <w:rsid w:val="16247C45"/>
    <w:rsid w:val="163065E9"/>
    <w:rsid w:val="16332694"/>
    <w:rsid w:val="1635775C"/>
    <w:rsid w:val="163A7468"/>
    <w:rsid w:val="164125A5"/>
    <w:rsid w:val="16421F12"/>
    <w:rsid w:val="1642632E"/>
    <w:rsid w:val="16442095"/>
    <w:rsid w:val="164B3423"/>
    <w:rsid w:val="164B51D1"/>
    <w:rsid w:val="164E0880"/>
    <w:rsid w:val="165027E8"/>
    <w:rsid w:val="1651030E"/>
    <w:rsid w:val="165241DD"/>
    <w:rsid w:val="165453C2"/>
    <w:rsid w:val="16646293"/>
    <w:rsid w:val="16685D83"/>
    <w:rsid w:val="16714C9E"/>
    <w:rsid w:val="167C5922"/>
    <w:rsid w:val="167D1693"/>
    <w:rsid w:val="167F4E7B"/>
    <w:rsid w:val="16832BBD"/>
    <w:rsid w:val="168406E3"/>
    <w:rsid w:val="1684629D"/>
    <w:rsid w:val="168626AD"/>
    <w:rsid w:val="168C319F"/>
    <w:rsid w:val="168D7598"/>
    <w:rsid w:val="16924BAE"/>
    <w:rsid w:val="1694550C"/>
    <w:rsid w:val="1695644C"/>
    <w:rsid w:val="16A06066"/>
    <w:rsid w:val="16AA4468"/>
    <w:rsid w:val="16AA639C"/>
    <w:rsid w:val="16B20605"/>
    <w:rsid w:val="16BF34C9"/>
    <w:rsid w:val="16C136E5"/>
    <w:rsid w:val="16C44F84"/>
    <w:rsid w:val="16C564D6"/>
    <w:rsid w:val="16C94348"/>
    <w:rsid w:val="16CA259A"/>
    <w:rsid w:val="16CB4564"/>
    <w:rsid w:val="16D23900"/>
    <w:rsid w:val="16D36956"/>
    <w:rsid w:val="16D74CB7"/>
    <w:rsid w:val="16D7540A"/>
    <w:rsid w:val="16DC7FD2"/>
    <w:rsid w:val="16DF03E9"/>
    <w:rsid w:val="16E42F30"/>
    <w:rsid w:val="16EE60F3"/>
    <w:rsid w:val="16EF08D9"/>
    <w:rsid w:val="16EF3DAF"/>
    <w:rsid w:val="16F2564D"/>
    <w:rsid w:val="16F46A71"/>
    <w:rsid w:val="16FA2DB5"/>
    <w:rsid w:val="16FE0496"/>
    <w:rsid w:val="16FE2244"/>
    <w:rsid w:val="17045380"/>
    <w:rsid w:val="17077F2B"/>
    <w:rsid w:val="17101F77"/>
    <w:rsid w:val="17147CB9"/>
    <w:rsid w:val="1715758D"/>
    <w:rsid w:val="171750B3"/>
    <w:rsid w:val="171B605C"/>
    <w:rsid w:val="171E736C"/>
    <w:rsid w:val="172120C7"/>
    <w:rsid w:val="17237EFC"/>
    <w:rsid w:val="172422A9"/>
    <w:rsid w:val="17255A22"/>
    <w:rsid w:val="172577D0"/>
    <w:rsid w:val="172D166A"/>
    <w:rsid w:val="172D48D7"/>
    <w:rsid w:val="173619DD"/>
    <w:rsid w:val="17367C2F"/>
    <w:rsid w:val="173B6FF4"/>
    <w:rsid w:val="173C3387"/>
    <w:rsid w:val="173E4D36"/>
    <w:rsid w:val="173F352B"/>
    <w:rsid w:val="17400AAE"/>
    <w:rsid w:val="1743129B"/>
    <w:rsid w:val="1743234C"/>
    <w:rsid w:val="17435EA8"/>
    <w:rsid w:val="17457E73"/>
    <w:rsid w:val="17467C1C"/>
    <w:rsid w:val="1747139D"/>
    <w:rsid w:val="174721C5"/>
    <w:rsid w:val="174F3B50"/>
    <w:rsid w:val="174F484D"/>
    <w:rsid w:val="174F6F43"/>
    <w:rsid w:val="17515291"/>
    <w:rsid w:val="175235D3"/>
    <w:rsid w:val="17555BDC"/>
    <w:rsid w:val="175759E5"/>
    <w:rsid w:val="175B69DC"/>
    <w:rsid w:val="175E0F34"/>
    <w:rsid w:val="175E6B6A"/>
    <w:rsid w:val="17604CAC"/>
    <w:rsid w:val="17667206"/>
    <w:rsid w:val="177249E0"/>
    <w:rsid w:val="1776002C"/>
    <w:rsid w:val="177C0BEB"/>
    <w:rsid w:val="177C13BA"/>
    <w:rsid w:val="177F14EE"/>
    <w:rsid w:val="178A7F7B"/>
    <w:rsid w:val="17946704"/>
    <w:rsid w:val="17981D0B"/>
    <w:rsid w:val="179E4A77"/>
    <w:rsid w:val="17A34B99"/>
    <w:rsid w:val="17A50911"/>
    <w:rsid w:val="17A5226F"/>
    <w:rsid w:val="17A74973"/>
    <w:rsid w:val="17A75B29"/>
    <w:rsid w:val="17AD77C6"/>
    <w:rsid w:val="17B62B1E"/>
    <w:rsid w:val="17B75C6D"/>
    <w:rsid w:val="17BD4979"/>
    <w:rsid w:val="17BF6981"/>
    <w:rsid w:val="17C52D61"/>
    <w:rsid w:val="17CA0378"/>
    <w:rsid w:val="17CA6173"/>
    <w:rsid w:val="17CE6C61"/>
    <w:rsid w:val="17D27206"/>
    <w:rsid w:val="17D2722C"/>
    <w:rsid w:val="17D411F6"/>
    <w:rsid w:val="17D47866"/>
    <w:rsid w:val="17D52699"/>
    <w:rsid w:val="17D64F6F"/>
    <w:rsid w:val="17DB07D7"/>
    <w:rsid w:val="17DD3D91"/>
    <w:rsid w:val="17DD454F"/>
    <w:rsid w:val="17E21B65"/>
    <w:rsid w:val="17E50F1B"/>
    <w:rsid w:val="17E64F15"/>
    <w:rsid w:val="17EE050A"/>
    <w:rsid w:val="17F673BF"/>
    <w:rsid w:val="17FC7FF8"/>
    <w:rsid w:val="18005E60"/>
    <w:rsid w:val="180513B0"/>
    <w:rsid w:val="180875DD"/>
    <w:rsid w:val="180F3C32"/>
    <w:rsid w:val="18100480"/>
    <w:rsid w:val="18134AB0"/>
    <w:rsid w:val="181D0DEF"/>
    <w:rsid w:val="181D2B9D"/>
    <w:rsid w:val="181F387F"/>
    <w:rsid w:val="182201B4"/>
    <w:rsid w:val="182C1032"/>
    <w:rsid w:val="18302C42"/>
    <w:rsid w:val="183652F9"/>
    <w:rsid w:val="18371DC4"/>
    <w:rsid w:val="183D02EF"/>
    <w:rsid w:val="183D4FEE"/>
    <w:rsid w:val="18491BE4"/>
    <w:rsid w:val="184E4D3B"/>
    <w:rsid w:val="184E71FB"/>
    <w:rsid w:val="184F2B91"/>
    <w:rsid w:val="185168C6"/>
    <w:rsid w:val="185C36C6"/>
    <w:rsid w:val="185D40D7"/>
    <w:rsid w:val="185F34CB"/>
    <w:rsid w:val="18692796"/>
    <w:rsid w:val="18694035"/>
    <w:rsid w:val="186C3648"/>
    <w:rsid w:val="18773C95"/>
    <w:rsid w:val="187E47B3"/>
    <w:rsid w:val="18860BB9"/>
    <w:rsid w:val="18884AFD"/>
    <w:rsid w:val="18890233"/>
    <w:rsid w:val="188B5D59"/>
    <w:rsid w:val="188B7B07"/>
    <w:rsid w:val="189270E7"/>
    <w:rsid w:val="18934C0E"/>
    <w:rsid w:val="189746FE"/>
    <w:rsid w:val="189F35B2"/>
    <w:rsid w:val="18A84B5D"/>
    <w:rsid w:val="18A858F9"/>
    <w:rsid w:val="18A961DF"/>
    <w:rsid w:val="18AE1FE9"/>
    <w:rsid w:val="18B4763C"/>
    <w:rsid w:val="18B84674"/>
    <w:rsid w:val="18BA663E"/>
    <w:rsid w:val="18BC23B6"/>
    <w:rsid w:val="18BE588E"/>
    <w:rsid w:val="18CD6371"/>
    <w:rsid w:val="18D94D16"/>
    <w:rsid w:val="18DC02FF"/>
    <w:rsid w:val="18DE057F"/>
    <w:rsid w:val="18E25578"/>
    <w:rsid w:val="18E30F8A"/>
    <w:rsid w:val="18E45469"/>
    <w:rsid w:val="18E61C15"/>
    <w:rsid w:val="18E82CD9"/>
    <w:rsid w:val="18EB2C9C"/>
    <w:rsid w:val="18EE0096"/>
    <w:rsid w:val="18F25DD8"/>
    <w:rsid w:val="18F41B50"/>
    <w:rsid w:val="18FC27B3"/>
    <w:rsid w:val="19041CBE"/>
    <w:rsid w:val="19045B0B"/>
    <w:rsid w:val="1906204F"/>
    <w:rsid w:val="190A1374"/>
    <w:rsid w:val="191479B4"/>
    <w:rsid w:val="19157D18"/>
    <w:rsid w:val="191775ED"/>
    <w:rsid w:val="192455D8"/>
    <w:rsid w:val="192F4936"/>
    <w:rsid w:val="19332236"/>
    <w:rsid w:val="19382B57"/>
    <w:rsid w:val="1938516E"/>
    <w:rsid w:val="193B777F"/>
    <w:rsid w:val="193F3921"/>
    <w:rsid w:val="19434886"/>
    <w:rsid w:val="194C2D7E"/>
    <w:rsid w:val="19560D8E"/>
    <w:rsid w:val="195B1BCF"/>
    <w:rsid w:val="195C76F5"/>
    <w:rsid w:val="195F55F7"/>
    <w:rsid w:val="19600F94"/>
    <w:rsid w:val="19611EE2"/>
    <w:rsid w:val="19650358"/>
    <w:rsid w:val="19662322"/>
    <w:rsid w:val="19687E48"/>
    <w:rsid w:val="196933D6"/>
    <w:rsid w:val="196E7277"/>
    <w:rsid w:val="19713BDF"/>
    <w:rsid w:val="1976521A"/>
    <w:rsid w:val="19792055"/>
    <w:rsid w:val="197D7D98"/>
    <w:rsid w:val="197E3186"/>
    <w:rsid w:val="197E61E3"/>
    <w:rsid w:val="19800A63"/>
    <w:rsid w:val="1980793E"/>
    <w:rsid w:val="19856C4C"/>
    <w:rsid w:val="1987566D"/>
    <w:rsid w:val="198C0AC2"/>
    <w:rsid w:val="19911EC9"/>
    <w:rsid w:val="19924070"/>
    <w:rsid w:val="199926F8"/>
    <w:rsid w:val="199B1FCC"/>
    <w:rsid w:val="199B52F9"/>
    <w:rsid w:val="199C3DB1"/>
    <w:rsid w:val="19A05834"/>
    <w:rsid w:val="19A10856"/>
    <w:rsid w:val="19A36A6E"/>
    <w:rsid w:val="19AE61A3"/>
    <w:rsid w:val="19B150A8"/>
    <w:rsid w:val="19BC1F42"/>
    <w:rsid w:val="19C332D1"/>
    <w:rsid w:val="19CA28B1"/>
    <w:rsid w:val="19CC487B"/>
    <w:rsid w:val="19D35C0A"/>
    <w:rsid w:val="19D76D7C"/>
    <w:rsid w:val="19D84FCE"/>
    <w:rsid w:val="19E971DB"/>
    <w:rsid w:val="19EB3DD4"/>
    <w:rsid w:val="19EB461F"/>
    <w:rsid w:val="19ED453B"/>
    <w:rsid w:val="19EE0797"/>
    <w:rsid w:val="19EF056A"/>
    <w:rsid w:val="19F81246"/>
    <w:rsid w:val="1A04497A"/>
    <w:rsid w:val="1A0B5C7A"/>
    <w:rsid w:val="1A134258"/>
    <w:rsid w:val="1A18361C"/>
    <w:rsid w:val="1A19345F"/>
    <w:rsid w:val="1A1C3315"/>
    <w:rsid w:val="1A1D3CEF"/>
    <w:rsid w:val="1A1F0E4F"/>
    <w:rsid w:val="1A25729D"/>
    <w:rsid w:val="1A2C5DF4"/>
    <w:rsid w:val="1A2E0437"/>
    <w:rsid w:val="1A341039"/>
    <w:rsid w:val="1A361CF4"/>
    <w:rsid w:val="1A385A6D"/>
    <w:rsid w:val="1A3B730B"/>
    <w:rsid w:val="1A425633"/>
    <w:rsid w:val="1A4408B5"/>
    <w:rsid w:val="1A4C0767"/>
    <w:rsid w:val="1A514D80"/>
    <w:rsid w:val="1A530AF8"/>
    <w:rsid w:val="1A544563"/>
    <w:rsid w:val="1A555ADC"/>
    <w:rsid w:val="1A56667A"/>
    <w:rsid w:val="1A5F749D"/>
    <w:rsid w:val="1A604FC3"/>
    <w:rsid w:val="1A642658"/>
    <w:rsid w:val="1A722B93"/>
    <w:rsid w:val="1A730B07"/>
    <w:rsid w:val="1A736AA5"/>
    <w:rsid w:val="1A742097"/>
    <w:rsid w:val="1A750A6F"/>
    <w:rsid w:val="1A783ED9"/>
    <w:rsid w:val="1A7B1DFD"/>
    <w:rsid w:val="1A7C7171"/>
    <w:rsid w:val="1A807414"/>
    <w:rsid w:val="1A904AED"/>
    <w:rsid w:val="1A922E78"/>
    <w:rsid w:val="1A962E09"/>
    <w:rsid w:val="1A98475D"/>
    <w:rsid w:val="1A9A7C01"/>
    <w:rsid w:val="1A9B3BB2"/>
    <w:rsid w:val="1A9C0424"/>
    <w:rsid w:val="1A9D4B2C"/>
    <w:rsid w:val="1A9F105F"/>
    <w:rsid w:val="1AA11864"/>
    <w:rsid w:val="1AA749A0"/>
    <w:rsid w:val="1AA90718"/>
    <w:rsid w:val="1AA94F5A"/>
    <w:rsid w:val="1AA9696A"/>
    <w:rsid w:val="1AAC1FB7"/>
    <w:rsid w:val="1AB26E57"/>
    <w:rsid w:val="1AB64932"/>
    <w:rsid w:val="1ABC669E"/>
    <w:rsid w:val="1ABD74F0"/>
    <w:rsid w:val="1AC217DA"/>
    <w:rsid w:val="1AC45552"/>
    <w:rsid w:val="1AC60017"/>
    <w:rsid w:val="1AC63078"/>
    <w:rsid w:val="1AC6751C"/>
    <w:rsid w:val="1AC94917"/>
    <w:rsid w:val="1ACB068F"/>
    <w:rsid w:val="1AD02149"/>
    <w:rsid w:val="1AD5150D"/>
    <w:rsid w:val="1AD52AE7"/>
    <w:rsid w:val="1AD5775F"/>
    <w:rsid w:val="1AD6374C"/>
    <w:rsid w:val="1ADA2FC8"/>
    <w:rsid w:val="1ADA3D88"/>
    <w:rsid w:val="1ADC289C"/>
    <w:rsid w:val="1ADD03C2"/>
    <w:rsid w:val="1AE14356"/>
    <w:rsid w:val="1AE254F2"/>
    <w:rsid w:val="1AE41750"/>
    <w:rsid w:val="1AE9320B"/>
    <w:rsid w:val="1AEF729B"/>
    <w:rsid w:val="1AF009F4"/>
    <w:rsid w:val="1AF11DCA"/>
    <w:rsid w:val="1AF91C79"/>
    <w:rsid w:val="1AFC1190"/>
    <w:rsid w:val="1AFF16D2"/>
    <w:rsid w:val="1B086E06"/>
    <w:rsid w:val="1B16799C"/>
    <w:rsid w:val="1B176781"/>
    <w:rsid w:val="1B1868FB"/>
    <w:rsid w:val="1B23671D"/>
    <w:rsid w:val="1B280A3D"/>
    <w:rsid w:val="1B281F85"/>
    <w:rsid w:val="1B2B0976"/>
    <w:rsid w:val="1B315A15"/>
    <w:rsid w:val="1B364282"/>
    <w:rsid w:val="1B3A3A66"/>
    <w:rsid w:val="1B3E3557"/>
    <w:rsid w:val="1B451F52"/>
    <w:rsid w:val="1B4641B9"/>
    <w:rsid w:val="1B483D25"/>
    <w:rsid w:val="1B4D5548"/>
    <w:rsid w:val="1B4E306E"/>
    <w:rsid w:val="1B537AC3"/>
    <w:rsid w:val="1B542D7A"/>
    <w:rsid w:val="1B59213E"/>
    <w:rsid w:val="1B5D1FEF"/>
    <w:rsid w:val="1B5D46B2"/>
    <w:rsid w:val="1B612549"/>
    <w:rsid w:val="1B617245"/>
    <w:rsid w:val="1B650AE3"/>
    <w:rsid w:val="1B6C00C4"/>
    <w:rsid w:val="1B7173EF"/>
    <w:rsid w:val="1B7D6571"/>
    <w:rsid w:val="1B7F0679"/>
    <w:rsid w:val="1B940A75"/>
    <w:rsid w:val="1B950C9D"/>
    <w:rsid w:val="1B963ADC"/>
    <w:rsid w:val="1B972C67"/>
    <w:rsid w:val="1B993A23"/>
    <w:rsid w:val="1B9C5D53"/>
    <w:rsid w:val="1B9E2247"/>
    <w:rsid w:val="1B9E5DA3"/>
    <w:rsid w:val="1B9F3C67"/>
    <w:rsid w:val="1B9F5407"/>
    <w:rsid w:val="1BA64C58"/>
    <w:rsid w:val="1BA67CD5"/>
    <w:rsid w:val="1BAB4AC5"/>
    <w:rsid w:val="1BAF1D5E"/>
    <w:rsid w:val="1BB51EC1"/>
    <w:rsid w:val="1BB61551"/>
    <w:rsid w:val="1BB6659D"/>
    <w:rsid w:val="1BB90E2F"/>
    <w:rsid w:val="1BB91C9A"/>
    <w:rsid w:val="1BBE4697"/>
    <w:rsid w:val="1BC507A4"/>
    <w:rsid w:val="1BD23C9F"/>
    <w:rsid w:val="1BDC68CC"/>
    <w:rsid w:val="1BE063BC"/>
    <w:rsid w:val="1BE31EF1"/>
    <w:rsid w:val="1BE73EBF"/>
    <w:rsid w:val="1BE7599C"/>
    <w:rsid w:val="1BE91714"/>
    <w:rsid w:val="1BEA548C"/>
    <w:rsid w:val="1BEF4851"/>
    <w:rsid w:val="1BF06CD1"/>
    <w:rsid w:val="1BF51F21"/>
    <w:rsid w:val="1C074B5F"/>
    <w:rsid w:val="1C131164"/>
    <w:rsid w:val="1C177AE5"/>
    <w:rsid w:val="1C1B3B19"/>
    <w:rsid w:val="1C1C4F1A"/>
    <w:rsid w:val="1C1D13BE"/>
    <w:rsid w:val="1C1E66A8"/>
    <w:rsid w:val="1C204A0A"/>
    <w:rsid w:val="1C224C26"/>
    <w:rsid w:val="1C297D63"/>
    <w:rsid w:val="1C2D08BF"/>
    <w:rsid w:val="1C2E35CB"/>
    <w:rsid w:val="1C2F6481"/>
    <w:rsid w:val="1C3109C5"/>
    <w:rsid w:val="1C314E69"/>
    <w:rsid w:val="1C32571D"/>
    <w:rsid w:val="1C34594F"/>
    <w:rsid w:val="1C387FA6"/>
    <w:rsid w:val="1C44694B"/>
    <w:rsid w:val="1C47468D"/>
    <w:rsid w:val="1C4A7CD9"/>
    <w:rsid w:val="1C4C3A51"/>
    <w:rsid w:val="1C533032"/>
    <w:rsid w:val="1C5D5C5E"/>
    <w:rsid w:val="1C5F3784"/>
    <w:rsid w:val="1C6074FD"/>
    <w:rsid w:val="1C640D9B"/>
    <w:rsid w:val="1C676DC2"/>
    <w:rsid w:val="1C694603"/>
    <w:rsid w:val="1C6C7097"/>
    <w:rsid w:val="1C702409"/>
    <w:rsid w:val="1C716083"/>
    <w:rsid w:val="1C733ECC"/>
    <w:rsid w:val="1C744EE3"/>
    <w:rsid w:val="1C752FA8"/>
    <w:rsid w:val="1C7865F4"/>
    <w:rsid w:val="1C876837"/>
    <w:rsid w:val="1C8A6328"/>
    <w:rsid w:val="1C906F2C"/>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D767C"/>
    <w:rsid w:val="1CBF06C7"/>
    <w:rsid w:val="1CC108CC"/>
    <w:rsid w:val="1CCC64DC"/>
    <w:rsid w:val="1CCE26B8"/>
    <w:rsid w:val="1CDA364E"/>
    <w:rsid w:val="1CDF48C5"/>
    <w:rsid w:val="1CE41EDC"/>
    <w:rsid w:val="1CE912A0"/>
    <w:rsid w:val="1CEB326A"/>
    <w:rsid w:val="1CF3211F"/>
    <w:rsid w:val="1CF814E3"/>
    <w:rsid w:val="1CFC0D17"/>
    <w:rsid w:val="1CFD4D4B"/>
    <w:rsid w:val="1CFF0AC4"/>
    <w:rsid w:val="1D0205B4"/>
    <w:rsid w:val="1D077918"/>
    <w:rsid w:val="1D0B56BA"/>
    <w:rsid w:val="1D0D0040"/>
    <w:rsid w:val="1D0D31E0"/>
    <w:rsid w:val="1D0E51AB"/>
    <w:rsid w:val="1D1207F7"/>
    <w:rsid w:val="1D1741B0"/>
    <w:rsid w:val="1D183933"/>
    <w:rsid w:val="1D1C3424"/>
    <w:rsid w:val="1D214EDE"/>
    <w:rsid w:val="1D237A52"/>
    <w:rsid w:val="1D2B18B9"/>
    <w:rsid w:val="1D3249F5"/>
    <w:rsid w:val="1D444728"/>
    <w:rsid w:val="1D4604A0"/>
    <w:rsid w:val="1D4D4C12"/>
    <w:rsid w:val="1D540E0F"/>
    <w:rsid w:val="1D556936"/>
    <w:rsid w:val="1D567998"/>
    <w:rsid w:val="1D57445C"/>
    <w:rsid w:val="1D5801D4"/>
    <w:rsid w:val="1D5A6AB3"/>
    <w:rsid w:val="1D5E1C8E"/>
    <w:rsid w:val="1D5E5D84"/>
    <w:rsid w:val="1D600881"/>
    <w:rsid w:val="1D666D95"/>
    <w:rsid w:val="1D682B0D"/>
    <w:rsid w:val="1D69418F"/>
    <w:rsid w:val="1D70376F"/>
    <w:rsid w:val="1D756FD8"/>
    <w:rsid w:val="1D772D50"/>
    <w:rsid w:val="1D7B1393"/>
    <w:rsid w:val="1D7D3896"/>
    <w:rsid w:val="1D7E40DE"/>
    <w:rsid w:val="1D862F93"/>
    <w:rsid w:val="1D910C13"/>
    <w:rsid w:val="1D94745E"/>
    <w:rsid w:val="1D965BCC"/>
    <w:rsid w:val="1D9C27B6"/>
    <w:rsid w:val="1D9C6312"/>
    <w:rsid w:val="1D9C78E8"/>
    <w:rsid w:val="1DAB29F9"/>
    <w:rsid w:val="1DAE343C"/>
    <w:rsid w:val="1DB1168D"/>
    <w:rsid w:val="1DB7139E"/>
    <w:rsid w:val="1DB93368"/>
    <w:rsid w:val="1DBA2700"/>
    <w:rsid w:val="1DBB5B2A"/>
    <w:rsid w:val="1DC52FAB"/>
    <w:rsid w:val="1DC65322"/>
    <w:rsid w:val="1DC85359"/>
    <w:rsid w:val="1DCE0BB5"/>
    <w:rsid w:val="1DD43CFE"/>
    <w:rsid w:val="1DD6628E"/>
    <w:rsid w:val="1DD663F1"/>
    <w:rsid w:val="1DD7559C"/>
    <w:rsid w:val="1DD91DFE"/>
    <w:rsid w:val="1DDA5495"/>
    <w:rsid w:val="1DDB32DF"/>
    <w:rsid w:val="1DE026A3"/>
    <w:rsid w:val="1DE1641B"/>
    <w:rsid w:val="1DE63A32"/>
    <w:rsid w:val="1DED4DC0"/>
    <w:rsid w:val="1DED6B6E"/>
    <w:rsid w:val="1DEF28E6"/>
    <w:rsid w:val="1DFD1C32"/>
    <w:rsid w:val="1E002D45"/>
    <w:rsid w:val="1E021574"/>
    <w:rsid w:val="1E094E90"/>
    <w:rsid w:val="1E0B0BB8"/>
    <w:rsid w:val="1E0D7210"/>
    <w:rsid w:val="1E0F6BD4"/>
    <w:rsid w:val="1E0F7CB7"/>
    <w:rsid w:val="1E1249C9"/>
    <w:rsid w:val="1E1D56A5"/>
    <w:rsid w:val="1E2A1B70"/>
    <w:rsid w:val="1E2A6014"/>
    <w:rsid w:val="1E2D15D1"/>
    <w:rsid w:val="1E360515"/>
    <w:rsid w:val="1E3812B5"/>
    <w:rsid w:val="1E426EBA"/>
    <w:rsid w:val="1E463F1E"/>
    <w:rsid w:val="1E486A15"/>
    <w:rsid w:val="1E4E3AB1"/>
    <w:rsid w:val="1E4F7829"/>
    <w:rsid w:val="1E543091"/>
    <w:rsid w:val="1E55286D"/>
    <w:rsid w:val="1E5633AE"/>
    <w:rsid w:val="1E567848"/>
    <w:rsid w:val="1E570B35"/>
    <w:rsid w:val="1E574EB5"/>
    <w:rsid w:val="1E5D3CF4"/>
    <w:rsid w:val="1E5F23BD"/>
    <w:rsid w:val="1E6169F7"/>
    <w:rsid w:val="1E6432D4"/>
    <w:rsid w:val="1E6A1572"/>
    <w:rsid w:val="1E733517"/>
    <w:rsid w:val="1E757DC6"/>
    <w:rsid w:val="1E780C87"/>
    <w:rsid w:val="1E780D78"/>
    <w:rsid w:val="1E845724"/>
    <w:rsid w:val="1E87192B"/>
    <w:rsid w:val="1E890F8D"/>
    <w:rsid w:val="1E8F6EB7"/>
    <w:rsid w:val="1E933BB9"/>
    <w:rsid w:val="1E935967"/>
    <w:rsid w:val="1E94348E"/>
    <w:rsid w:val="1E9516DF"/>
    <w:rsid w:val="1E997FFF"/>
    <w:rsid w:val="1E9B0CC0"/>
    <w:rsid w:val="1E9F430C"/>
    <w:rsid w:val="1E9F4582"/>
    <w:rsid w:val="1EA2204E"/>
    <w:rsid w:val="1EA638ED"/>
    <w:rsid w:val="1EA96F39"/>
    <w:rsid w:val="1EAC07D7"/>
    <w:rsid w:val="1EB64FA8"/>
    <w:rsid w:val="1EB8717C"/>
    <w:rsid w:val="1EC51899"/>
    <w:rsid w:val="1ECC090F"/>
    <w:rsid w:val="1ECE05AB"/>
    <w:rsid w:val="1ED65854"/>
    <w:rsid w:val="1ED95739"/>
    <w:rsid w:val="1EE211AB"/>
    <w:rsid w:val="1EE7180F"/>
    <w:rsid w:val="1EED11DB"/>
    <w:rsid w:val="1EF47B72"/>
    <w:rsid w:val="1EF53F2C"/>
    <w:rsid w:val="1EFD1E5A"/>
    <w:rsid w:val="1F00584E"/>
    <w:rsid w:val="1F010B23"/>
    <w:rsid w:val="1F071861"/>
    <w:rsid w:val="1F0D396C"/>
    <w:rsid w:val="1F132604"/>
    <w:rsid w:val="1F1545CE"/>
    <w:rsid w:val="1F1B770B"/>
    <w:rsid w:val="1F1D7BFC"/>
    <w:rsid w:val="1F1F3C3A"/>
    <w:rsid w:val="1F226CEB"/>
    <w:rsid w:val="1F262338"/>
    <w:rsid w:val="1F302869"/>
    <w:rsid w:val="1F303DF5"/>
    <w:rsid w:val="1F360B38"/>
    <w:rsid w:val="1F3B03AF"/>
    <w:rsid w:val="1F3C7DAD"/>
    <w:rsid w:val="1F486752"/>
    <w:rsid w:val="1F494A91"/>
    <w:rsid w:val="1F4A1709"/>
    <w:rsid w:val="1F542AF0"/>
    <w:rsid w:val="1F552C1D"/>
    <w:rsid w:val="1F6317DE"/>
    <w:rsid w:val="1F681905"/>
    <w:rsid w:val="1F6B2440"/>
    <w:rsid w:val="1F6C7A7C"/>
    <w:rsid w:val="1F705CA9"/>
    <w:rsid w:val="1F707A57"/>
    <w:rsid w:val="1F731B56"/>
    <w:rsid w:val="1F74110F"/>
    <w:rsid w:val="1F7E0296"/>
    <w:rsid w:val="1F8034B0"/>
    <w:rsid w:val="1F844F28"/>
    <w:rsid w:val="1F8654CC"/>
    <w:rsid w:val="1F8B4890"/>
    <w:rsid w:val="1F8D0609"/>
    <w:rsid w:val="1F8E6EBD"/>
    <w:rsid w:val="1F95570F"/>
    <w:rsid w:val="1F9574BD"/>
    <w:rsid w:val="1F9A0F77"/>
    <w:rsid w:val="1F9B5D57"/>
    <w:rsid w:val="1F9C0172"/>
    <w:rsid w:val="1F9C4B80"/>
    <w:rsid w:val="1FA12306"/>
    <w:rsid w:val="1FA26029"/>
    <w:rsid w:val="1FA52E26"/>
    <w:rsid w:val="1FA53BA4"/>
    <w:rsid w:val="1FAB4F33"/>
    <w:rsid w:val="1FAD2A59"/>
    <w:rsid w:val="1FB02549"/>
    <w:rsid w:val="1FB12B7B"/>
    <w:rsid w:val="1FB21E1D"/>
    <w:rsid w:val="1FB42607"/>
    <w:rsid w:val="1FB56D07"/>
    <w:rsid w:val="1FB7220A"/>
    <w:rsid w:val="1FC17307"/>
    <w:rsid w:val="1FCD088B"/>
    <w:rsid w:val="1FCF44DB"/>
    <w:rsid w:val="1FD60202"/>
    <w:rsid w:val="1FD61FB0"/>
    <w:rsid w:val="1FDA1374"/>
    <w:rsid w:val="1FDE7F6F"/>
    <w:rsid w:val="1FE346CD"/>
    <w:rsid w:val="1FEA7C53"/>
    <w:rsid w:val="1FEE7146"/>
    <w:rsid w:val="1FEF0EF4"/>
    <w:rsid w:val="1FF45DCD"/>
    <w:rsid w:val="1FF563DD"/>
    <w:rsid w:val="1FFA64B0"/>
    <w:rsid w:val="1FFB2A6A"/>
    <w:rsid w:val="20025A91"/>
    <w:rsid w:val="20047D3E"/>
    <w:rsid w:val="200563F1"/>
    <w:rsid w:val="2006231E"/>
    <w:rsid w:val="200D1749"/>
    <w:rsid w:val="201168B8"/>
    <w:rsid w:val="201B5C14"/>
    <w:rsid w:val="201C0736"/>
    <w:rsid w:val="202111B2"/>
    <w:rsid w:val="202645B9"/>
    <w:rsid w:val="202D1DEC"/>
    <w:rsid w:val="203171E6"/>
    <w:rsid w:val="20320885"/>
    <w:rsid w:val="20350095"/>
    <w:rsid w:val="20360CA0"/>
    <w:rsid w:val="20360F5B"/>
    <w:rsid w:val="20372E7D"/>
    <w:rsid w:val="203942EC"/>
    <w:rsid w:val="203A38EA"/>
    <w:rsid w:val="204809D3"/>
    <w:rsid w:val="204A037D"/>
    <w:rsid w:val="204C4020"/>
    <w:rsid w:val="20512D78"/>
    <w:rsid w:val="20515ADA"/>
    <w:rsid w:val="205729C5"/>
    <w:rsid w:val="205904EB"/>
    <w:rsid w:val="206155F1"/>
    <w:rsid w:val="20623843"/>
    <w:rsid w:val="207812B9"/>
    <w:rsid w:val="207864EE"/>
    <w:rsid w:val="207E43F5"/>
    <w:rsid w:val="2080305E"/>
    <w:rsid w:val="20805409"/>
    <w:rsid w:val="20823EE5"/>
    <w:rsid w:val="20857532"/>
    <w:rsid w:val="208C6B12"/>
    <w:rsid w:val="2091237A"/>
    <w:rsid w:val="20921043"/>
    <w:rsid w:val="209E1F77"/>
    <w:rsid w:val="20A025BE"/>
    <w:rsid w:val="20A06EA1"/>
    <w:rsid w:val="20A21BF5"/>
    <w:rsid w:val="20A26336"/>
    <w:rsid w:val="20A34B34"/>
    <w:rsid w:val="20A53730"/>
    <w:rsid w:val="20AC0F62"/>
    <w:rsid w:val="20B561E4"/>
    <w:rsid w:val="20BB33CA"/>
    <w:rsid w:val="20C462AC"/>
    <w:rsid w:val="20CB5604"/>
    <w:rsid w:val="20D364EF"/>
    <w:rsid w:val="20D5619C"/>
    <w:rsid w:val="20D9162C"/>
    <w:rsid w:val="20DB40B8"/>
    <w:rsid w:val="20E029BA"/>
    <w:rsid w:val="20E17432"/>
    <w:rsid w:val="20E23E58"/>
    <w:rsid w:val="20EC135F"/>
    <w:rsid w:val="20EF4387"/>
    <w:rsid w:val="20F003D8"/>
    <w:rsid w:val="20F128FE"/>
    <w:rsid w:val="20F52909"/>
    <w:rsid w:val="20F85D62"/>
    <w:rsid w:val="20FC2382"/>
    <w:rsid w:val="21093CBF"/>
    <w:rsid w:val="210A24B9"/>
    <w:rsid w:val="210A342D"/>
    <w:rsid w:val="210D26FB"/>
    <w:rsid w:val="210F7CE3"/>
    <w:rsid w:val="21132D8F"/>
    <w:rsid w:val="211333F9"/>
    <w:rsid w:val="21140BF4"/>
    <w:rsid w:val="2116462E"/>
    <w:rsid w:val="21186CA9"/>
    <w:rsid w:val="211D3C0E"/>
    <w:rsid w:val="211D438C"/>
    <w:rsid w:val="211F3ADE"/>
    <w:rsid w:val="21246D4B"/>
    <w:rsid w:val="21262AC3"/>
    <w:rsid w:val="21276BA7"/>
    <w:rsid w:val="212E1977"/>
    <w:rsid w:val="213351E0"/>
    <w:rsid w:val="21350F58"/>
    <w:rsid w:val="213528A0"/>
    <w:rsid w:val="213571AA"/>
    <w:rsid w:val="213827F6"/>
    <w:rsid w:val="213D605E"/>
    <w:rsid w:val="213D7C44"/>
    <w:rsid w:val="213F4B2E"/>
    <w:rsid w:val="2149055F"/>
    <w:rsid w:val="21493A50"/>
    <w:rsid w:val="215313DE"/>
    <w:rsid w:val="215533A8"/>
    <w:rsid w:val="215F4227"/>
    <w:rsid w:val="21600CBF"/>
    <w:rsid w:val="216A2189"/>
    <w:rsid w:val="216C24A0"/>
    <w:rsid w:val="216E446A"/>
    <w:rsid w:val="216F2737"/>
    <w:rsid w:val="217823A6"/>
    <w:rsid w:val="21792FBB"/>
    <w:rsid w:val="217B07D6"/>
    <w:rsid w:val="217D1E03"/>
    <w:rsid w:val="21815F4B"/>
    <w:rsid w:val="21843601"/>
    <w:rsid w:val="2184648F"/>
    <w:rsid w:val="218A325D"/>
    <w:rsid w:val="218C4D46"/>
    <w:rsid w:val="218E56E9"/>
    <w:rsid w:val="219263AA"/>
    <w:rsid w:val="219A700D"/>
    <w:rsid w:val="219E4C9A"/>
    <w:rsid w:val="21A12149"/>
    <w:rsid w:val="21A67760"/>
    <w:rsid w:val="21AD4F92"/>
    <w:rsid w:val="21B87493"/>
    <w:rsid w:val="21BF4CC5"/>
    <w:rsid w:val="21C8332B"/>
    <w:rsid w:val="21DE514B"/>
    <w:rsid w:val="21E309B4"/>
    <w:rsid w:val="21E34462"/>
    <w:rsid w:val="21E45D3C"/>
    <w:rsid w:val="21F506E7"/>
    <w:rsid w:val="21F95279"/>
    <w:rsid w:val="21F97908"/>
    <w:rsid w:val="21FA6D32"/>
    <w:rsid w:val="21FA7AAB"/>
    <w:rsid w:val="21FC3824"/>
    <w:rsid w:val="21FE01EB"/>
    <w:rsid w:val="22056B7C"/>
    <w:rsid w:val="2208666C"/>
    <w:rsid w:val="220D3C83"/>
    <w:rsid w:val="22121299"/>
    <w:rsid w:val="22146DBF"/>
    <w:rsid w:val="221B014E"/>
    <w:rsid w:val="221C1825"/>
    <w:rsid w:val="221C2118"/>
    <w:rsid w:val="22205764"/>
    <w:rsid w:val="22223C83"/>
    <w:rsid w:val="22244B28"/>
    <w:rsid w:val="2228094B"/>
    <w:rsid w:val="22327245"/>
    <w:rsid w:val="22377E0A"/>
    <w:rsid w:val="223B259E"/>
    <w:rsid w:val="223B3EE7"/>
    <w:rsid w:val="223B434C"/>
    <w:rsid w:val="22407BB4"/>
    <w:rsid w:val="22476665"/>
    <w:rsid w:val="225549DB"/>
    <w:rsid w:val="22583A72"/>
    <w:rsid w:val="225A1C20"/>
    <w:rsid w:val="225C2233"/>
    <w:rsid w:val="225F478E"/>
    <w:rsid w:val="2265586D"/>
    <w:rsid w:val="226D3010"/>
    <w:rsid w:val="227117DF"/>
    <w:rsid w:val="22791E85"/>
    <w:rsid w:val="22795622"/>
    <w:rsid w:val="227C6712"/>
    <w:rsid w:val="22812619"/>
    <w:rsid w:val="22824E29"/>
    <w:rsid w:val="228F4698"/>
    <w:rsid w:val="22904FEA"/>
    <w:rsid w:val="22965A26"/>
    <w:rsid w:val="22967FAA"/>
    <w:rsid w:val="2297354C"/>
    <w:rsid w:val="2298179E"/>
    <w:rsid w:val="229972C4"/>
    <w:rsid w:val="22A00653"/>
    <w:rsid w:val="22AC6FF8"/>
    <w:rsid w:val="22AF6AE8"/>
    <w:rsid w:val="22B20386"/>
    <w:rsid w:val="22B879B2"/>
    <w:rsid w:val="22B91715"/>
    <w:rsid w:val="22BB3BEB"/>
    <w:rsid w:val="22BD6838"/>
    <w:rsid w:val="22C00CF5"/>
    <w:rsid w:val="22C02AA3"/>
    <w:rsid w:val="22C32593"/>
    <w:rsid w:val="22C35EAF"/>
    <w:rsid w:val="22C67236"/>
    <w:rsid w:val="22C801ED"/>
    <w:rsid w:val="22C81958"/>
    <w:rsid w:val="22C977AC"/>
    <w:rsid w:val="22CF641B"/>
    <w:rsid w:val="22D5147B"/>
    <w:rsid w:val="22D622C7"/>
    <w:rsid w:val="22D93A1C"/>
    <w:rsid w:val="22DD18A7"/>
    <w:rsid w:val="22DD5403"/>
    <w:rsid w:val="22DF0DA2"/>
    <w:rsid w:val="22DF73CD"/>
    <w:rsid w:val="22E20377"/>
    <w:rsid w:val="22E345E0"/>
    <w:rsid w:val="22E76282"/>
    <w:rsid w:val="22E95145"/>
    <w:rsid w:val="22EA7B20"/>
    <w:rsid w:val="22F56BF1"/>
    <w:rsid w:val="22F83FEB"/>
    <w:rsid w:val="22F90E47"/>
    <w:rsid w:val="22FD7D58"/>
    <w:rsid w:val="22FF35CB"/>
    <w:rsid w:val="230F7587"/>
    <w:rsid w:val="231F749E"/>
    <w:rsid w:val="23251A24"/>
    <w:rsid w:val="232C67F1"/>
    <w:rsid w:val="23344139"/>
    <w:rsid w:val="23360FB7"/>
    <w:rsid w:val="23445482"/>
    <w:rsid w:val="234F36E4"/>
    <w:rsid w:val="234F5BD5"/>
    <w:rsid w:val="23566F63"/>
    <w:rsid w:val="235F246C"/>
    <w:rsid w:val="23621868"/>
    <w:rsid w:val="237415CC"/>
    <w:rsid w:val="238A4E8A"/>
    <w:rsid w:val="23900D85"/>
    <w:rsid w:val="239A1BA6"/>
    <w:rsid w:val="23A44173"/>
    <w:rsid w:val="23A80837"/>
    <w:rsid w:val="23BC326A"/>
    <w:rsid w:val="23BF7921"/>
    <w:rsid w:val="23C17A60"/>
    <w:rsid w:val="23C232D7"/>
    <w:rsid w:val="23C6058D"/>
    <w:rsid w:val="23CB5BA3"/>
    <w:rsid w:val="23CF3667"/>
    <w:rsid w:val="23D021ED"/>
    <w:rsid w:val="23E30B60"/>
    <w:rsid w:val="23E443FD"/>
    <w:rsid w:val="23E629DD"/>
    <w:rsid w:val="23E66539"/>
    <w:rsid w:val="23EA026F"/>
    <w:rsid w:val="23EB61A9"/>
    <w:rsid w:val="23EF10D6"/>
    <w:rsid w:val="23F91D2C"/>
    <w:rsid w:val="23FA3D93"/>
    <w:rsid w:val="23FE7D27"/>
    <w:rsid w:val="24037BE3"/>
    <w:rsid w:val="240939B7"/>
    <w:rsid w:val="240A129F"/>
    <w:rsid w:val="240C0129"/>
    <w:rsid w:val="240E52C2"/>
    <w:rsid w:val="24134E54"/>
    <w:rsid w:val="24135347"/>
    <w:rsid w:val="24170DE9"/>
    <w:rsid w:val="24174257"/>
    <w:rsid w:val="242034A3"/>
    <w:rsid w:val="24217571"/>
    <w:rsid w:val="24305A06"/>
    <w:rsid w:val="24305D97"/>
    <w:rsid w:val="24373239"/>
    <w:rsid w:val="243A0DA5"/>
    <w:rsid w:val="24443260"/>
    <w:rsid w:val="24457704"/>
    <w:rsid w:val="244914FB"/>
    <w:rsid w:val="244D480A"/>
    <w:rsid w:val="24596D0B"/>
    <w:rsid w:val="2460453E"/>
    <w:rsid w:val="246B4C91"/>
    <w:rsid w:val="246B5632"/>
    <w:rsid w:val="24765B0F"/>
    <w:rsid w:val="24771B4C"/>
    <w:rsid w:val="247731AD"/>
    <w:rsid w:val="247C6E9E"/>
    <w:rsid w:val="247E0F32"/>
    <w:rsid w:val="247F2548"/>
    <w:rsid w:val="24857B00"/>
    <w:rsid w:val="24860C2C"/>
    <w:rsid w:val="248719C1"/>
    <w:rsid w:val="248875F1"/>
    <w:rsid w:val="24903AB7"/>
    <w:rsid w:val="249145FE"/>
    <w:rsid w:val="249441E7"/>
    <w:rsid w:val="249621AB"/>
    <w:rsid w:val="249C2E52"/>
    <w:rsid w:val="249E485B"/>
    <w:rsid w:val="24A47A11"/>
    <w:rsid w:val="24A92405"/>
    <w:rsid w:val="24AD52A9"/>
    <w:rsid w:val="24AF7273"/>
    <w:rsid w:val="24B53FFA"/>
    <w:rsid w:val="24B61418"/>
    <w:rsid w:val="24B77ED6"/>
    <w:rsid w:val="24BA63DB"/>
    <w:rsid w:val="24BC54EC"/>
    <w:rsid w:val="24C50802"/>
    <w:rsid w:val="24C820E3"/>
    <w:rsid w:val="24CF2D77"/>
    <w:rsid w:val="24D45713"/>
    <w:rsid w:val="24D601DD"/>
    <w:rsid w:val="24D64800"/>
    <w:rsid w:val="24E46F1D"/>
    <w:rsid w:val="24E64821"/>
    <w:rsid w:val="24E94533"/>
    <w:rsid w:val="24F5112A"/>
    <w:rsid w:val="24F715FB"/>
    <w:rsid w:val="24F820DF"/>
    <w:rsid w:val="24F9229C"/>
    <w:rsid w:val="24FC67A7"/>
    <w:rsid w:val="25007ACF"/>
    <w:rsid w:val="25050C41"/>
    <w:rsid w:val="25076767"/>
    <w:rsid w:val="25084F27"/>
    <w:rsid w:val="25090731"/>
    <w:rsid w:val="251315B0"/>
    <w:rsid w:val="25145328"/>
    <w:rsid w:val="251A5CCC"/>
    <w:rsid w:val="252C3B2C"/>
    <w:rsid w:val="252F3F10"/>
    <w:rsid w:val="25317C88"/>
    <w:rsid w:val="25367242"/>
    <w:rsid w:val="25386701"/>
    <w:rsid w:val="253908EB"/>
    <w:rsid w:val="25401FA2"/>
    <w:rsid w:val="25407ECB"/>
    <w:rsid w:val="25445C0D"/>
    <w:rsid w:val="25453733"/>
    <w:rsid w:val="25457506"/>
    <w:rsid w:val="25480598"/>
    <w:rsid w:val="254B640F"/>
    <w:rsid w:val="254D1A4E"/>
    <w:rsid w:val="2556149D"/>
    <w:rsid w:val="25592D3B"/>
    <w:rsid w:val="255F69BB"/>
    <w:rsid w:val="256471D1"/>
    <w:rsid w:val="25695674"/>
    <w:rsid w:val="256A4F48"/>
    <w:rsid w:val="257858B7"/>
    <w:rsid w:val="25827827"/>
    <w:rsid w:val="258D52E9"/>
    <w:rsid w:val="259049AF"/>
    <w:rsid w:val="2593624D"/>
    <w:rsid w:val="259721E1"/>
    <w:rsid w:val="25981AB5"/>
    <w:rsid w:val="259D70CC"/>
    <w:rsid w:val="259F2E44"/>
    <w:rsid w:val="25A4045A"/>
    <w:rsid w:val="25A97777"/>
    <w:rsid w:val="25AB3597"/>
    <w:rsid w:val="25AD72C5"/>
    <w:rsid w:val="25B04D2A"/>
    <w:rsid w:val="25BB768E"/>
    <w:rsid w:val="25C32FD6"/>
    <w:rsid w:val="25CA090D"/>
    <w:rsid w:val="25CC175F"/>
    <w:rsid w:val="25D54AB7"/>
    <w:rsid w:val="25DB7D8E"/>
    <w:rsid w:val="25DD571A"/>
    <w:rsid w:val="25DE0A93"/>
    <w:rsid w:val="25DE670F"/>
    <w:rsid w:val="25DF1492"/>
    <w:rsid w:val="25E62821"/>
    <w:rsid w:val="25F068FA"/>
    <w:rsid w:val="25FA451E"/>
    <w:rsid w:val="25FC2044"/>
    <w:rsid w:val="25FD5DBC"/>
    <w:rsid w:val="260809E9"/>
    <w:rsid w:val="2610765E"/>
    <w:rsid w:val="26127ABA"/>
    <w:rsid w:val="261513AF"/>
    <w:rsid w:val="26242212"/>
    <w:rsid w:val="26247424"/>
    <w:rsid w:val="26265313"/>
    <w:rsid w:val="262B0C7D"/>
    <w:rsid w:val="262E41C8"/>
    <w:rsid w:val="26325420"/>
    <w:rsid w:val="263D7F73"/>
    <w:rsid w:val="263F63D5"/>
    <w:rsid w:val="26416F3C"/>
    <w:rsid w:val="26435EC5"/>
    <w:rsid w:val="26437C73"/>
    <w:rsid w:val="264C2EC3"/>
    <w:rsid w:val="264D0AF2"/>
    <w:rsid w:val="264F6618"/>
    <w:rsid w:val="26546AF3"/>
    <w:rsid w:val="26555BF8"/>
    <w:rsid w:val="265B0961"/>
    <w:rsid w:val="265B26B4"/>
    <w:rsid w:val="265F3C06"/>
    <w:rsid w:val="2663431E"/>
    <w:rsid w:val="266D7BE1"/>
    <w:rsid w:val="266F2816"/>
    <w:rsid w:val="26705B30"/>
    <w:rsid w:val="26745514"/>
    <w:rsid w:val="26747E2C"/>
    <w:rsid w:val="26795C3D"/>
    <w:rsid w:val="267B501B"/>
    <w:rsid w:val="267B565F"/>
    <w:rsid w:val="2685028B"/>
    <w:rsid w:val="268B161A"/>
    <w:rsid w:val="268D75FE"/>
    <w:rsid w:val="26937E02"/>
    <w:rsid w:val="26943F29"/>
    <w:rsid w:val="26955FF5"/>
    <w:rsid w:val="2697330D"/>
    <w:rsid w:val="26A56238"/>
    <w:rsid w:val="26A744B1"/>
    <w:rsid w:val="26AF70B6"/>
    <w:rsid w:val="26B66625"/>
    <w:rsid w:val="26BA3467"/>
    <w:rsid w:val="26BB02B7"/>
    <w:rsid w:val="26BC7A25"/>
    <w:rsid w:val="26C2328E"/>
    <w:rsid w:val="26C25711"/>
    <w:rsid w:val="26C27698"/>
    <w:rsid w:val="26C32B62"/>
    <w:rsid w:val="26C52DB4"/>
    <w:rsid w:val="26CE55A7"/>
    <w:rsid w:val="26D134D1"/>
    <w:rsid w:val="26D66D39"/>
    <w:rsid w:val="26D7594A"/>
    <w:rsid w:val="26D7660D"/>
    <w:rsid w:val="26D954F6"/>
    <w:rsid w:val="26DD00C8"/>
    <w:rsid w:val="26EA27E4"/>
    <w:rsid w:val="26ED1D1A"/>
    <w:rsid w:val="26F15921"/>
    <w:rsid w:val="26FA353F"/>
    <w:rsid w:val="26FF27E9"/>
    <w:rsid w:val="26FF300F"/>
    <w:rsid w:val="27026CE4"/>
    <w:rsid w:val="270D0F81"/>
    <w:rsid w:val="271A22E4"/>
    <w:rsid w:val="271E248E"/>
    <w:rsid w:val="27231852"/>
    <w:rsid w:val="272B79BF"/>
    <w:rsid w:val="272C6959"/>
    <w:rsid w:val="272F714A"/>
    <w:rsid w:val="273677D8"/>
    <w:rsid w:val="27383550"/>
    <w:rsid w:val="273852FE"/>
    <w:rsid w:val="2739440D"/>
    <w:rsid w:val="27403119"/>
    <w:rsid w:val="274517C9"/>
    <w:rsid w:val="274A3283"/>
    <w:rsid w:val="274D3E6B"/>
    <w:rsid w:val="27547C5E"/>
    <w:rsid w:val="275639D6"/>
    <w:rsid w:val="275B2D9A"/>
    <w:rsid w:val="275B723E"/>
    <w:rsid w:val="276205CD"/>
    <w:rsid w:val="276775E3"/>
    <w:rsid w:val="276B2776"/>
    <w:rsid w:val="276C4FA7"/>
    <w:rsid w:val="27702CEA"/>
    <w:rsid w:val="27723BC9"/>
    <w:rsid w:val="2772641A"/>
    <w:rsid w:val="27743E5C"/>
    <w:rsid w:val="277976C4"/>
    <w:rsid w:val="278505C3"/>
    <w:rsid w:val="2786250D"/>
    <w:rsid w:val="27897122"/>
    <w:rsid w:val="278A2A54"/>
    <w:rsid w:val="278C564A"/>
    <w:rsid w:val="27906EE8"/>
    <w:rsid w:val="27910EB2"/>
    <w:rsid w:val="27935170"/>
    <w:rsid w:val="27946C03"/>
    <w:rsid w:val="27952750"/>
    <w:rsid w:val="279F5CE9"/>
    <w:rsid w:val="27A04C51"/>
    <w:rsid w:val="27A873CE"/>
    <w:rsid w:val="27B34984"/>
    <w:rsid w:val="27B626C7"/>
    <w:rsid w:val="27B66DC9"/>
    <w:rsid w:val="27B70919"/>
    <w:rsid w:val="27C22E19"/>
    <w:rsid w:val="27C443CD"/>
    <w:rsid w:val="27CB7921"/>
    <w:rsid w:val="27CE17BE"/>
    <w:rsid w:val="27D112AE"/>
    <w:rsid w:val="27D50D9F"/>
    <w:rsid w:val="27D74B17"/>
    <w:rsid w:val="27E54A18"/>
    <w:rsid w:val="27EB6814"/>
    <w:rsid w:val="27EE3C0E"/>
    <w:rsid w:val="27F60D15"/>
    <w:rsid w:val="27FB6C3E"/>
    <w:rsid w:val="280451E0"/>
    <w:rsid w:val="28126D74"/>
    <w:rsid w:val="28137B19"/>
    <w:rsid w:val="281F2148"/>
    <w:rsid w:val="282B6C11"/>
    <w:rsid w:val="282D1124"/>
    <w:rsid w:val="282D4FFC"/>
    <w:rsid w:val="28327F9F"/>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E0954"/>
    <w:rsid w:val="28702875"/>
    <w:rsid w:val="28702D10"/>
    <w:rsid w:val="287133B5"/>
    <w:rsid w:val="2874680A"/>
    <w:rsid w:val="28766458"/>
    <w:rsid w:val="28797CFA"/>
    <w:rsid w:val="28814A83"/>
    <w:rsid w:val="288B5901"/>
    <w:rsid w:val="288F719F"/>
    <w:rsid w:val="28902F18"/>
    <w:rsid w:val="28952684"/>
    <w:rsid w:val="28956780"/>
    <w:rsid w:val="289C0120"/>
    <w:rsid w:val="28A2234D"/>
    <w:rsid w:val="28A6182B"/>
    <w:rsid w:val="28B210E0"/>
    <w:rsid w:val="28B430AA"/>
    <w:rsid w:val="28B46FDB"/>
    <w:rsid w:val="28B92525"/>
    <w:rsid w:val="28B9421C"/>
    <w:rsid w:val="28C815A7"/>
    <w:rsid w:val="28CA0D49"/>
    <w:rsid w:val="28CB21A2"/>
    <w:rsid w:val="28D34CE1"/>
    <w:rsid w:val="28D63020"/>
    <w:rsid w:val="28DE0127"/>
    <w:rsid w:val="28E05C4D"/>
    <w:rsid w:val="28E13773"/>
    <w:rsid w:val="28E374EB"/>
    <w:rsid w:val="28E976B6"/>
    <w:rsid w:val="28EC1F83"/>
    <w:rsid w:val="28ED036A"/>
    <w:rsid w:val="28F243A6"/>
    <w:rsid w:val="28F72F97"/>
    <w:rsid w:val="28F96D0F"/>
    <w:rsid w:val="290556B4"/>
    <w:rsid w:val="29057462"/>
    <w:rsid w:val="290B246F"/>
    <w:rsid w:val="290F204E"/>
    <w:rsid w:val="291476A5"/>
    <w:rsid w:val="291678C1"/>
    <w:rsid w:val="29177195"/>
    <w:rsid w:val="291D29FD"/>
    <w:rsid w:val="2920604A"/>
    <w:rsid w:val="2927562A"/>
    <w:rsid w:val="292D7811"/>
    <w:rsid w:val="29310257"/>
    <w:rsid w:val="29347D47"/>
    <w:rsid w:val="293C79BB"/>
    <w:rsid w:val="293D6BFB"/>
    <w:rsid w:val="294A0D31"/>
    <w:rsid w:val="294A57BC"/>
    <w:rsid w:val="294C6E3F"/>
    <w:rsid w:val="294E54E5"/>
    <w:rsid w:val="294F0C3C"/>
    <w:rsid w:val="295B52D4"/>
    <w:rsid w:val="295E3EB9"/>
    <w:rsid w:val="296A19BB"/>
    <w:rsid w:val="296D5007"/>
    <w:rsid w:val="296F0D7F"/>
    <w:rsid w:val="297319E7"/>
    <w:rsid w:val="2973261D"/>
    <w:rsid w:val="29736589"/>
    <w:rsid w:val="2979112F"/>
    <w:rsid w:val="297B3BC8"/>
    <w:rsid w:val="297C64FE"/>
    <w:rsid w:val="297F5DA9"/>
    <w:rsid w:val="29826D04"/>
    <w:rsid w:val="298365D8"/>
    <w:rsid w:val="29851B11"/>
    <w:rsid w:val="298760C9"/>
    <w:rsid w:val="29877D7E"/>
    <w:rsid w:val="2988000E"/>
    <w:rsid w:val="298A7967"/>
    <w:rsid w:val="298C36DF"/>
    <w:rsid w:val="298D7483"/>
    <w:rsid w:val="298F19EC"/>
    <w:rsid w:val="29916C1B"/>
    <w:rsid w:val="29936EB5"/>
    <w:rsid w:val="29952E6A"/>
    <w:rsid w:val="299D24FB"/>
    <w:rsid w:val="299D266E"/>
    <w:rsid w:val="299D58EC"/>
    <w:rsid w:val="29A44ECD"/>
    <w:rsid w:val="29A70519"/>
    <w:rsid w:val="29AA1DB7"/>
    <w:rsid w:val="29AC5B2F"/>
    <w:rsid w:val="29B43D6F"/>
    <w:rsid w:val="29BD2CE7"/>
    <w:rsid w:val="29BF5862"/>
    <w:rsid w:val="29C42B90"/>
    <w:rsid w:val="29C73B59"/>
    <w:rsid w:val="29C76E0D"/>
    <w:rsid w:val="29CC3360"/>
    <w:rsid w:val="29D05CC2"/>
    <w:rsid w:val="29D3130E"/>
    <w:rsid w:val="29D357B2"/>
    <w:rsid w:val="29D64538"/>
    <w:rsid w:val="29D67050"/>
    <w:rsid w:val="29D83866"/>
    <w:rsid w:val="29DD03DE"/>
    <w:rsid w:val="29DF5F05"/>
    <w:rsid w:val="29EF0399"/>
    <w:rsid w:val="29F251A1"/>
    <w:rsid w:val="29FF0355"/>
    <w:rsid w:val="2A004A26"/>
    <w:rsid w:val="2A027E45"/>
    <w:rsid w:val="2A0475B6"/>
    <w:rsid w:val="2A086595"/>
    <w:rsid w:val="2A11464D"/>
    <w:rsid w:val="2A147350"/>
    <w:rsid w:val="2A175CBD"/>
    <w:rsid w:val="2A1A518F"/>
    <w:rsid w:val="2A1C0F07"/>
    <w:rsid w:val="2A1D315E"/>
    <w:rsid w:val="2A1F4553"/>
    <w:rsid w:val="2A20021E"/>
    <w:rsid w:val="2A2102CB"/>
    <w:rsid w:val="2A2D44F5"/>
    <w:rsid w:val="2A335204"/>
    <w:rsid w:val="2A377AEF"/>
    <w:rsid w:val="2A3A138D"/>
    <w:rsid w:val="2A3C6EB3"/>
    <w:rsid w:val="2A454BC0"/>
    <w:rsid w:val="2A467D32"/>
    <w:rsid w:val="2A473AAA"/>
    <w:rsid w:val="2A495E14"/>
    <w:rsid w:val="2A50295E"/>
    <w:rsid w:val="2A506E67"/>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D6003"/>
    <w:rsid w:val="2AAE58D7"/>
    <w:rsid w:val="2AB014B5"/>
    <w:rsid w:val="2AB23619"/>
    <w:rsid w:val="2AB50979"/>
    <w:rsid w:val="2AB52686"/>
    <w:rsid w:val="2AC1385C"/>
    <w:rsid w:val="2AC84BEB"/>
    <w:rsid w:val="2ACA55EE"/>
    <w:rsid w:val="2ACB72CA"/>
    <w:rsid w:val="2ACD3FAF"/>
    <w:rsid w:val="2AD0584D"/>
    <w:rsid w:val="2AD301CB"/>
    <w:rsid w:val="2AD417E1"/>
    <w:rsid w:val="2ADC3D49"/>
    <w:rsid w:val="2AE8703B"/>
    <w:rsid w:val="2AEC2151"/>
    <w:rsid w:val="2AF43C32"/>
    <w:rsid w:val="2AF61758"/>
    <w:rsid w:val="2AFF1BE9"/>
    <w:rsid w:val="2B011EB4"/>
    <w:rsid w:val="2B035C23"/>
    <w:rsid w:val="2B057BED"/>
    <w:rsid w:val="2B0C6B03"/>
    <w:rsid w:val="2B0F45C8"/>
    <w:rsid w:val="2B147E30"/>
    <w:rsid w:val="2B1716CE"/>
    <w:rsid w:val="2B175DF1"/>
    <w:rsid w:val="2B1B2F6C"/>
    <w:rsid w:val="2B204A27"/>
    <w:rsid w:val="2B23372E"/>
    <w:rsid w:val="2B250F76"/>
    <w:rsid w:val="2B277B9B"/>
    <w:rsid w:val="2B2A1401"/>
    <w:rsid w:val="2B305FE6"/>
    <w:rsid w:val="2B312790"/>
    <w:rsid w:val="2B33475A"/>
    <w:rsid w:val="2B345DDC"/>
    <w:rsid w:val="2B346B58"/>
    <w:rsid w:val="2B382728"/>
    <w:rsid w:val="2B457FE9"/>
    <w:rsid w:val="2B4864E5"/>
    <w:rsid w:val="2B5318C8"/>
    <w:rsid w:val="2B543A68"/>
    <w:rsid w:val="2B5D3585"/>
    <w:rsid w:val="2B606BD1"/>
    <w:rsid w:val="2B626DED"/>
    <w:rsid w:val="2B6B0F88"/>
    <w:rsid w:val="2B794137"/>
    <w:rsid w:val="2B795EE5"/>
    <w:rsid w:val="2B796202"/>
    <w:rsid w:val="2B830B12"/>
    <w:rsid w:val="2B854D0B"/>
    <w:rsid w:val="2B870602"/>
    <w:rsid w:val="2B8925CC"/>
    <w:rsid w:val="2B8B2FAB"/>
    <w:rsid w:val="2B8B5887"/>
    <w:rsid w:val="2B8C3E6A"/>
    <w:rsid w:val="2B8E01D9"/>
    <w:rsid w:val="2B8F423A"/>
    <w:rsid w:val="2B953521"/>
    <w:rsid w:val="2B9E44D4"/>
    <w:rsid w:val="2B9E76FA"/>
    <w:rsid w:val="2BA50A88"/>
    <w:rsid w:val="2BA54203"/>
    <w:rsid w:val="2BAC05D7"/>
    <w:rsid w:val="2BAC1E16"/>
    <w:rsid w:val="2BB04CB3"/>
    <w:rsid w:val="2BB5313E"/>
    <w:rsid w:val="2BB94533"/>
    <w:rsid w:val="2BBB02AC"/>
    <w:rsid w:val="2BBB2FE0"/>
    <w:rsid w:val="2BBE7D9C"/>
    <w:rsid w:val="2BBF5FEE"/>
    <w:rsid w:val="2BC2788C"/>
    <w:rsid w:val="2BC7343E"/>
    <w:rsid w:val="2BCF6549"/>
    <w:rsid w:val="2BD01731"/>
    <w:rsid w:val="2BD17ACF"/>
    <w:rsid w:val="2BD43465"/>
    <w:rsid w:val="2BD54053"/>
    <w:rsid w:val="2BD64C41"/>
    <w:rsid w:val="2BDE46D5"/>
    <w:rsid w:val="2BDF043E"/>
    <w:rsid w:val="2BE07D12"/>
    <w:rsid w:val="2BE14CC4"/>
    <w:rsid w:val="2BEA3551"/>
    <w:rsid w:val="2BEB4F7F"/>
    <w:rsid w:val="2BEE071B"/>
    <w:rsid w:val="2BEF7575"/>
    <w:rsid w:val="2BF11F1F"/>
    <w:rsid w:val="2C002162"/>
    <w:rsid w:val="2C024294"/>
    <w:rsid w:val="2C0A4AEB"/>
    <w:rsid w:val="2C0C162B"/>
    <w:rsid w:val="2C131E96"/>
    <w:rsid w:val="2C1B4054"/>
    <w:rsid w:val="2C21558C"/>
    <w:rsid w:val="2C2718A6"/>
    <w:rsid w:val="2C273711"/>
    <w:rsid w:val="2C2E0A7D"/>
    <w:rsid w:val="2C332538"/>
    <w:rsid w:val="2C36476D"/>
    <w:rsid w:val="2C367115"/>
    <w:rsid w:val="2C3818FC"/>
    <w:rsid w:val="2C387E60"/>
    <w:rsid w:val="2C3F2C8B"/>
    <w:rsid w:val="2C421441"/>
    <w:rsid w:val="2C477D91"/>
    <w:rsid w:val="2C482B06"/>
    <w:rsid w:val="2C491D5B"/>
    <w:rsid w:val="2C4E1120"/>
    <w:rsid w:val="2C4F3433"/>
    <w:rsid w:val="2C5512FE"/>
    <w:rsid w:val="2C5524AE"/>
    <w:rsid w:val="2C55747C"/>
    <w:rsid w:val="2C5A3F68"/>
    <w:rsid w:val="2C5F1931"/>
    <w:rsid w:val="2C6426F1"/>
    <w:rsid w:val="2C655676"/>
    <w:rsid w:val="2C69617F"/>
    <w:rsid w:val="2C6B3A80"/>
    <w:rsid w:val="2C7078A2"/>
    <w:rsid w:val="2C7566AC"/>
    <w:rsid w:val="2C795B5C"/>
    <w:rsid w:val="2C7E592F"/>
    <w:rsid w:val="2C840A51"/>
    <w:rsid w:val="2C872AF6"/>
    <w:rsid w:val="2C902915"/>
    <w:rsid w:val="2C9103E2"/>
    <w:rsid w:val="2C937E38"/>
    <w:rsid w:val="2C950AFD"/>
    <w:rsid w:val="2C9A25B7"/>
    <w:rsid w:val="2C9F197B"/>
    <w:rsid w:val="2C9F5E1F"/>
    <w:rsid w:val="2CA177F3"/>
    <w:rsid w:val="2CA23219"/>
    <w:rsid w:val="2CA43435"/>
    <w:rsid w:val="2CAE7DF9"/>
    <w:rsid w:val="2CB035A7"/>
    <w:rsid w:val="2CB96525"/>
    <w:rsid w:val="2CC82C80"/>
    <w:rsid w:val="2CC85EE2"/>
    <w:rsid w:val="2CC86312"/>
    <w:rsid w:val="2CC94C4A"/>
    <w:rsid w:val="2CCA30B3"/>
    <w:rsid w:val="2CCD0296"/>
    <w:rsid w:val="2CD71115"/>
    <w:rsid w:val="2CDF4518"/>
    <w:rsid w:val="2CE42EE2"/>
    <w:rsid w:val="2CE51A84"/>
    <w:rsid w:val="2CE5527B"/>
    <w:rsid w:val="2CE57671"/>
    <w:rsid w:val="2CE81ECD"/>
    <w:rsid w:val="2CEF2903"/>
    <w:rsid w:val="2CF23945"/>
    <w:rsid w:val="2CF9763D"/>
    <w:rsid w:val="2D0619FA"/>
    <w:rsid w:val="2D0D2D89"/>
    <w:rsid w:val="2D0F08AF"/>
    <w:rsid w:val="2D0F2929"/>
    <w:rsid w:val="2D1811A5"/>
    <w:rsid w:val="2D1839CC"/>
    <w:rsid w:val="2D1C4D7A"/>
    <w:rsid w:val="2D26573B"/>
    <w:rsid w:val="2D2F0F51"/>
    <w:rsid w:val="2D3447B9"/>
    <w:rsid w:val="2D3C197F"/>
    <w:rsid w:val="2D3E1194"/>
    <w:rsid w:val="2D3F0F76"/>
    <w:rsid w:val="2D410C84"/>
    <w:rsid w:val="2D430559"/>
    <w:rsid w:val="2D480265"/>
    <w:rsid w:val="2D497191"/>
    <w:rsid w:val="2D556FA6"/>
    <w:rsid w:val="2D5803B1"/>
    <w:rsid w:val="2D60110A"/>
    <w:rsid w:val="2D611894"/>
    <w:rsid w:val="2D616C31"/>
    <w:rsid w:val="2D643EE1"/>
    <w:rsid w:val="2D6D7992"/>
    <w:rsid w:val="2D6F3B2A"/>
    <w:rsid w:val="2D713318"/>
    <w:rsid w:val="2D7368E3"/>
    <w:rsid w:val="2D7573F8"/>
    <w:rsid w:val="2D8079C9"/>
    <w:rsid w:val="2D8748E9"/>
    <w:rsid w:val="2D8C0151"/>
    <w:rsid w:val="2D925950"/>
    <w:rsid w:val="2D960FD0"/>
    <w:rsid w:val="2D97116D"/>
    <w:rsid w:val="2D9E7E85"/>
    <w:rsid w:val="2DA336ED"/>
    <w:rsid w:val="2DAD00C8"/>
    <w:rsid w:val="2DB24B20"/>
    <w:rsid w:val="2DB32EFA"/>
    <w:rsid w:val="2DB66F59"/>
    <w:rsid w:val="2DB6777A"/>
    <w:rsid w:val="2DB73DD3"/>
    <w:rsid w:val="2DB80F46"/>
    <w:rsid w:val="2DBB01DC"/>
    <w:rsid w:val="2DBB4593"/>
    <w:rsid w:val="2DC01BA9"/>
    <w:rsid w:val="2DCA5054"/>
    <w:rsid w:val="2DCE15AF"/>
    <w:rsid w:val="2DCF4360"/>
    <w:rsid w:val="2DCF6290"/>
    <w:rsid w:val="2DD00881"/>
    <w:rsid w:val="2DDA60A5"/>
    <w:rsid w:val="2DE41E90"/>
    <w:rsid w:val="2DE53D06"/>
    <w:rsid w:val="2DEE2BBA"/>
    <w:rsid w:val="2DF301D1"/>
    <w:rsid w:val="2DFD143F"/>
    <w:rsid w:val="2E011250"/>
    <w:rsid w:val="2E0308AA"/>
    <w:rsid w:val="2E0C7AA4"/>
    <w:rsid w:val="2E0E500A"/>
    <w:rsid w:val="2E110657"/>
    <w:rsid w:val="2E2228F5"/>
    <w:rsid w:val="2E2A5352"/>
    <w:rsid w:val="2E2B70A7"/>
    <w:rsid w:val="2E2B796A"/>
    <w:rsid w:val="2E2C34EF"/>
    <w:rsid w:val="2E2E2FB7"/>
    <w:rsid w:val="2E2F6D2F"/>
    <w:rsid w:val="2E3005EA"/>
    <w:rsid w:val="2E3031D3"/>
    <w:rsid w:val="2E312AA7"/>
    <w:rsid w:val="2E345428"/>
    <w:rsid w:val="2E4346F5"/>
    <w:rsid w:val="2E4F2F2D"/>
    <w:rsid w:val="2E525FE5"/>
    <w:rsid w:val="2E5271BF"/>
    <w:rsid w:val="2E532A1D"/>
    <w:rsid w:val="2E554EA6"/>
    <w:rsid w:val="2E5829A2"/>
    <w:rsid w:val="2E5B0F11"/>
    <w:rsid w:val="2E600977"/>
    <w:rsid w:val="2E6102A1"/>
    <w:rsid w:val="2E6115DE"/>
    <w:rsid w:val="2E612931"/>
    <w:rsid w:val="2E62715D"/>
    <w:rsid w:val="2E64054F"/>
    <w:rsid w:val="2E666BF4"/>
    <w:rsid w:val="2E67471B"/>
    <w:rsid w:val="2E6764C9"/>
    <w:rsid w:val="2E6D573D"/>
    <w:rsid w:val="2E7110F5"/>
    <w:rsid w:val="2E753E92"/>
    <w:rsid w:val="2E756E38"/>
    <w:rsid w:val="2E7635F8"/>
    <w:rsid w:val="2E782484"/>
    <w:rsid w:val="2E831A73"/>
    <w:rsid w:val="2E8C71AC"/>
    <w:rsid w:val="2E8E1CA7"/>
    <w:rsid w:val="2E9508AA"/>
    <w:rsid w:val="2E9F5C62"/>
    <w:rsid w:val="2EA15E7F"/>
    <w:rsid w:val="2EA27501"/>
    <w:rsid w:val="2EA65F06"/>
    <w:rsid w:val="2EAC037F"/>
    <w:rsid w:val="2EAC3D49"/>
    <w:rsid w:val="2EAD65D1"/>
    <w:rsid w:val="2EB21E3A"/>
    <w:rsid w:val="2EB23BE8"/>
    <w:rsid w:val="2EB77450"/>
    <w:rsid w:val="2EBF4557"/>
    <w:rsid w:val="2EC35DF5"/>
    <w:rsid w:val="2ED527E6"/>
    <w:rsid w:val="2EDC0C65"/>
    <w:rsid w:val="2EE43FBD"/>
    <w:rsid w:val="2EE93382"/>
    <w:rsid w:val="2EEA0214"/>
    <w:rsid w:val="2EF37D5C"/>
    <w:rsid w:val="2EF91817"/>
    <w:rsid w:val="2EFA10EB"/>
    <w:rsid w:val="2F012479"/>
    <w:rsid w:val="2F0F2DE8"/>
    <w:rsid w:val="2F101F2F"/>
    <w:rsid w:val="2F11739B"/>
    <w:rsid w:val="2F1D79A9"/>
    <w:rsid w:val="2F1E74CF"/>
    <w:rsid w:val="2F234AE5"/>
    <w:rsid w:val="2F263FE7"/>
    <w:rsid w:val="2F2B1BEC"/>
    <w:rsid w:val="2F2B4739"/>
    <w:rsid w:val="2F2D7712"/>
    <w:rsid w:val="2F324D29"/>
    <w:rsid w:val="2F326AD7"/>
    <w:rsid w:val="2F367926"/>
    <w:rsid w:val="2F3F11F4"/>
    <w:rsid w:val="2F3F643D"/>
    <w:rsid w:val="2F560A17"/>
    <w:rsid w:val="2F594288"/>
    <w:rsid w:val="2F5E167A"/>
    <w:rsid w:val="2F642A08"/>
    <w:rsid w:val="2F652935"/>
    <w:rsid w:val="2F6D7B0F"/>
    <w:rsid w:val="2F7471EA"/>
    <w:rsid w:val="2F7D3007"/>
    <w:rsid w:val="2F7E3ACA"/>
    <w:rsid w:val="2F8135BA"/>
    <w:rsid w:val="2F863502"/>
    <w:rsid w:val="2F8A6913"/>
    <w:rsid w:val="2F8B61E7"/>
    <w:rsid w:val="2F954ADA"/>
    <w:rsid w:val="2F955AF6"/>
    <w:rsid w:val="2F990904"/>
    <w:rsid w:val="2FAC6889"/>
    <w:rsid w:val="2FAD694E"/>
    <w:rsid w:val="2FAD7DDA"/>
    <w:rsid w:val="2FAF126E"/>
    <w:rsid w:val="2FAF59F5"/>
    <w:rsid w:val="2FB76FDC"/>
    <w:rsid w:val="2FB971F8"/>
    <w:rsid w:val="2FBC2844"/>
    <w:rsid w:val="2FC736C3"/>
    <w:rsid w:val="2FC83556"/>
    <w:rsid w:val="2FCA4F61"/>
    <w:rsid w:val="2FCF2577"/>
    <w:rsid w:val="2FD02AD6"/>
    <w:rsid w:val="2FD14693"/>
    <w:rsid w:val="2FD55B5A"/>
    <w:rsid w:val="2FDB2DCE"/>
    <w:rsid w:val="2FDB75E9"/>
    <w:rsid w:val="2FDC44EE"/>
    <w:rsid w:val="2FDC74FE"/>
    <w:rsid w:val="2FE140FD"/>
    <w:rsid w:val="2FE34275"/>
    <w:rsid w:val="2FEC3129"/>
    <w:rsid w:val="2FF206FB"/>
    <w:rsid w:val="2FFB4CA4"/>
    <w:rsid w:val="2FFD0E93"/>
    <w:rsid w:val="300246FB"/>
    <w:rsid w:val="300264A9"/>
    <w:rsid w:val="30054147"/>
    <w:rsid w:val="30077F63"/>
    <w:rsid w:val="300C7328"/>
    <w:rsid w:val="300F5CEA"/>
    <w:rsid w:val="301B57BD"/>
    <w:rsid w:val="301D7787"/>
    <w:rsid w:val="301F4C22"/>
    <w:rsid w:val="30201025"/>
    <w:rsid w:val="30277371"/>
    <w:rsid w:val="302854B8"/>
    <w:rsid w:val="302B69D3"/>
    <w:rsid w:val="30354AD0"/>
    <w:rsid w:val="303555CC"/>
    <w:rsid w:val="303845C1"/>
    <w:rsid w:val="30406FD1"/>
    <w:rsid w:val="304545E8"/>
    <w:rsid w:val="304940D8"/>
    <w:rsid w:val="304A079B"/>
    <w:rsid w:val="304F36B8"/>
    <w:rsid w:val="30534F57"/>
    <w:rsid w:val="305B205D"/>
    <w:rsid w:val="30645601"/>
    <w:rsid w:val="306A59F8"/>
    <w:rsid w:val="306C6018"/>
    <w:rsid w:val="30724DD6"/>
    <w:rsid w:val="307432A1"/>
    <w:rsid w:val="307853BE"/>
    <w:rsid w:val="307F5D4C"/>
    <w:rsid w:val="308415B4"/>
    <w:rsid w:val="308C66BA"/>
    <w:rsid w:val="3091372F"/>
    <w:rsid w:val="30961104"/>
    <w:rsid w:val="30986B93"/>
    <w:rsid w:val="309A4933"/>
    <w:rsid w:val="309D2676"/>
    <w:rsid w:val="309F63EE"/>
    <w:rsid w:val="30A12E33"/>
    <w:rsid w:val="30A21A3A"/>
    <w:rsid w:val="30A7115A"/>
    <w:rsid w:val="30AB4D93"/>
    <w:rsid w:val="30B11567"/>
    <w:rsid w:val="30B26121"/>
    <w:rsid w:val="30B57283"/>
    <w:rsid w:val="30B579BF"/>
    <w:rsid w:val="30B65658"/>
    <w:rsid w:val="30BA6D84"/>
    <w:rsid w:val="30BB3295"/>
    <w:rsid w:val="30C9346B"/>
    <w:rsid w:val="30CB0F91"/>
    <w:rsid w:val="30D4653A"/>
    <w:rsid w:val="30D77936"/>
    <w:rsid w:val="30DB7D9F"/>
    <w:rsid w:val="30DD6F16"/>
    <w:rsid w:val="30E6401D"/>
    <w:rsid w:val="30E83A79"/>
    <w:rsid w:val="30EB33E1"/>
    <w:rsid w:val="30EE1123"/>
    <w:rsid w:val="30F32296"/>
    <w:rsid w:val="30F46739"/>
    <w:rsid w:val="30F73B34"/>
    <w:rsid w:val="30F878AC"/>
    <w:rsid w:val="31012C04"/>
    <w:rsid w:val="31046251"/>
    <w:rsid w:val="3106021B"/>
    <w:rsid w:val="31093867"/>
    <w:rsid w:val="31122E9F"/>
    <w:rsid w:val="3115220C"/>
    <w:rsid w:val="311D12C6"/>
    <w:rsid w:val="311F308B"/>
    <w:rsid w:val="311F5076"/>
    <w:rsid w:val="312143D9"/>
    <w:rsid w:val="3129746C"/>
    <w:rsid w:val="312B1A2F"/>
    <w:rsid w:val="31322DBE"/>
    <w:rsid w:val="31327262"/>
    <w:rsid w:val="313A6116"/>
    <w:rsid w:val="313C538A"/>
    <w:rsid w:val="313F54DB"/>
    <w:rsid w:val="314851F1"/>
    <w:rsid w:val="314A45AB"/>
    <w:rsid w:val="314D409C"/>
    <w:rsid w:val="314F5689"/>
    <w:rsid w:val="3153289F"/>
    <w:rsid w:val="31552F50"/>
    <w:rsid w:val="315A7776"/>
    <w:rsid w:val="315F16D9"/>
    <w:rsid w:val="316230CA"/>
    <w:rsid w:val="316A6035"/>
    <w:rsid w:val="316B4522"/>
    <w:rsid w:val="317038E6"/>
    <w:rsid w:val="31795DFB"/>
    <w:rsid w:val="317C6D20"/>
    <w:rsid w:val="317C7BCE"/>
    <w:rsid w:val="317D6336"/>
    <w:rsid w:val="317F3B29"/>
    <w:rsid w:val="3180757A"/>
    <w:rsid w:val="31854FEF"/>
    <w:rsid w:val="318555E4"/>
    <w:rsid w:val="318850D4"/>
    <w:rsid w:val="318B6972"/>
    <w:rsid w:val="318C4058"/>
    <w:rsid w:val="318E6273"/>
    <w:rsid w:val="31905D36"/>
    <w:rsid w:val="319121DA"/>
    <w:rsid w:val="31921AAF"/>
    <w:rsid w:val="31923445"/>
    <w:rsid w:val="3192385D"/>
    <w:rsid w:val="319424A5"/>
    <w:rsid w:val="31943A79"/>
    <w:rsid w:val="31A56340"/>
    <w:rsid w:val="31A57A34"/>
    <w:rsid w:val="31A677D0"/>
    <w:rsid w:val="31A812D2"/>
    <w:rsid w:val="31B03453"/>
    <w:rsid w:val="31B0789C"/>
    <w:rsid w:val="31B41A25"/>
    <w:rsid w:val="31B41DD4"/>
    <w:rsid w:val="31B61C41"/>
    <w:rsid w:val="31B71C9E"/>
    <w:rsid w:val="31B732C3"/>
    <w:rsid w:val="31BA2267"/>
    <w:rsid w:val="31BC58DA"/>
    <w:rsid w:val="31BD2FCF"/>
    <w:rsid w:val="31CD0D39"/>
    <w:rsid w:val="31CF1812"/>
    <w:rsid w:val="31D16A7B"/>
    <w:rsid w:val="31D52836"/>
    <w:rsid w:val="31D64091"/>
    <w:rsid w:val="31D75713"/>
    <w:rsid w:val="31DD1110"/>
    <w:rsid w:val="31E0281A"/>
    <w:rsid w:val="31E85B72"/>
    <w:rsid w:val="31EB11BF"/>
    <w:rsid w:val="31EF25F4"/>
    <w:rsid w:val="31F14BB1"/>
    <w:rsid w:val="31F255AF"/>
    <w:rsid w:val="31F77B64"/>
    <w:rsid w:val="31FB3AF8"/>
    <w:rsid w:val="320039CE"/>
    <w:rsid w:val="3204476C"/>
    <w:rsid w:val="320A5AE9"/>
    <w:rsid w:val="320B4BD2"/>
    <w:rsid w:val="320C7AB3"/>
    <w:rsid w:val="320F30FF"/>
    <w:rsid w:val="320F75A3"/>
    <w:rsid w:val="321150C9"/>
    <w:rsid w:val="32123AF0"/>
    <w:rsid w:val="321C75CA"/>
    <w:rsid w:val="321D1D06"/>
    <w:rsid w:val="321D3A6E"/>
    <w:rsid w:val="322070BA"/>
    <w:rsid w:val="322A6600"/>
    <w:rsid w:val="322F4F27"/>
    <w:rsid w:val="32342B66"/>
    <w:rsid w:val="32385168"/>
    <w:rsid w:val="323B0398"/>
    <w:rsid w:val="323E1390"/>
    <w:rsid w:val="323E39E4"/>
    <w:rsid w:val="323E5792"/>
    <w:rsid w:val="323F2A7F"/>
    <w:rsid w:val="3244289A"/>
    <w:rsid w:val="324E07EA"/>
    <w:rsid w:val="324E3047"/>
    <w:rsid w:val="325161E5"/>
    <w:rsid w:val="32523F5D"/>
    <w:rsid w:val="32566454"/>
    <w:rsid w:val="325B6344"/>
    <w:rsid w:val="32655415"/>
    <w:rsid w:val="326920C0"/>
    <w:rsid w:val="326B4842"/>
    <w:rsid w:val="326D1CBA"/>
    <w:rsid w:val="3271024F"/>
    <w:rsid w:val="32715B68"/>
    <w:rsid w:val="32751A7E"/>
    <w:rsid w:val="327A0EC0"/>
    <w:rsid w:val="327A6AF2"/>
    <w:rsid w:val="327D518A"/>
    <w:rsid w:val="32801871"/>
    <w:rsid w:val="328062C5"/>
    <w:rsid w:val="3281224F"/>
    <w:rsid w:val="32851613"/>
    <w:rsid w:val="328C4750"/>
    <w:rsid w:val="328E04C8"/>
    <w:rsid w:val="329027F6"/>
    <w:rsid w:val="32A93554"/>
    <w:rsid w:val="32B1215D"/>
    <w:rsid w:val="32B334A9"/>
    <w:rsid w:val="32BA306B"/>
    <w:rsid w:val="32CC40EF"/>
    <w:rsid w:val="32CE04BE"/>
    <w:rsid w:val="32CE3007"/>
    <w:rsid w:val="32D61E6F"/>
    <w:rsid w:val="32DB5E9A"/>
    <w:rsid w:val="32DD31FD"/>
    <w:rsid w:val="32E23B47"/>
    <w:rsid w:val="32E4458C"/>
    <w:rsid w:val="32E73282"/>
    <w:rsid w:val="32E91BA2"/>
    <w:rsid w:val="32F01183"/>
    <w:rsid w:val="32F04CDF"/>
    <w:rsid w:val="32F6606D"/>
    <w:rsid w:val="32FA0DA8"/>
    <w:rsid w:val="32FD22FD"/>
    <w:rsid w:val="330662B0"/>
    <w:rsid w:val="330B38C7"/>
    <w:rsid w:val="330F60CC"/>
    <w:rsid w:val="331309CD"/>
    <w:rsid w:val="33176749"/>
    <w:rsid w:val="33184235"/>
    <w:rsid w:val="331D184C"/>
    <w:rsid w:val="331D35FA"/>
    <w:rsid w:val="3320382D"/>
    <w:rsid w:val="33235DEF"/>
    <w:rsid w:val="3329614A"/>
    <w:rsid w:val="332B5D17"/>
    <w:rsid w:val="332C31B3"/>
    <w:rsid w:val="332E1CAB"/>
    <w:rsid w:val="33304B60"/>
    <w:rsid w:val="33310A59"/>
    <w:rsid w:val="33361796"/>
    <w:rsid w:val="33370B5F"/>
    <w:rsid w:val="333A024F"/>
    <w:rsid w:val="334A3B6B"/>
    <w:rsid w:val="334D2131"/>
    <w:rsid w:val="334D51BC"/>
    <w:rsid w:val="334F16BF"/>
    <w:rsid w:val="33550FE6"/>
    <w:rsid w:val="335F00B6"/>
    <w:rsid w:val="33604E27"/>
    <w:rsid w:val="3361798A"/>
    <w:rsid w:val="3362265F"/>
    <w:rsid w:val="336631F3"/>
    <w:rsid w:val="3369683F"/>
    <w:rsid w:val="336970F4"/>
    <w:rsid w:val="3371013C"/>
    <w:rsid w:val="337376BE"/>
    <w:rsid w:val="33746DD8"/>
    <w:rsid w:val="337C47C4"/>
    <w:rsid w:val="337F36C7"/>
    <w:rsid w:val="33884F17"/>
    <w:rsid w:val="338B0EAB"/>
    <w:rsid w:val="338C61BF"/>
    <w:rsid w:val="33923FE8"/>
    <w:rsid w:val="33927790"/>
    <w:rsid w:val="33962A97"/>
    <w:rsid w:val="339E0BDF"/>
    <w:rsid w:val="33A022D5"/>
    <w:rsid w:val="33A37FA3"/>
    <w:rsid w:val="33A855B9"/>
    <w:rsid w:val="33AB6E58"/>
    <w:rsid w:val="33AE06F6"/>
    <w:rsid w:val="33B27D57"/>
    <w:rsid w:val="33B421B0"/>
    <w:rsid w:val="33B7001B"/>
    <w:rsid w:val="33BC29FD"/>
    <w:rsid w:val="33BC2E13"/>
    <w:rsid w:val="33C0280E"/>
    <w:rsid w:val="33C63C91"/>
    <w:rsid w:val="33CF0D98"/>
    <w:rsid w:val="33D20888"/>
    <w:rsid w:val="33D24B7B"/>
    <w:rsid w:val="33E16D1D"/>
    <w:rsid w:val="33EF4F96"/>
    <w:rsid w:val="33F47E32"/>
    <w:rsid w:val="33FC5905"/>
    <w:rsid w:val="33FE56CA"/>
    <w:rsid w:val="34012F1B"/>
    <w:rsid w:val="340622E0"/>
    <w:rsid w:val="340E1496"/>
    <w:rsid w:val="340F0DC0"/>
    <w:rsid w:val="340F7177"/>
    <w:rsid w:val="340F73E6"/>
    <w:rsid w:val="341472E4"/>
    <w:rsid w:val="341D307C"/>
    <w:rsid w:val="342509B8"/>
    <w:rsid w:val="342750AF"/>
    <w:rsid w:val="342F7A89"/>
    <w:rsid w:val="34343FC0"/>
    <w:rsid w:val="34403A44"/>
    <w:rsid w:val="34404ADF"/>
    <w:rsid w:val="344057F2"/>
    <w:rsid w:val="344B50C9"/>
    <w:rsid w:val="344C4197"/>
    <w:rsid w:val="344D7F0F"/>
    <w:rsid w:val="345029CF"/>
    <w:rsid w:val="34510295"/>
    <w:rsid w:val="34533777"/>
    <w:rsid w:val="34550433"/>
    <w:rsid w:val="345614B9"/>
    <w:rsid w:val="34580D8D"/>
    <w:rsid w:val="34602FDD"/>
    <w:rsid w:val="346333F2"/>
    <w:rsid w:val="34645984"/>
    <w:rsid w:val="3467447F"/>
    <w:rsid w:val="346D5797"/>
    <w:rsid w:val="346F257B"/>
    <w:rsid w:val="346F4329"/>
    <w:rsid w:val="34703567"/>
    <w:rsid w:val="347656B7"/>
    <w:rsid w:val="34767465"/>
    <w:rsid w:val="347B2CCE"/>
    <w:rsid w:val="34802092"/>
    <w:rsid w:val="34806536"/>
    <w:rsid w:val="34822315"/>
    <w:rsid w:val="34873421"/>
    <w:rsid w:val="34897199"/>
    <w:rsid w:val="348A4CBF"/>
    <w:rsid w:val="348B300C"/>
    <w:rsid w:val="348C0A37"/>
    <w:rsid w:val="348E2A01"/>
    <w:rsid w:val="34906BAC"/>
    <w:rsid w:val="3491429F"/>
    <w:rsid w:val="34951ECC"/>
    <w:rsid w:val="3498562E"/>
    <w:rsid w:val="349A049B"/>
    <w:rsid w:val="349B2A17"/>
    <w:rsid w:val="34A46DF0"/>
    <w:rsid w:val="34AA2C62"/>
    <w:rsid w:val="34AA710F"/>
    <w:rsid w:val="34AE6BFF"/>
    <w:rsid w:val="34AF2977"/>
    <w:rsid w:val="34AF4725"/>
    <w:rsid w:val="34B75D0C"/>
    <w:rsid w:val="34C14383"/>
    <w:rsid w:val="34C93A39"/>
    <w:rsid w:val="34CA0ED9"/>
    <w:rsid w:val="34CB5A03"/>
    <w:rsid w:val="34D10434"/>
    <w:rsid w:val="34D126EC"/>
    <w:rsid w:val="34D33A74"/>
    <w:rsid w:val="34D616D8"/>
    <w:rsid w:val="34DF325D"/>
    <w:rsid w:val="34EE16F2"/>
    <w:rsid w:val="34EF03DE"/>
    <w:rsid w:val="34FB3318"/>
    <w:rsid w:val="350031D3"/>
    <w:rsid w:val="35004C19"/>
    <w:rsid w:val="350727B3"/>
    <w:rsid w:val="350C3202"/>
    <w:rsid w:val="351647A5"/>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56C57"/>
    <w:rsid w:val="356C2617"/>
    <w:rsid w:val="356E638F"/>
    <w:rsid w:val="357207F2"/>
    <w:rsid w:val="357240D1"/>
    <w:rsid w:val="357339A5"/>
    <w:rsid w:val="35760FBE"/>
    <w:rsid w:val="357A11D7"/>
    <w:rsid w:val="35825CA7"/>
    <w:rsid w:val="35833D31"/>
    <w:rsid w:val="358B6F41"/>
    <w:rsid w:val="35926521"/>
    <w:rsid w:val="35951755"/>
    <w:rsid w:val="359A7184"/>
    <w:rsid w:val="35A63D7A"/>
    <w:rsid w:val="35B50461"/>
    <w:rsid w:val="35B53FBD"/>
    <w:rsid w:val="35B76948"/>
    <w:rsid w:val="35B91D00"/>
    <w:rsid w:val="35BC76F1"/>
    <w:rsid w:val="35C773D6"/>
    <w:rsid w:val="35CB1A33"/>
    <w:rsid w:val="35CC2F71"/>
    <w:rsid w:val="35CF507F"/>
    <w:rsid w:val="35D27816"/>
    <w:rsid w:val="35D30F8E"/>
    <w:rsid w:val="35DB75A1"/>
    <w:rsid w:val="35E87EEF"/>
    <w:rsid w:val="35E93C67"/>
    <w:rsid w:val="35EA2894"/>
    <w:rsid w:val="35ED3757"/>
    <w:rsid w:val="35EF4C65"/>
    <w:rsid w:val="35F25212"/>
    <w:rsid w:val="35F9034E"/>
    <w:rsid w:val="35FA7C22"/>
    <w:rsid w:val="35FF59AC"/>
    <w:rsid w:val="36015455"/>
    <w:rsid w:val="360413AA"/>
    <w:rsid w:val="360867E3"/>
    <w:rsid w:val="360B2D37"/>
    <w:rsid w:val="36145188"/>
    <w:rsid w:val="36254EC5"/>
    <w:rsid w:val="36302B76"/>
    <w:rsid w:val="36315D3A"/>
    <w:rsid w:val="363825A6"/>
    <w:rsid w:val="36394BEF"/>
    <w:rsid w:val="363B0967"/>
    <w:rsid w:val="3644567E"/>
    <w:rsid w:val="36485C43"/>
    <w:rsid w:val="364A2958"/>
    <w:rsid w:val="364C4922"/>
    <w:rsid w:val="36506E04"/>
    <w:rsid w:val="36507921"/>
    <w:rsid w:val="36545E50"/>
    <w:rsid w:val="365A6A30"/>
    <w:rsid w:val="365E6403"/>
    <w:rsid w:val="36624145"/>
    <w:rsid w:val="36637533"/>
    <w:rsid w:val="366559E4"/>
    <w:rsid w:val="36681030"/>
    <w:rsid w:val="366E2AEA"/>
    <w:rsid w:val="36730100"/>
    <w:rsid w:val="367714D5"/>
    <w:rsid w:val="36794FEB"/>
    <w:rsid w:val="367D0F7F"/>
    <w:rsid w:val="3681393B"/>
    <w:rsid w:val="3681419A"/>
    <w:rsid w:val="368A3DF1"/>
    <w:rsid w:val="369260AD"/>
    <w:rsid w:val="36943E69"/>
    <w:rsid w:val="36944BFA"/>
    <w:rsid w:val="369D33CF"/>
    <w:rsid w:val="36AC3612"/>
    <w:rsid w:val="36B06652"/>
    <w:rsid w:val="36B424C7"/>
    <w:rsid w:val="36B6623F"/>
    <w:rsid w:val="36BD5820"/>
    <w:rsid w:val="36C13DB6"/>
    <w:rsid w:val="36C1747C"/>
    <w:rsid w:val="36C47130"/>
    <w:rsid w:val="36C62A73"/>
    <w:rsid w:val="36C7044C"/>
    <w:rsid w:val="36C73FA8"/>
    <w:rsid w:val="36CE0556"/>
    <w:rsid w:val="36D32BC4"/>
    <w:rsid w:val="36DA111C"/>
    <w:rsid w:val="36DB5CA6"/>
    <w:rsid w:val="36DF7544"/>
    <w:rsid w:val="36E034DA"/>
    <w:rsid w:val="36E27034"/>
    <w:rsid w:val="36EB4B1F"/>
    <w:rsid w:val="36EE608B"/>
    <w:rsid w:val="36EE7787"/>
    <w:rsid w:val="36F154C9"/>
    <w:rsid w:val="36F54638"/>
    <w:rsid w:val="36FB00F6"/>
    <w:rsid w:val="36FF4A43"/>
    <w:rsid w:val="3700570C"/>
    <w:rsid w:val="370E61FA"/>
    <w:rsid w:val="37123663"/>
    <w:rsid w:val="37125486"/>
    <w:rsid w:val="3715740A"/>
    <w:rsid w:val="37180CA8"/>
    <w:rsid w:val="3720190B"/>
    <w:rsid w:val="37213AEB"/>
    <w:rsid w:val="37215DAE"/>
    <w:rsid w:val="372907BF"/>
    <w:rsid w:val="372E3A42"/>
    <w:rsid w:val="37305FF2"/>
    <w:rsid w:val="37332FDB"/>
    <w:rsid w:val="37375D11"/>
    <w:rsid w:val="37376A33"/>
    <w:rsid w:val="3741225E"/>
    <w:rsid w:val="3746278E"/>
    <w:rsid w:val="3747231F"/>
    <w:rsid w:val="3747333B"/>
    <w:rsid w:val="375110FC"/>
    <w:rsid w:val="37533A8E"/>
    <w:rsid w:val="375907F6"/>
    <w:rsid w:val="375B6998"/>
    <w:rsid w:val="375D05C6"/>
    <w:rsid w:val="37647A49"/>
    <w:rsid w:val="37672E6A"/>
    <w:rsid w:val="376B0DD8"/>
    <w:rsid w:val="376D0FF4"/>
    <w:rsid w:val="37757EA8"/>
    <w:rsid w:val="377D4444"/>
    <w:rsid w:val="377D6D5D"/>
    <w:rsid w:val="3783605E"/>
    <w:rsid w:val="378B3228"/>
    <w:rsid w:val="378E6F99"/>
    <w:rsid w:val="379245B6"/>
    <w:rsid w:val="3793032E"/>
    <w:rsid w:val="379320DC"/>
    <w:rsid w:val="37971BCD"/>
    <w:rsid w:val="379C71E3"/>
    <w:rsid w:val="37B55BE7"/>
    <w:rsid w:val="37B564F7"/>
    <w:rsid w:val="37C1683F"/>
    <w:rsid w:val="37C910AC"/>
    <w:rsid w:val="37CB5D1A"/>
    <w:rsid w:val="37CD1A92"/>
    <w:rsid w:val="37CE4EB3"/>
    <w:rsid w:val="37D22C05"/>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B25BB"/>
    <w:rsid w:val="3817332C"/>
    <w:rsid w:val="381C0324"/>
    <w:rsid w:val="381C20D2"/>
    <w:rsid w:val="38203594"/>
    <w:rsid w:val="382221C6"/>
    <w:rsid w:val="382316B2"/>
    <w:rsid w:val="38297F3C"/>
    <w:rsid w:val="382A6ED2"/>
    <w:rsid w:val="38312021"/>
    <w:rsid w:val="383523CC"/>
    <w:rsid w:val="383733B0"/>
    <w:rsid w:val="3838582C"/>
    <w:rsid w:val="383B0AEE"/>
    <w:rsid w:val="38451629"/>
    <w:rsid w:val="384821C3"/>
    <w:rsid w:val="384B18C4"/>
    <w:rsid w:val="384D4981"/>
    <w:rsid w:val="38500D2A"/>
    <w:rsid w:val="38544223"/>
    <w:rsid w:val="38637D01"/>
    <w:rsid w:val="38675D29"/>
    <w:rsid w:val="38721F40"/>
    <w:rsid w:val="3872263A"/>
    <w:rsid w:val="3873074E"/>
    <w:rsid w:val="38765C86"/>
    <w:rsid w:val="387D5D44"/>
    <w:rsid w:val="388008B3"/>
    <w:rsid w:val="3886639C"/>
    <w:rsid w:val="38896D41"/>
    <w:rsid w:val="388A20A7"/>
    <w:rsid w:val="38944A2F"/>
    <w:rsid w:val="389731AD"/>
    <w:rsid w:val="389B4F29"/>
    <w:rsid w:val="389D6705"/>
    <w:rsid w:val="389E359A"/>
    <w:rsid w:val="38A01134"/>
    <w:rsid w:val="38A071A7"/>
    <w:rsid w:val="38A27F14"/>
    <w:rsid w:val="38A46EEC"/>
    <w:rsid w:val="38A816A5"/>
    <w:rsid w:val="38B465B8"/>
    <w:rsid w:val="38B467AE"/>
    <w:rsid w:val="38B8629F"/>
    <w:rsid w:val="38BB18EB"/>
    <w:rsid w:val="38BB5D8F"/>
    <w:rsid w:val="38BD38B5"/>
    <w:rsid w:val="38C033A5"/>
    <w:rsid w:val="38C641BE"/>
    <w:rsid w:val="38C70290"/>
    <w:rsid w:val="38C74734"/>
    <w:rsid w:val="38C8225A"/>
    <w:rsid w:val="38D004F4"/>
    <w:rsid w:val="38D11671"/>
    <w:rsid w:val="38D64977"/>
    <w:rsid w:val="38D7229A"/>
    <w:rsid w:val="38E17D08"/>
    <w:rsid w:val="38ED3A6E"/>
    <w:rsid w:val="38EE78A6"/>
    <w:rsid w:val="38F4784B"/>
    <w:rsid w:val="38F8669B"/>
    <w:rsid w:val="38FB357D"/>
    <w:rsid w:val="390037A2"/>
    <w:rsid w:val="3905525C"/>
    <w:rsid w:val="39055B44"/>
    <w:rsid w:val="39065067"/>
    <w:rsid w:val="390F0F9B"/>
    <w:rsid w:val="391240D5"/>
    <w:rsid w:val="391330CA"/>
    <w:rsid w:val="391A2595"/>
    <w:rsid w:val="391B05DB"/>
    <w:rsid w:val="391E5C96"/>
    <w:rsid w:val="391F00CC"/>
    <w:rsid w:val="391F2C90"/>
    <w:rsid w:val="39241B86"/>
    <w:rsid w:val="39264A36"/>
    <w:rsid w:val="393D1448"/>
    <w:rsid w:val="39462890"/>
    <w:rsid w:val="394C2E8B"/>
    <w:rsid w:val="394E5839"/>
    <w:rsid w:val="39537D75"/>
    <w:rsid w:val="395435A5"/>
    <w:rsid w:val="39621846"/>
    <w:rsid w:val="39661562"/>
    <w:rsid w:val="3969383E"/>
    <w:rsid w:val="396E2827"/>
    <w:rsid w:val="3971644D"/>
    <w:rsid w:val="397A3554"/>
    <w:rsid w:val="39815F30"/>
    <w:rsid w:val="39817A85"/>
    <w:rsid w:val="39873EC3"/>
    <w:rsid w:val="398E5251"/>
    <w:rsid w:val="398E6E86"/>
    <w:rsid w:val="39987E7E"/>
    <w:rsid w:val="399C227B"/>
    <w:rsid w:val="39A14F85"/>
    <w:rsid w:val="39A32CCC"/>
    <w:rsid w:val="39A71E6F"/>
    <w:rsid w:val="39A84565"/>
    <w:rsid w:val="39AC2F99"/>
    <w:rsid w:val="39B822CE"/>
    <w:rsid w:val="39BB5C8D"/>
    <w:rsid w:val="39C24EFB"/>
    <w:rsid w:val="39C40C73"/>
    <w:rsid w:val="39C4792F"/>
    <w:rsid w:val="39D95CDA"/>
    <w:rsid w:val="39D97287"/>
    <w:rsid w:val="39DD05F6"/>
    <w:rsid w:val="39DF6CCE"/>
    <w:rsid w:val="39E23AB6"/>
    <w:rsid w:val="39EA1700"/>
    <w:rsid w:val="39EB1601"/>
    <w:rsid w:val="39F2758E"/>
    <w:rsid w:val="39F3557E"/>
    <w:rsid w:val="39FD13E3"/>
    <w:rsid w:val="39FE2691"/>
    <w:rsid w:val="3A053765"/>
    <w:rsid w:val="3A0D261A"/>
    <w:rsid w:val="3A133241"/>
    <w:rsid w:val="3A15327D"/>
    <w:rsid w:val="3A155D7D"/>
    <w:rsid w:val="3A1F5EA9"/>
    <w:rsid w:val="3A201FBE"/>
    <w:rsid w:val="3A2160C5"/>
    <w:rsid w:val="3A217E73"/>
    <w:rsid w:val="3A255109"/>
    <w:rsid w:val="3A26309A"/>
    <w:rsid w:val="3A2762EE"/>
    <w:rsid w:val="3A2E0608"/>
    <w:rsid w:val="3A2F07E2"/>
    <w:rsid w:val="3A3144F9"/>
    <w:rsid w:val="3A325BDD"/>
    <w:rsid w:val="3A347BA7"/>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B3A28"/>
    <w:rsid w:val="3A89770A"/>
    <w:rsid w:val="3A8B353F"/>
    <w:rsid w:val="3A916E4E"/>
    <w:rsid w:val="3A9643BE"/>
    <w:rsid w:val="3A9C574C"/>
    <w:rsid w:val="3A9D6889"/>
    <w:rsid w:val="3AA20FB4"/>
    <w:rsid w:val="3AA661B2"/>
    <w:rsid w:val="3AAA60BB"/>
    <w:rsid w:val="3AAC1E33"/>
    <w:rsid w:val="3AAD713E"/>
    <w:rsid w:val="3AAE452D"/>
    <w:rsid w:val="3AB17449"/>
    <w:rsid w:val="3ABB0191"/>
    <w:rsid w:val="3ABC7B9C"/>
    <w:rsid w:val="3ABE1B66"/>
    <w:rsid w:val="3AC62888"/>
    <w:rsid w:val="3AC75726"/>
    <w:rsid w:val="3AC75E21"/>
    <w:rsid w:val="3AC76C6D"/>
    <w:rsid w:val="3AC96ADB"/>
    <w:rsid w:val="3ACD1B62"/>
    <w:rsid w:val="3AD01F1E"/>
    <w:rsid w:val="3AD46C94"/>
    <w:rsid w:val="3AD60179"/>
    <w:rsid w:val="3AD924FC"/>
    <w:rsid w:val="3ADD6169"/>
    <w:rsid w:val="3ADE5C5A"/>
    <w:rsid w:val="3ADF7F71"/>
    <w:rsid w:val="3AE157E3"/>
    <w:rsid w:val="3AE315CD"/>
    <w:rsid w:val="3AE3337B"/>
    <w:rsid w:val="3AE6618E"/>
    <w:rsid w:val="3AE8273F"/>
    <w:rsid w:val="3AE945BB"/>
    <w:rsid w:val="3AEC31E6"/>
    <w:rsid w:val="3AEE244B"/>
    <w:rsid w:val="3AFA1354"/>
    <w:rsid w:val="3AFC1070"/>
    <w:rsid w:val="3AFC4F2B"/>
    <w:rsid w:val="3B027CA5"/>
    <w:rsid w:val="3B0A0908"/>
    <w:rsid w:val="3B0A6B5A"/>
    <w:rsid w:val="3B184F27"/>
    <w:rsid w:val="3B1A3241"/>
    <w:rsid w:val="3B1B0D67"/>
    <w:rsid w:val="3B1D4ADF"/>
    <w:rsid w:val="3B1F2605"/>
    <w:rsid w:val="3B21462B"/>
    <w:rsid w:val="3B2220F5"/>
    <w:rsid w:val="3B31058A"/>
    <w:rsid w:val="3B331C0C"/>
    <w:rsid w:val="3B3977BC"/>
    <w:rsid w:val="3B3A5A9B"/>
    <w:rsid w:val="3B3A743F"/>
    <w:rsid w:val="3B3E6803"/>
    <w:rsid w:val="3B3F2CA7"/>
    <w:rsid w:val="3B3F6576"/>
    <w:rsid w:val="3B401561"/>
    <w:rsid w:val="3B415017"/>
    <w:rsid w:val="3B4B164C"/>
    <w:rsid w:val="3B4C1CE5"/>
    <w:rsid w:val="3B51577D"/>
    <w:rsid w:val="3B561D9F"/>
    <w:rsid w:val="3B583D69"/>
    <w:rsid w:val="3B6224F2"/>
    <w:rsid w:val="3B6B3A9C"/>
    <w:rsid w:val="3B6E70E8"/>
    <w:rsid w:val="3B762441"/>
    <w:rsid w:val="3B7A5A8D"/>
    <w:rsid w:val="3B7D557D"/>
    <w:rsid w:val="3B7E4EA7"/>
    <w:rsid w:val="3B8406BA"/>
    <w:rsid w:val="3B8B3833"/>
    <w:rsid w:val="3B8C756F"/>
    <w:rsid w:val="3B9649FE"/>
    <w:rsid w:val="3B964F65"/>
    <w:rsid w:val="3B9F3746"/>
    <w:rsid w:val="3BA823FC"/>
    <w:rsid w:val="3BB84807"/>
    <w:rsid w:val="3BBC611C"/>
    <w:rsid w:val="3BC02A4E"/>
    <w:rsid w:val="3BC211E2"/>
    <w:rsid w:val="3BC466D9"/>
    <w:rsid w:val="3BD43D6B"/>
    <w:rsid w:val="3BD80A06"/>
    <w:rsid w:val="3BE3642D"/>
    <w:rsid w:val="3BF205FF"/>
    <w:rsid w:val="3BF631F7"/>
    <w:rsid w:val="3BFA6BCE"/>
    <w:rsid w:val="3BFE0815"/>
    <w:rsid w:val="3BFE66BE"/>
    <w:rsid w:val="3C004876"/>
    <w:rsid w:val="3C0B19F1"/>
    <w:rsid w:val="3C131A3E"/>
    <w:rsid w:val="3C171A5F"/>
    <w:rsid w:val="3C175980"/>
    <w:rsid w:val="3C265C15"/>
    <w:rsid w:val="3C2B3D1A"/>
    <w:rsid w:val="3C2B6D87"/>
    <w:rsid w:val="3C2B7832"/>
    <w:rsid w:val="3C2C4053"/>
    <w:rsid w:val="3C326368"/>
    <w:rsid w:val="3C395948"/>
    <w:rsid w:val="3C434910"/>
    <w:rsid w:val="3C487939"/>
    <w:rsid w:val="3C4B1FA8"/>
    <w:rsid w:val="3C526A0A"/>
    <w:rsid w:val="3C574020"/>
    <w:rsid w:val="3C597D99"/>
    <w:rsid w:val="3C5A45CF"/>
    <w:rsid w:val="3C667DC0"/>
    <w:rsid w:val="3C68787F"/>
    <w:rsid w:val="3C6B187A"/>
    <w:rsid w:val="3C6B4DFB"/>
    <w:rsid w:val="3C6F3118"/>
    <w:rsid w:val="3C7544A7"/>
    <w:rsid w:val="3C7603D2"/>
    <w:rsid w:val="3C7655B7"/>
    <w:rsid w:val="3C7E77FF"/>
    <w:rsid w:val="3C81292C"/>
    <w:rsid w:val="3C88242C"/>
    <w:rsid w:val="3C8B6976"/>
    <w:rsid w:val="3C8C2BC5"/>
    <w:rsid w:val="3C8F1A03"/>
    <w:rsid w:val="3C8F2821"/>
    <w:rsid w:val="3C9012E0"/>
    <w:rsid w:val="3C90587B"/>
    <w:rsid w:val="3C9E57AB"/>
    <w:rsid w:val="3CA50080"/>
    <w:rsid w:val="3CAF79B9"/>
    <w:rsid w:val="3CB63D30"/>
    <w:rsid w:val="3CBB4F2E"/>
    <w:rsid w:val="3CBC3E83"/>
    <w:rsid w:val="3CC176EC"/>
    <w:rsid w:val="3CC86A29"/>
    <w:rsid w:val="3CC96E22"/>
    <w:rsid w:val="3CCA65A0"/>
    <w:rsid w:val="3CCB40C7"/>
    <w:rsid w:val="3CCE6982"/>
    <w:rsid w:val="3CCF005B"/>
    <w:rsid w:val="3CD967E3"/>
    <w:rsid w:val="3CE35102"/>
    <w:rsid w:val="3CE60F00"/>
    <w:rsid w:val="3CFD25D6"/>
    <w:rsid w:val="3D037D04"/>
    <w:rsid w:val="3D0715A3"/>
    <w:rsid w:val="3D145A6E"/>
    <w:rsid w:val="3D1D50D0"/>
    <w:rsid w:val="3D1E4B3E"/>
    <w:rsid w:val="3D2832C7"/>
    <w:rsid w:val="3D2A1DC6"/>
    <w:rsid w:val="3D2E2FD3"/>
    <w:rsid w:val="3D2E4D81"/>
    <w:rsid w:val="3D336B96"/>
    <w:rsid w:val="3D356E4E"/>
    <w:rsid w:val="3D363C36"/>
    <w:rsid w:val="3D394B53"/>
    <w:rsid w:val="3D3B749E"/>
    <w:rsid w:val="3D3E0322"/>
    <w:rsid w:val="3D3E0D3C"/>
    <w:rsid w:val="3D4124DC"/>
    <w:rsid w:val="3D42082D"/>
    <w:rsid w:val="3D483969"/>
    <w:rsid w:val="3D4A148F"/>
    <w:rsid w:val="3D4F2F4A"/>
    <w:rsid w:val="3D524314"/>
    <w:rsid w:val="3D5567B2"/>
    <w:rsid w:val="3D566086"/>
    <w:rsid w:val="3D5B369C"/>
    <w:rsid w:val="3D5D11C3"/>
    <w:rsid w:val="3D5D5666"/>
    <w:rsid w:val="3D6632CE"/>
    <w:rsid w:val="3D6658FE"/>
    <w:rsid w:val="3D6A386C"/>
    <w:rsid w:val="3D6B048D"/>
    <w:rsid w:val="3D6C7658"/>
    <w:rsid w:val="3D7A7FC6"/>
    <w:rsid w:val="3D7F382F"/>
    <w:rsid w:val="3D7F5D88"/>
    <w:rsid w:val="3D8250CD"/>
    <w:rsid w:val="3D864BBD"/>
    <w:rsid w:val="3D8B040A"/>
    <w:rsid w:val="3D8C5F4C"/>
    <w:rsid w:val="3D8E3A72"/>
    <w:rsid w:val="3D912D0A"/>
    <w:rsid w:val="3D954E00"/>
    <w:rsid w:val="3D9B65E3"/>
    <w:rsid w:val="3D9B78AE"/>
    <w:rsid w:val="3D9D1F07"/>
    <w:rsid w:val="3DA52B6A"/>
    <w:rsid w:val="3DA9265A"/>
    <w:rsid w:val="3DB35286"/>
    <w:rsid w:val="3DB8289D"/>
    <w:rsid w:val="3DBC05DF"/>
    <w:rsid w:val="3DBF40D8"/>
    <w:rsid w:val="3DC27020"/>
    <w:rsid w:val="3DCC6348"/>
    <w:rsid w:val="3DD31485"/>
    <w:rsid w:val="3DD441F1"/>
    <w:rsid w:val="3DD6576A"/>
    <w:rsid w:val="3DD86A9B"/>
    <w:rsid w:val="3DDF607B"/>
    <w:rsid w:val="3DE1178C"/>
    <w:rsid w:val="3DE15BC8"/>
    <w:rsid w:val="3DE37306"/>
    <w:rsid w:val="3DE47B36"/>
    <w:rsid w:val="3DE47EA4"/>
    <w:rsid w:val="3DE93370"/>
    <w:rsid w:val="3DEB0EC4"/>
    <w:rsid w:val="3DEB4836"/>
    <w:rsid w:val="3DF5589F"/>
    <w:rsid w:val="3DFA2EB5"/>
    <w:rsid w:val="3DFA4C63"/>
    <w:rsid w:val="3DFD1787"/>
    <w:rsid w:val="3E00245E"/>
    <w:rsid w:val="3E007463"/>
    <w:rsid w:val="3E02162D"/>
    <w:rsid w:val="3E062D99"/>
    <w:rsid w:val="3E067AAC"/>
    <w:rsid w:val="3E104F52"/>
    <w:rsid w:val="3E172AA3"/>
    <w:rsid w:val="3E1C457E"/>
    <w:rsid w:val="3E1F552D"/>
    <w:rsid w:val="3E237209"/>
    <w:rsid w:val="3E253286"/>
    <w:rsid w:val="3E29379B"/>
    <w:rsid w:val="3E315B3B"/>
    <w:rsid w:val="3E344619"/>
    <w:rsid w:val="3E3839DE"/>
    <w:rsid w:val="3E3D1BE4"/>
    <w:rsid w:val="3E3D2DA2"/>
    <w:rsid w:val="3E407E8E"/>
    <w:rsid w:val="3E4504D0"/>
    <w:rsid w:val="3E453D00"/>
    <w:rsid w:val="3E467EA9"/>
    <w:rsid w:val="3E4D4B98"/>
    <w:rsid w:val="3E5129D7"/>
    <w:rsid w:val="3E54320C"/>
    <w:rsid w:val="3E5A3954"/>
    <w:rsid w:val="3E5C147A"/>
    <w:rsid w:val="3E5D51F2"/>
    <w:rsid w:val="3E5E3444"/>
    <w:rsid w:val="3E5F234B"/>
    <w:rsid w:val="3E60767B"/>
    <w:rsid w:val="3E682515"/>
    <w:rsid w:val="3E6D088E"/>
    <w:rsid w:val="3E7210B7"/>
    <w:rsid w:val="3E722E0A"/>
    <w:rsid w:val="3E755785"/>
    <w:rsid w:val="3E7C747A"/>
    <w:rsid w:val="3E822812"/>
    <w:rsid w:val="3E8310FD"/>
    <w:rsid w:val="3E833300"/>
    <w:rsid w:val="3E845132"/>
    <w:rsid w:val="3E860BED"/>
    <w:rsid w:val="3E86299B"/>
    <w:rsid w:val="3E8804C1"/>
    <w:rsid w:val="3E8B6203"/>
    <w:rsid w:val="3E8D1F7B"/>
    <w:rsid w:val="3E906080"/>
    <w:rsid w:val="3E95498C"/>
    <w:rsid w:val="3E962118"/>
    <w:rsid w:val="3E9B1F29"/>
    <w:rsid w:val="3EA01CAF"/>
    <w:rsid w:val="3EA13331"/>
    <w:rsid w:val="3EA6303D"/>
    <w:rsid w:val="3EA80B63"/>
    <w:rsid w:val="3EA90D87"/>
    <w:rsid w:val="3EAD642E"/>
    <w:rsid w:val="3EB4020B"/>
    <w:rsid w:val="3EB47508"/>
    <w:rsid w:val="3EB56AD2"/>
    <w:rsid w:val="3EB56CCB"/>
    <w:rsid w:val="3EB56DDC"/>
    <w:rsid w:val="3EBC016B"/>
    <w:rsid w:val="3EBE3EE3"/>
    <w:rsid w:val="3EC800FA"/>
    <w:rsid w:val="3ECD05CA"/>
    <w:rsid w:val="3ECD2378"/>
    <w:rsid w:val="3ED41958"/>
    <w:rsid w:val="3EDA6843"/>
    <w:rsid w:val="3EEB139D"/>
    <w:rsid w:val="3EED43A1"/>
    <w:rsid w:val="3EF15791"/>
    <w:rsid w:val="3EF17834"/>
    <w:rsid w:val="3EF525B1"/>
    <w:rsid w:val="3EF67B21"/>
    <w:rsid w:val="3EF75647"/>
    <w:rsid w:val="3EF814B4"/>
    <w:rsid w:val="3EF9316D"/>
    <w:rsid w:val="3EFD65C9"/>
    <w:rsid w:val="3EFF5CC0"/>
    <w:rsid w:val="3F051C53"/>
    <w:rsid w:val="3F075CC4"/>
    <w:rsid w:val="3F0A7362"/>
    <w:rsid w:val="3F0F2990"/>
    <w:rsid w:val="3F134B07"/>
    <w:rsid w:val="3F161F71"/>
    <w:rsid w:val="3F171845"/>
    <w:rsid w:val="3F2006FA"/>
    <w:rsid w:val="3F20694C"/>
    <w:rsid w:val="3F214472"/>
    <w:rsid w:val="3F2261CC"/>
    <w:rsid w:val="3F2327AF"/>
    <w:rsid w:val="3F30369F"/>
    <w:rsid w:val="3F3146B5"/>
    <w:rsid w:val="3F3B7691"/>
    <w:rsid w:val="3F453306"/>
    <w:rsid w:val="3F4C7741"/>
    <w:rsid w:val="3F566811"/>
    <w:rsid w:val="3F586A17"/>
    <w:rsid w:val="3F5D7549"/>
    <w:rsid w:val="3F625FCB"/>
    <w:rsid w:val="3F634A8A"/>
    <w:rsid w:val="3F652489"/>
    <w:rsid w:val="3F676329"/>
    <w:rsid w:val="3F685210"/>
    <w:rsid w:val="3F6853D5"/>
    <w:rsid w:val="3F6902F3"/>
    <w:rsid w:val="3F697D51"/>
    <w:rsid w:val="3F6D3AA2"/>
    <w:rsid w:val="3F6F51DD"/>
    <w:rsid w:val="3F715648"/>
    <w:rsid w:val="3F797E42"/>
    <w:rsid w:val="3F7A098E"/>
    <w:rsid w:val="3F7D5B12"/>
    <w:rsid w:val="3F7D5B4C"/>
    <w:rsid w:val="3F87756C"/>
    <w:rsid w:val="3F89502B"/>
    <w:rsid w:val="3F8D11FB"/>
    <w:rsid w:val="3F93536F"/>
    <w:rsid w:val="3F991855"/>
    <w:rsid w:val="3F9D61EE"/>
    <w:rsid w:val="3FA078CF"/>
    <w:rsid w:val="3FA64167"/>
    <w:rsid w:val="3FA7706D"/>
    <w:rsid w:val="3FAF7BD7"/>
    <w:rsid w:val="3FB11EA9"/>
    <w:rsid w:val="3FB35A12"/>
    <w:rsid w:val="3FB613E3"/>
    <w:rsid w:val="3FBD419A"/>
    <w:rsid w:val="3FBF580A"/>
    <w:rsid w:val="3FC217B1"/>
    <w:rsid w:val="3FCB2D5B"/>
    <w:rsid w:val="3FCD55F4"/>
    <w:rsid w:val="3FCE45FA"/>
    <w:rsid w:val="3FD35E75"/>
    <w:rsid w:val="3FD575AC"/>
    <w:rsid w:val="3FD85478"/>
    <w:rsid w:val="3FDA2F9E"/>
    <w:rsid w:val="3FE94F8F"/>
    <w:rsid w:val="3FF343DB"/>
    <w:rsid w:val="3FF7787D"/>
    <w:rsid w:val="3FFC1167"/>
    <w:rsid w:val="3FFE3A45"/>
    <w:rsid w:val="400627B6"/>
    <w:rsid w:val="400718BA"/>
    <w:rsid w:val="40095632"/>
    <w:rsid w:val="400E0E9A"/>
    <w:rsid w:val="40104C12"/>
    <w:rsid w:val="4020600A"/>
    <w:rsid w:val="402204A1"/>
    <w:rsid w:val="402814CD"/>
    <w:rsid w:val="40296E63"/>
    <w:rsid w:val="402B37FA"/>
    <w:rsid w:val="402E6E46"/>
    <w:rsid w:val="40316936"/>
    <w:rsid w:val="403322C1"/>
    <w:rsid w:val="403A3A3D"/>
    <w:rsid w:val="403B7942"/>
    <w:rsid w:val="403D352D"/>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C4056"/>
    <w:rsid w:val="407D76F5"/>
    <w:rsid w:val="40806076"/>
    <w:rsid w:val="40864ED4"/>
    <w:rsid w:val="4092048B"/>
    <w:rsid w:val="409273D5"/>
    <w:rsid w:val="409A0980"/>
    <w:rsid w:val="409C64A6"/>
    <w:rsid w:val="409F15FF"/>
    <w:rsid w:val="409F22FD"/>
    <w:rsid w:val="40A315E2"/>
    <w:rsid w:val="40A33625"/>
    <w:rsid w:val="40AA0BC3"/>
    <w:rsid w:val="40AE417A"/>
    <w:rsid w:val="40B21825"/>
    <w:rsid w:val="40B51316"/>
    <w:rsid w:val="40B76E3C"/>
    <w:rsid w:val="40BB2DD0"/>
    <w:rsid w:val="40BC6B48"/>
    <w:rsid w:val="40BE01CA"/>
    <w:rsid w:val="40C17CBA"/>
    <w:rsid w:val="40C34FB5"/>
    <w:rsid w:val="40CB28E7"/>
    <w:rsid w:val="40DB6278"/>
    <w:rsid w:val="40DF6392"/>
    <w:rsid w:val="40E13EB9"/>
    <w:rsid w:val="40E25413"/>
    <w:rsid w:val="40E37C31"/>
    <w:rsid w:val="40E65973"/>
    <w:rsid w:val="40E85247"/>
    <w:rsid w:val="40E8793D"/>
    <w:rsid w:val="40EB11DB"/>
    <w:rsid w:val="40ED7946"/>
    <w:rsid w:val="4100242A"/>
    <w:rsid w:val="410127AD"/>
    <w:rsid w:val="41036525"/>
    <w:rsid w:val="41075C9E"/>
    <w:rsid w:val="410773D1"/>
    <w:rsid w:val="4110479E"/>
    <w:rsid w:val="41114A04"/>
    <w:rsid w:val="411676E2"/>
    <w:rsid w:val="41195D48"/>
    <w:rsid w:val="411A2C84"/>
    <w:rsid w:val="411B4114"/>
    <w:rsid w:val="411E6EBB"/>
    <w:rsid w:val="412344D1"/>
    <w:rsid w:val="412546ED"/>
    <w:rsid w:val="41261227"/>
    <w:rsid w:val="41285F8B"/>
    <w:rsid w:val="41297E4A"/>
    <w:rsid w:val="412C782A"/>
    <w:rsid w:val="412D5350"/>
    <w:rsid w:val="412D6CD6"/>
    <w:rsid w:val="41320BB8"/>
    <w:rsid w:val="413761CE"/>
    <w:rsid w:val="41384420"/>
    <w:rsid w:val="413B4DE9"/>
    <w:rsid w:val="414601C0"/>
    <w:rsid w:val="41467F5B"/>
    <w:rsid w:val="41517290"/>
    <w:rsid w:val="4157154C"/>
    <w:rsid w:val="41614FF9"/>
    <w:rsid w:val="416A064C"/>
    <w:rsid w:val="416C231C"/>
    <w:rsid w:val="41766A58"/>
    <w:rsid w:val="417C4D58"/>
    <w:rsid w:val="417D0085"/>
    <w:rsid w:val="41820B85"/>
    <w:rsid w:val="41831414"/>
    <w:rsid w:val="41852AAA"/>
    <w:rsid w:val="41853106"/>
    <w:rsid w:val="41866FFD"/>
    <w:rsid w:val="418A09F4"/>
    <w:rsid w:val="41943621"/>
    <w:rsid w:val="4198167F"/>
    <w:rsid w:val="4199221E"/>
    <w:rsid w:val="41A76EB0"/>
    <w:rsid w:val="41AF3FB7"/>
    <w:rsid w:val="41B14658"/>
    <w:rsid w:val="41B63641"/>
    <w:rsid w:val="41B810BD"/>
    <w:rsid w:val="41C05B83"/>
    <w:rsid w:val="41C061C4"/>
    <w:rsid w:val="41C51A2C"/>
    <w:rsid w:val="41CD7BCF"/>
    <w:rsid w:val="41D028AB"/>
    <w:rsid w:val="41D46317"/>
    <w:rsid w:val="41E06866"/>
    <w:rsid w:val="41EA0655"/>
    <w:rsid w:val="41F06AA9"/>
    <w:rsid w:val="41F320F5"/>
    <w:rsid w:val="41F53BA3"/>
    <w:rsid w:val="41F9028E"/>
    <w:rsid w:val="41FD11C6"/>
    <w:rsid w:val="420254C2"/>
    <w:rsid w:val="420C1409"/>
    <w:rsid w:val="420D6715"/>
    <w:rsid w:val="42117F79"/>
    <w:rsid w:val="421A1D78"/>
    <w:rsid w:val="421A3B26"/>
    <w:rsid w:val="421A58D4"/>
    <w:rsid w:val="421B789E"/>
    <w:rsid w:val="421D2E5F"/>
    <w:rsid w:val="421D7172"/>
    <w:rsid w:val="422420A8"/>
    <w:rsid w:val="42266F3E"/>
    <w:rsid w:val="42294DF3"/>
    <w:rsid w:val="42295B17"/>
    <w:rsid w:val="422E137F"/>
    <w:rsid w:val="423275E6"/>
    <w:rsid w:val="42392B60"/>
    <w:rsid w:val="423D7123"/>
    <w:rsid w:val="42415557"/>
    <w:rsid w:val="4242307D"/>
    <w:rsid w:val="424566C9"/>
    <w:rsid w:val="42470693"/>
    <w:rsid w:val="424B55BC"/>
    <w:rsid w:val="4251142E"/>
    <w:rsid w:val="4251506E"/>
    <w:rsid w:val="42562684"/>
    <w:rsid w:val="425761C4"/>
    <w:rsid w:val="42666D6B"/>
    <w:rsid w:val="426923B8"/>
    <w:rsid w:val="426B45E0"/>
    <w:rsid w:val="42736FB4"/>
    <w:rsid w:val="4278084D"/>
    <w:rsid w:val="427C5B2B"/>
    <w:rsid w:val="42823479"/>
    <w:rsid w:val="42862F6A"/>
    <w:rsid w:val="428E1E1E"/>
    <w:rsid w:val="428E62C2"/>
    <w:rsid w:val="42957651"/>
    <w:rsid w:val="42976F25"/>
    <w:rsid w:val="42982C9D"/>
    <w:rsid w:val="429C18FA"/>
    <w:rsid w:val="42A42166"/>
    <w:rsid w:val="42A653BA"/>
    <w:rsid w:val="42A72EE0"/>
    <w:rsid w:val="42AC2E27"/>
    <w:rsid w:val="42B37AD7"/>
    <w:rsid w:val="42B5064D"/>
    <w:rsid w:val="42B64874"/>
    <w:rsid w:val="42B813B2"/>
    <w:rsid w:val="42B85068"/>
    <w:rsid w:val="42B9333F"/>
    <w:rsid w:val="42C85330"/>
    <w:rsid w:val="42CA554C"/>
    <w:rsid w:val="42CD3FD6"/>
    <w:rsid w:val="42D80B91"/>
    <w:rsid w:val="42ED4D97"/>
    <w:rsid w:val="42F64163"/>
    <w:rsid w:val="42FE5101"/>
    <w:rsid w:val="430B346F"/>
    <w:rsid w:val="430D5439"/>
    <w:rsid w:val="43146E0D"/>
    <w:rsid w:val="43192030"/>
    <w:rsid w:val="43201866"/>
    <w:rsid w:val="43236A0A"/>
    <w:rsid w:val="43240CD6"/>
    <w:rsid w:val="432602A9"/>
    <w:rsid w:val="43282273"/>
    <w:rsid w:val="43291B47"/>
    <w:rsid w:val="432D7889"/>
    <w:rsid w:val="43323F32"/>
    <w:rsid w:val="43324AC2"/>
    <w:rsid w:val="433607FF"/>
    <w:rsid w:val="43372938"/>
    <w:rsid w:val="43394480"/>
    <w:rsid w:val="4342435E"/>
    <w:rsid w:val="434626F9"/>
    <w:rsid w:val="434B5F61"/>
    <w:rsid w:val="43577BBB"/>
    <w:rsid w:val="43594DC6"/>
    <w:rsid w:val="435C3CCA"/>
    <w:rsid w:val="435E1315"/>
    <w:rsid w:val="435E2926"/>
    <w:rsid w:val="435F53D1"/>
    <w:rsid w:val="4365224C"/>
    <w:rsid w:val="43655F7F"/>
    <w:rsid w:val="436F2E39"/>
    <w:rsid w:val="43755AEC"/>
    <w:rsid w:val="43760B92"/>
    <w:rsid w:val="43772091"/>
    <w:rsid w:val="43786DC8"/>
    <w:rsid w:val="437B6846"/>
    <w:rsid w:val="43841508"/>
    <w:rsid w:val="43846407"/>
    <w:rsid w:val="4387343D"/>
    <w:rsid w:val="43890033"/>
    <w:rsid w:val="439134E8"/>
    <w:rsid w:val="439155EC"/>
    <w:rsid w:val="439D4A0F"/>
    <w:rsid w:val="439D67BD"/>
    <w:rsid w:val="439E20E8"/>
    <w:rsid w:val="43A35D9D"/>
    <w:rsid w:val="43AE4076"/>
    <w:rsid w:val="43B27D8E"/>
    <w:rsid w:val="43B462D0"/>
    <w:rsid w:val="43BB4E95"/>
    <w:rsid w:val="43BD1491"/>
    <w:rsid w:val="43BD46FF"/>
    <w:rsid w:val="43C51E84"/>
    <w:rsid w:val="43C55D14"/>
    <w:rsid w:val="43CC52F4"/>
    <w:rsid w:val="43CE1D1D"/>
    <w:rsid w:val="43D03D38"/>
    <w:rsid w:val="43D44D4F"/>
    <w:rsid w:val="43D877F5"/>
    <w:rsid w:val="43DB72E5"/>
    <w:rsid w:val="43E3619A"/>
    <w:rsid w:val="43EF2D90"/>
    <w:rsid w:val="43F403A7"/>
    <w:rsid w:val="43FE7FBC"/>
    <w:rsid w:val="44061E3D"/>
    <w:rsid w:val="44067D66"/>
    <w:rsid w:val="440A3726"/>
    <w:rsid w:val="440C3A50"/>
    <w:rsid w:val="440C56F0"/>
    <w:rsid w:val="440F0F41"/>
    <w:rsid w:val="44103BAB"/>
    <w:rsid w:val="44184095"/>
    <w:rsid w:val="441B1DD7"/>
    <w:rsid w:val="441B705A"/>
    <w:rsid w:val="441E71D2"/>
    <w:rsid w:val="441F0B81"/>
    <w:rsid w:val="441F3676"/>
    <w:rsid w:val="44226CC2"/>
    <w:rsid w:val="442C7B41"/>
    <w:rsid w:val="44315157"/>
    <w:rsid w:val="4432576B"/>
    <w:rsid w:val="443F5AC6"/>
    <w:rsid w:val="4444102C"/>
    <w:rsid w:val="4444115E"/>
    <w:rsid w:val="44450C02"/>
    <w:rsid w:val="444E2B02"/>
    <w:rsid w:val="44501A81"/>
    <w:rsid w:val="44580BC7"/>
    <w:rsid w:val="445C6678"/>
    <w:rsid w:val="445D7CFA"/>
    <w:rsid w:val="44627A06"/>
    <w:rsid w:val="446B61D6"/>
    <w:rsid w:val="447859E5"/>
    <w:rsid w:val="447B2A49"/>
    <w:rsid w:val="44890DCE"/>
    <w:rsid w:val="448D1F05"/>
    <w:rsid w:val="44915BF6"/>
    <w:rsid w:val="4493196E"/>
    <w:rsid w:val="449C1B0E"/>
    <w:rsid w:val="449D5D1E"/>
    <w:rsid w:val="44A07623"/>
    <w:rsid w:val="44A65B45"/>
    <w:rsid w:val="44A76A19"/>
    <w:rsid w:val="44A91191"/>
    <w:rsid w:val="44A973E3"/>
    <w:rsid w:val="44AA33B7"/>
    <w:rsid w:val="44BB053D"/>
    <w:rsid w:val="44BC7116"/>
    <w:rsid w:val="44BD7BE5"/>
    <w:rsid w:val="44C9538F"/>
    <w:rsid w:val="44CB55AC"/>
    <w:rsid w:val="44CE29A6"/>
    <w:rsid w:val="44D04970"/>
    <w:rsid w:val="44D0671E"/>
    <w:rsid w:val="44D74953"/>
    <w:rsid w:val="44DC1E56"/>
    <w:rsid w:val="44DC505E"/>
    <w:rsid w:val="44F3065E"/>
    <w:rsid w:val="44F468B0"/>
    <w:rsid w:val="44F54C4A"/>
    <w:rsid w:val="44F63392"/>
    <w:rsid w:val="44F87A23"/>
    <w:rsid w:val="44FB75C1"/>
    <w:rsid w:val="44FF34A7"/>
    <w:rsid w:val="44FF4F56"/>
    <w:rsid w:val="450D34CE"/>
    <w:rsid w:val="450E47FA"/>
    <w:rsid w:val="45101210"/>
    <w:rsid w:val="451333CC"/>
    <w:rsid w:val="45163F52"/>
    <w:rsid w:val="451906CE"/>
    <w:rsid w:val="451B0980"/>
    <w:rsid w:val="451D14A3"/>
    <w:rsid w:val="451E56DB"/>
    <w:rsid w:val="45237196"/>
    <w:rsid w:val="45246A6A"/>
    <w:rsid w:val="4528655A"/>
    <w:rsid w:val="45294080"/>
    <w:rsid w:val="452B7DF8"/>
    <w:rsid w:val="45350C77"/>
    <w:rsid w:val="453915B0"/>
    <w:rsid w:val="453B44DF"/>
    <w:rsid w:val="454021E6"/>
    <w:rsid w:val="45440EBA"/>
    <w:rsid w:val="45442C68"/>
    <w:rsid w:val="454964D0"/>
    <w:rsid w:val="454A4722"/>
    <w:rsid w:val="45525299"/>
    <w:rsid w:val="455C6204"/>
    <w:rsid w:val="455E01CE"/>
    <w:rsid w:val="45633A36"/>
    <w:rsid w:val="456B28EB"/>
    <w:rsid w:val="456F23DB"/>
    <w:rsid w:val="456F4189"/>
    <w:rsid w:val="45725A27"/>
    <w:rsid w:val="45777C5A"/>
    <w:rsid w:val="457C68A6"/>
    <w:rsid w:val="458361FD"/>
    <w:rsid w:val="4584768D"/>
    <w:rsid w:val="458662BF"/>
    <w:rsid w:val="458704BD"/>
    <w:rsid w:val="45886FF9"/>
    <w:rsid w:val="458E66C0"/>
    <w:rsid w:val="45965BB9"/>
    <w:rsid w:val="459C17A1"/>
    <w:rsid w:val="45A16D05"/>
    <w:rsid w:val="45B2270B"/>
    <w:rsid w:val="45C1250B"/>
    <w:rsid w:val="45C30031"/>
    <w:rsid w:val="45C656E1"/>
    <w:rsid w:val="45D65FB6"/>
    <w:rsid w:val="45E10CC7"/>
    <w:rsid w:val="45EA1A61"/>
    <w:rsid w:val="45EF7078"/>
    <w:rsid w:val="45F3021D"/>
    <w:rsid w:val="45F42696"/>
    <w:rsid w:val="45FB3C6E"/>
    <w:rsid w:val="45FF375F"/>
    <w:rsid w:val="46073D4D"/>
    <w:rsid w:val="460D5750"/>
    <w:rsid w:val="4618414C"/>
    <w:rsid w:val="46184820"/>
    <w:rsid w:val="461B3AA5"/>
    <w:rsid w:val="461E4E80"/>
    <w:rsid w:val="46236D21"/>
    <w:rsid w:val="462A00B0"/>
    <w:rsid w:val="462C02CC"/>
    <w:rsid w:val="462F3918"/>
    <w:rsid w:val="46345C9D"/>
    <w:rsid w:val="46346DE5"/>
    <w:rsid w:val="463507E4"/>
    <w:rsid w:val="46384C85"/>
    <w:rsid w:val="463B22BD"/>
    <w:rsid w:val="46435FB5"/>
    <w:rsid w:val="4644057C"/>
    <w:rsid w:val="464D181F"/>
    <w:rsid w:val="465670F7"/>
    <w:rsid w:val="465F5FAB"/>
    <w:rsid w:val="46604E00"/>
    <w:rsid w:val="466E4989"/>
    <w:rsid w:val="46733805"/>
    <w:rsid w:val="467C4DAF"/>
    <w:rsid w:val="4682613E"/>
    <w:rsid w:val="46843C64"/>
    <w:rsid w:val="468477C0"/>
    <w:rsid w:val="468A6DA0"/>
    <w:rsid w:val="468B0771"/>
    <w:rsid w:val="4690085B"/>
    <w:rsid w:val="4691012F"/>
    <w:rsid w:val="46933EA7"/>
    <w:rsid w:val="469A0A3E"/>
    <w:rsid w:val="469B0FAE"/>
    <w:rsid w:val="469B1418"/>
    <w:rsid w:val="469F0A9E"/>
    <w:rsid w:val="46A00372"/>
    <w:rsid w:val="46A247E0"/>
    <w:rsid w:val="46AF74C3"/>
    <w:rsid w:val="46B02544"/>
    <w:rsid w:val="46B1257F"/>
    <w:rsid w:val="46B33089"/>
    <w:rsid w:val="46B5206F"/>
    <w:rsid w:val="46B86C48"/>
    <w:rsid w:val="46BF4C9C"/>
    <w:rsid w:val="46C027C2"/>
    <w:rsid w:val="46C202E8"/>
    <w:rsid w:val="46C30EE8"/>
    <w:rsid w:val="46CB1893"/>
    <w:rsid w:val="46CC73B9"/>
    <w:rsid w:val="46CE58C7"/>
    <w:rsid w:val="46D40026"/>
    <w:rsid w:val="46DD3A32"/>
    <w:rsid w:val="46E44703"/>
    <w:rsid w:val="46E6047B"/>
    <w:rsid w:val="46E97F6B"/>
    <w:rsid w:val="46EA4B04"/>
    <w:rsid w:val="46F25071"/>
    <w:rsid w:val="4701087D"/>
    <w:rsid w:val="47024B89"/>
    <w:rsid w:val="4703102D"/>
    <w:rsid w:val="470A08FD"/>
    <w:rsid w:val="4712301E"/>
    <w:rsid w:val="471274C2"/>
    <w:rsid w:val="471660D6"/>
    <w:rsid w:val="47180995"/>
    <w:rsid w:val="471E558B"/>
    <w:rsid w:val="472C45CF"/>
    <w:rsid w:val="47305B9A"/>
    <w:rsid w:val="473067B8"/>
    <w:rsid w:val="47375A38"/>
    <w:rsid w:val="473D5848"/>
    <w:rsid w:val="474072B6"/>
    <w:rsid w:val="47517D3A"/>
    <w:rsid w:val="475A49C5"/>
    <w:rsid w:val="475C698F"/>
    <w:rsid w:val="475F15EE"/>
    <w:rsid w:val="475F73B4"/>
    <w:rsid w:val="47606109"/>
    <w:rsid w:val="47613D46"/>
    <w:rsid w:val="4765510B"/>
    <w:rsid w:val="47677934"/>
    <w:rsid w:val="476A4B03"/>
    <w:rsid w:val="4770221E"/>
    <w:rsid w:val="4771702F"/>
    <w:rsid w:val="47727F60"/>
    <w:rsid w:val="47743CD8"/>
    <w:rsid w:val="477C0DDF"/>
    <w:rsid w:val="477C52AB"/>
    <w:rsid w:val="4783216D"/>
    <w:rsid w:val="47886D63"/>
    <w:rsid w:val="47954D42"/>
    <w:rsid w:val="479779C7"/>
    <w:rsid w:val="479A2CE1"/>
    <w:rsid w:val="479D2798"/>
    <w:rsid w:val="47A3396B"/>
    <w:rsid w:val="47A85505"/>
    <w:rsid w:val="47AA383E"/>
    <w:rsid w:val="47AF4D11"/>
    <w:rsid w:val="47B269EA"/>
    <w:rsid w:val="47BB36B5"/>
    <w:rsid w:val="47C167F2"/>
    <w:rsid w:val="47C3256A"/>
    <w:rsid w:val="47C6205A"/>
    <w:rsid w:val="47C63E08"/>
    <w:rsid w:val="47CA38F8"/>
    <w:rsid w:val="47CC58C3"/>
    <w:rsid w:val="47CF53B3"/>
    <w:rsid w:val="47D01E78"/>
    <w:rsid w:val="47D97FDF"/>
    <w:rsid w:val="47E210AF"/>
    <w:rsid w:val="47E70377"/>
    <w:rsid w:val="47EC1AC1"/>
    <w:rsid w:val="47F14892"/>
    <w:rsid w:val="47F46889"/>
    <w:rsid w:val="47F57C70"/>
    <w:rsid w:val="47FA3CDB"/>
    <w:rsid w:val="480337B7"/>
    <w:rsid w:val="480706A9"/>
    <w:rsid w:val="480D1A37"/>
    <w:rsid w:val="481334F1"/>
    <w:rsid w:val="4823125B"/>
    <w:rsid w:val="482555B1"/>
    <w:rsid w:val="482A083B"/>
    <w:rsid w:val="483671E0"/>
    <w:rsid w:val="48382F58"/>
    <w:rsid w:val="48384D06"/>
    <w:rsid w:val="483B2A48"/>
    <w:rsid w:val="483B65A4"/>
    <w:rsid w:val="483E5F65"/>
    <w:rsid w:val="483F379A"/>
    <w:rsid w:val="483F4329"/>
    <w:rsid w:val="48455675"/>
    <w:rsid w:val="484F02A2"/>
    <w:rsid w:val="48507E7F"/>
    <w:rsid w:val="48580F04"/>
    <w:rsid w:val="48583250"/>
    <w:rsid w:val="485E2423"/>
    <w:rsid w:val="4860039E"/>
    <w:rsid w:val="48627FD5"/>
    <w:rsid w:val="48691363"/>
    <w:rsid w:val="486A0C38"/>
    <w:rsid w:val="486A50DB"/>
    <w:rsid w:val="486D2E7C"/>
    <w:rsid w:val="4870256A"/>
    <w:rsid w:val="48733CAB"/>
    <w:rsid w:val="48743864"/>
    <w:rsid w:val="487E1A6D"/>
    <w:rsid w:val="4883037A"/>
    <w:rsid w:val="4885562E"/>
    <w:rsid w:val="48861F15"/>
    <w:rsid w:val="488B752C"/>
    <w:rsid w:val="488E2B78"/>
    <w:rsid w:val="48931F3C"/>
    <w:rsid w:val="489839F7"/>
    <w:rsid w:val="489D100D"/>
    <w:rsid w:val="489D2DBB"/>
    <w:rsid w:val="48A06010"/>
    <w:rsid w:val="48A64F46"/>
    <w:rsid w:val="48A8612B"/>
    <w:rsid w:val="48B16866"/>
    <w:rsid w:val="48B2033C"/>
    <w:rsid w:val="48B331F5"/>
    <w:rsid w:val="48B87BF5"/>
    <w:rsid w:val="48BA396D"/>
    <w:rsid w:val="48BD520B"/>
    <w:rsid w:val="48C51174"/>
    <w:rsid w:val="48CA75D0"/>
    <w:rsid w:val="48CF5E2F"/>
    <w:rsid w:val="48D16F09"/>
    <w:rsid w:val="48D326A2"/>
    <w:rsid w:val="48D77AA7"/>
    <w:rsid w:val="48D80297"/>
    <w:rsid w:val="48F30C2D"/>
    <w:rsid w:val="48FD7CFE"/>
    <w:rsid w:val="49025F37"/>
    <w:rsid w:val="490270C2"/>
    <w:rsid w:val="49050213"/>
    <w:rsid w:val="49066BB2"/>
    <w:rsid w:val="490A3A59"/>
    <w:rsid w:val="490B241B"/>
    <w:rsid w:val="490B5F77"/>
    <w:rsid w:val="4910358D"/>
    <w:rsid w:val="491174E8"/>
    <w:rsid w:val="49137521"/>
    <w:rsid w:val="4916491B"/>
    <w:rsid w:val="49261E5D"/>
    <w:rsid w:val="492D05E3"/>
    <w:rsid w:val="492E6F80"/>
    <w:rsid w:val="4930309E"/>
    <w:rsid w:val="49310A7D"/>
    <w:rsid w:val="493A2D00"/>
    <w:rsid w:val="493A4AAE"/>
    <w:rsid w:val="49423962"/>
    <w:rsid w:val="494816FA"/>
    <w:rsid w:val="494F67AB"/>
    <w:rsid w:val="49513989"/>
    <w:rsid w:val="495711BC"/>
    <w:rsid w:val="495777FB"/>
    <w:rsid w:val="496008C3"/>
    <w:rsid w:val="49613F0A"/>
    <w:rsid w:val="49661852"/>
    <w:rsid w:val="49663AF5"/>
    <w:rsid w:val="496833C9"/>
    <w:rsid w:val="4970701E"/>
    <w:rsid w:val="49830203"/>
    <w:rsid w:val="49872275"/>
    <w:rsid w:val="49885819"/>
    <w:rsid w:val="49900B72"/>
    <w:rsid w:val="49973CAE"/>
    <w:rsid w:val="49996E4F"/>
    <w:rsid w:val="499E3AD1"/>
    <w:rsid w:val="49A26661"/>
    <w:rsid w:val="49A5593B"/>
    <w:rsid w:val="49AB59AC"/>
    <w:rsid w:val="49B06C48"/>
    <w:rsid w:val="49B22896"/>
    <w:rsid w:val="49B37A2C"/>
    <w:rsid w:val="49B44860"/>
    <w:rsid w:val="49B900C8"/>
    <w:rsid w:val="49C2133F"/>
    <w:rsid w:val="49C6610C"/>
    <w:rsid w:val="49C66341"/>
    <w:rsid w:val="49D942C7"/>
    <w:rsid w:val="49E8275C"/>
    <w:rsid w:val="49E8450A"/>
    <w:rsid w:val="49E84536"/>
    <w:rsid w:val="49EA64D4"/>
    <w:rsid w:val="49ED7DE9"/>
    <w:rsid w:val="49EF5898"/>
    <w:rsid w:val="49F11610"/>
    <w:rsid w:val="49F17862"/>
    <w:rsid w:val="49F22003"/>
    <w:rsid w:val="49F32D8A"/>
    <w:rsid w:val="49F34AEE"/>
    <w:rsid w:val="49F53D7A"/>
    <w:rsid w:val="49F8402B"/>
    <w:rsid w:val="49FB248F"/>
    <w:rsid w:val="49FB65F8"/>
    <w:rsid w:val="49FD6207"/>
    <w:rsid w:val="4A08695A"/>
    <w:rsid w:val="4A0C644A"/>
    <w:rsid w:val="4A1022B2"/>
    <w:rsid w:val="4A11580F"/>
    <w:rsid w:val="4A20307B"/>
    <w:rsid w:val="4A204D3C"/>
    <w:rsid w:val="4A225C6E"/>
    <w:rsid w:val="4A2A68D0"/>
    <w:rsid w:val="4A2D016F"/>
    <w:rsid w:val="4A2F023C"/>
    <w:rsid w:val="4A3D2AA8"/>
    <w:rsid w:val="4A404346"/>
    <w:rsid w:val="4A432C32"/>
    <w:rsid w:val="4A484FD6"/>
    <w:rsid w:val="4A4A6F73"/>
    <w:rsid w:val="4A4C6847"/>
    <w:rsid w:val="4A4F6337"/>
    <w:rsid w:val="4A5B0308"/>
    <w:rsid w:val="4A5B2F2E"/>
    <w:rsid w:val="4A617E1F"/>
    <w:rsid w:val="4A631DE2"/>
    <w:rsid w:val="4A653DAC"/>
    <w:rsid w:val="4A7162AD"/>
    <w:rsid w:val="4A727F0E"/>
    <w:rsid w:val="4A7A7858"/>
    <w:rsid w:val="4A7B35D0"/>
    <w:rsid w:val="4A82670C"/>
    <w:rsid w:val="4A897A9B"/>
    <w:rsid w:val="4A9326C8"/>
    <w:rsid w:val="4A946440"/>
    <w:rsid w:val="4A9604E4"/>
    <w:rsid w:val="4A977AF4"/>
    <w:rsid w:val="4A985F30"/>
    <w:rsid w:val="4AA44A08"/>
    <w:rsid w:val="4AAA7A11"/>
    <w:rsid w:val="4AAB5291"/>
    <w:rsid w:val="4AAE0FE3"/>
    <w:rsid w:val="4AB4263E"/>
    <w:rsid w:val="4AB4661C"/>
    <w:rsid w:val="4AB54F8C"/>
    <w:rsid w:val="4ABB577A"/>
    <w:rsid w:val="4ABF0300"/>
    <w:rsid w:val="4ABF6843"/>
    <w:rsid w:val="4AC061F1"/>
    <w:rsid w:val="4ACC6820"/>
    <w:rsid w:val="4AD30BBC"/>
    <w:rsid w:val="4AD5073A"/>
    <w:rsid w:val="4AD625B4"/>
    <w:rsid w:val="4AD6479B"/>
    <w:rsid w:val="4ADF6F8E"/>
    <w:rsid w:val="4AE178D7"/>
    <w:rsid w:val="4AE304D3"/>
    <w:rsid w:val="4AE72885"/>
    <w:rsid w:val="4AEB3B3F"/>
    <w:rsid w:val="4AEE5DFE"/>
    <w:rsid w:val="4AF64B7C"/>
    <w:rsid w:val="4B026900"/>
    <w:rsid w:val="4B0610EB"/>
    <w:rsid w:val="4B0615B6"/>
    <w:rsid w:val="4B0C247A"/>
    <w:rsid w:val="4B0D06CC"/>
    <w:rsid w:val="4B101F6A"/>
    <w:rsid w:val="4B103D18"/>
    <w:rsid w:val="4B14473D"/>
    <w:rsid w:val="4B174A50"/>
    <w:rsid w:val="4B1F5D09"/>
    <w:rsid w:val="4B223A4B"/>
    <w:rsid w:val="4B3044A9"/>
    <w:rsid w:val="4B320132"/>
    <w:rsid w:val="4B34391F"/>
    <w:rsid w:val="4B3B1E75"/>
    <w:rsid w:val="4B3C21F8"/>
    <w:rsid w:val="4B3F54DC"/>
    <w:rsid w:val="4B421ECE"/>
    <w:rsid w:val="4B475260"/>
    <w:rsid w:val="4B49547C"/>
    <w:rsid w:val="4B4A0F01"/>
    <w:rsid w:val="4B4B4D7A"/>
    <w:rsid w:val="4B4F0F1E"/>
    <w:rsid w:val="4B5012AE"/>
    <w:rsid w:val="4B531E57"/>
    <w:rsid w:val="4B5A126D"/>
    <w:rsid w:val="4B5D25A1"/>
    <w:rsid w:val="4B5D2CD5"/>
    <w:rsid w:val="4B62575E"/>
    <w:rsid w:val="4B693428"/>
    <w:rsid w:val="4B7F16E3"/>
    <w:rsid w:val="4B7F49FA"/>
    <w:rsid w:val="4B83098E"/>
    <w:rsid w:val="4B83273C"/>
    <w:rsid w:val="4B85213F"/>
    <w:rsid w:val="4B885A79"/>
    <w:rsid w:val="4B895879"/>
    <w:rsid w:val="4B8A38E1"/>
    <w:rsid w:val="4B8A513A"/>
    <w:rsid w:val="4B8D3EC0"/>
    <w:rsid w:val="4B9009B5"/>
    <w:rsid w:val="4B922FB7"/>
    <w:rsid w:val="4B9318F2"/>
    <w:rsid w:val="4B942074"/>
    <w:rsid w:val="4BA9144B"/>
    <w:rsid w:val="4BAB3A41"/>
    <w:rsid w:val="4BAD134B"/>
    <w:rsid w:val="4BB46D99"/>
    <w:rsid w:val="4BB5041C"/>
    <w:rsid w:val="4BB87F0C"/>
    <w:rsid w:val="4BBA1ED6"/>
    <w:rsid w:val="4BBC0AAB"/>
    <w:rsid w:val="4BBF1D08"/>
    <w:rsid w:val="4BC13C0B"/>
    <w:rsid w:val="4BC30D8B"/>
    <w:rsid w:val="4BC4638C"/>
    <w:rsid w:val="4BD56D10"/>
    <w:rsid w:val="4BD771EC"/>
    <w:rsid w:val="4BD81B39"/>
    <w:rsid w:val="4BE31237"/>
    <w:rsid w:val="4BEC0155"/>
    <w:rsid w:val="4BF058F8"/>
    <w:rsid w:val="4BF47196"/>
    <w:rsid w:val="4BF947AC"/>
    <w:rsid w:val="4BFC429C"/>
    <w:rsid w:val="4BFD7185"/>
    <w:rsid w:val="4BFF0565"/>
    <w:rsid w:val="4C0017A1"/>
    <w:rsid w:val="4C084AEB"/>
    <w:rsid w:val="4C0D0258"/>
    <w:rsid w:val="4C0D46FC"/>
    <w:rsid w:val="4C1415E6"/>
    <w:rsid w:val="4C143394"/>
    <w:rsid w:val="4C150FD8"/>
    <w:rsid w:val="4C177328"/>
    <w:rsid w:val="4C194E4E"/>
    <w:rsid w:val="4C2128C3"/>
    <w:rsid w:val="4C217FD0"/>
    <w:rsid w:val="4C2B14ED"/>
    <w:rsid w:val="4C2F4E4F"/>
    <w:rsid w:val="4C327CBE"/>
    <w:rsid w:val="4C366B60"/>
    <w:rsid w:val="4C392989"/>
    <w:rsid w:val="4C3D0087"/>
    <w:rsid w:val="4C3F7C92"/>
    <w:rsid w:val="4C415DC1"/>
    <w:rsid w:val="4C443EC1"/>
    <w:rsid w:val="4C4A5008"/>
    <w:rsid w:val="4C5058C9"/>
    <w:rsid w:val="4C523365"/>
    <w:rsid w:val="4C5672E5"/>
    <w:rsid w:val="4C612351"/>
    <w:rsid w:val="4C6D0CF6"/>
    <w:rsid w:val="4C6D62EC"/>
    <w:rsid w:val="4C6E3A7F"/>
    <w:rsid w:val="4C714C8A"/>
    <w:rsid w:val="4C716A38"/>
    <w:rsid w:val="4C7402D7"/>
    <w:rsid w:val="4C784AD5"/>
    <w:rsid w:val="4C7B78B7"/>
    <w:rsid w:val="4C7D71E6"/>
    <w:rsid w:val="4C894B76"/>
    <w:rsid w:val="4C8F6C95"/>
    <w:rsid w:val="4C940979"/>
    <w:rsid w:val="4C943E86"/>
    <w:rsid w:val="4C98546D"/>
    <w:rsid w:val="4C9A3174"/>
    <w:rsid w:val="4C9D782D"/>
    <w:rsid w:val="4C9E6E2B"/>
    <w:rsid w:val="4CA010CC"/>
    <w:rsid w:val="4CAC0D83"/>
    <w:rsid w:val="4CAC2535"/>
    <w:rsid w:val="4CAE6E28"/>
    <w:rsid w:val="4CB86415"/>
    <w:rsid w:val="4CB933F8"/>
    <w:rsid w:val="4CB95E18"/>
    <w:rsid w:val="4CBB4158"/>
    <w:rsid w:val="4CC44A4F"/>
    <w:rsid w:val="4CD11B43"/>
    <w:rsid w:val="4CD9638C"/>
    <w:rsid w:val="4CDB0356"/>
    <w:rsid w:val="4CDD7C2A"/>
    <w:rsid w:val="4CE27936"/>
    <w:rsid w:val="4CF939B9"/>
    <w:rsid w:val="4CFA1020"/>
    <w:rsid w:val="4CFE0BB0"/>
    <w:rsid w:val="4CFF53E0"/>
    <w:rsid w:val="4D03140D"/>
    <w:rsid w:val="4D06034A"/>
    <w:rsid w:val="4D0D641F"/>
    <w:rsid w:val="4D155616"/>
    <w:rsid w:val="4D162F0A"/>
    <w:rsid w:val="4D1B0752"/>
    <w:rsid w:val="4D226E03"/>
    <w:rsid w:val="4D272911"/>
    <w:rsid w:val="4D275349"/>
    <w:rsid w:val="4D2770F7"/>
    <w:rsid w:val="4D297313"/>
    <w:rsid w:val="4D2B308B"/>
    <w:rsid w:val="4D2E0486"/>
    <w:rsid w:val="4D3265EA"/>
    <w:rsid w:val="4D330192"/>
    <w:rsid w:val="4D391625"/>
    <w:rsid w:val="4D3936D7"/>
    <w:rsid w:val="4D3A32CE"/>
    <w:rsid w:val="4D3E6229"/>
    <w:rsid w:val="4D461C73"/>
    <w:rsid w:val="4D491763"/>
    <w:rsid w:val="4D4952BF"/>
    <w:rsid w:val="4D4D1254"/>
    <w:rsid w:val="4D5048A0"/>
    <w:rsid w:val="4D507F44"/>
    <w:rsid w:val="4D5254D6"/>
    <w:rsid w:val="4D55587D"/>
    <w:rsid w:val="4D565C2E"/>
    <w:rsid w:val="4D5F0F87"/>
    <w:rsid w:val="4D61483D"/>
    <w:rsid w:val="4D6214D1"/>
    <w:rsid w:val="4D722A68"/>
    <w:rsid w:val="4D737564"/>
    <w:rsid w:val="4D754306"/>
    <w:rsid w:val="4D761E2D"/>
    <w:rsid w:val="4D777400"/>
    <w:rsid w:val="4D7A191D"/>
    <w:rsid w:val="4D7B1AE2"/>
    <w:rsid w:val="4D7B7443"/>
    <w:rsid w:val="4D7D31BB"/>
    <w:rsid w:val="4D7F6F33"/>
    <w:rsid w:val="4D810EFD"/>
    <w:rsid w:val="4D894DA5"/>
    <w:rsid w:val="4D8B3B2A"/>
    <w:rsid w:val="4D956757"/>
    <w:rsid w:val="4D965002"/>
    <w:rsid w:val="4D9A69B6"/>
    <w:rsid w:val="4D9D385D"/>
    <w:rsid w:val="4DA16EA9"/>
    <w:rsid w:val="4DA60964"/>
    <w:rsid w:val="4DA83DF5"/>
    <w:rsid w:val="4DAA371F"/>
    <w:rsid w:val="4DAB41CC"/>
    <w:rsid w:val="4DAE5A6A"/>
    <w:rsid w:val="4DB52955"/>
    <w:rsid w:val="4DB61CC2"/>
    <w:rsid w:val="4DBA2E3E"/>
    <w:rsid w:val="4DBA6E7C"/>
    <w:rsid w:val="4DC31F45"/>
    <w:rsid w:val="4DC70853"/>
    <w:rsid w:val="4DC808DA"/>
    <w:rsid w:val="4DCC3C40"/>
    <w:rsid w:val="4DCD7C9F"/>
    <w:rsid w:val="4DD10B11"/>
    <w:rsid w:val="4DD43DBB"/>
    <w:rsid w:val="4DD74FC1"/>
    <w:rsid w:val="4DDD3C5A"/>
    <w:rsid w:val="4DE65ED7"/>
    <w:rsid w:val="4DE869D8"/>
    <w:rsid w:val="4DEA4CF4"/>
    <w:rsid w:val="4DF23BA9"/>
    <w:rsid w:val="4DF25957"/>
    <w:rsid w:val="4DF30C68"/>
    <w:rsid w:val="4DF73844"/>
    <w:rsid w:val="4DF73D65"/>
    <w:rsid w:val="4DF94D1D"/>
    <w:rsid w:val="4DFB1D1C"/>
    <w:rsid w:val="4DFC03F6"/>
    <w:rsid w:val="4E0A5FB9"/>
    <w:rsid w:val="4E0B144E"/>
    <w:rsid w:val="4E1E674C"/>
    <w:rsid w:val="4E235B10"/>
    <w:rsid w:val="4E2B0E69"/>
    <w:rsid w:val="4E2E394C"/>
    <w:rsid w:val="4E3B5550"/>
    <w:rsid w:val="4E3D3451"/>
    <w:rsid w:val="4E3E0124"/>
    <w:rsid w:val="4E3E7A36"/>
    <w:rsid w:val="4E41243B"/>
    <w:rsid w:val="4E4A131D"/>
    <w:rsid w:val="4E56317A"/>
    <w:rsid w:val="4E5A4A86"/>
    <w:rsid w:val="4E600B13"/>
    <w:rsid w:val="4E661EA1"/>
    <w:rsid w:val="4E6824AE"/>
    <w:rsid w:val="4E6879C7"/>
    <w:rsid w:val="4E710F72"/>
    <w:rsid w:val="4E726A98"/>
    <w:rsid w:val="4E7561CB"/>
    <w:rsid w:val="4E7773B0"/>
    <w:rsid w:val="4E7937FC"/>
    <w:rsid w:val="4E7D1A3E"/>
    <w:rsid w:val="4E7D7917"/>
    <w:rsid w:val="4E7E5B06"/>
    <w:rsid w:val="4E854A1D"/>
    <w:rsid w:val="4E861570"/>
    <w:rsid w:val="4E872A00"/>
    <w:rsid w:val="4E8862BB"/>
    <w:rsid w:val="4E8C5DAC"/>
    <w:rsid w:val="4E8F764A"/>
    <w:rsid w:val="4E942825"/>
    <w:rsid w:val="4E944C60"/>
    <w:rsid w:val="4E9609D8"/>
    <w:rsid w:val="4E9904C8"/>
    <w:rsid w:val="4E9E788D"/>
    <w:rsid w:val="4E9F7009"/>
    <w:rsid w:val="4EA3285D"/>
    <w:rsid w:val="4EA50C1B"/>
    <w:rsid w:val="4EAD5D22"/>
    <w:rsid w:val="4EB175C0"/>
    <w:rsid w:val="4EB470B0"/>
    <w:rsid w:val="4EBA7275"/>
    <w:rsid w:val="4EBB3F9B"/>
    <w:rsid w:val="4EBC7D13"/>
    <w:rsid w:val="4EC00A93"/>
    <w:rsid w:val="4EC92B5C"/>
    <w:rsid w:val="4ED02BF9"/>
    <w:rsid w:val="4ED11A10"/>
    <w:rsid w:val="4ED141EC"/>
    <w:rsid w:val="4ED27537"/>
    <w:rsid w:val="4EDF4919"/>
    <w:rsid w:val="4EE74D90"/>
    <w:rsid w:val="4EE869F3"/>
    <w:rsid w:val="4EE94FAC"/>
    <w:rsid w:val="4EEF633A"/>
    <w:rsid w:val="4EF1271E"/>
    <w:rsid w:val="4EF57A60"/>
    <w:rsid w:val="4EF851EF"/>
    <w:rsid w:val="4EFC1E0A"/>
    <w:rsid w:val="4EFE032C"/>
    <w:rsid w:val="4F041BE5"/>
    <w:rsid w:val="4F041DE6"/>
    <w:rsid w:val="4F0C0C9A"/>
    <w:rsid w:val="4F0C3FC5"/>
    <w:rsid w:val="4F0F2539"/>
    <w:rsid w:val="4F1418FD"/>
    <w:rsid w:val="4F155DA1"/>
    <w:rsid w:val="4F1813ED"/>
    <w:rsid w:val="4F18319B"/>
    <w:rsid w:val="4F1A33B7"/>
    <w:rsid w:val="4F1D45B9"/>
    <w:rsid w:val="4F247D92"/>
    <w:rsid w:val="4F2619C0"/>
    <w:rsid w:val="4F277882"/>
    <w:rsid w:val="4F2E6E63"/>
    <w:rsid w:val="4F341FBE"/>
    <w:rsid w:val="4F351F9F"/>
    <w:rsid w:val="4F3877A3"/>
    <w:rsid w:val="4F3A5808"/>
    <w:rsid w:val="4F3B50DC"/>
    <w:rsid w:val="4F457D08"/>
    <w:rsid w:val="4F4B1139"/>
    <w:rsid w:val="4F4E3061"/>
    <w:rsid w:val="4F4F2935"/>
    <w:rsid w:val="4F587A3C"/>
    <w:rsid w:val="4F5B577E"/>
    <w:rsid w:val="4F602D94"/>
    <w:rsid w:val="4F6463E1"/>
    <w:rsid w:val="4F691C49"/>
    <w:rsid w:val="4F6E54B1"/>
    <w:rsid w:val="4F6E725F"/>
    <w:rsid w:val="4F737FDA"/>
    <w:rsid w:val="4F754A92"/>
    <w:rsid w:val="4F764366"/>
    <w:rsid w:val="4F781E8C"/>
    <w:rsid w:val="4F794D58"/>
    <w:rsid w:val="4F797EA5"/>
    <w:rsid w:val="4F7A31D5"/>
    <w:rsid w:val="4F7A3E56"/>
    <w:rsid w:val="4F7D56F4"/>
    <w:rsid w:val="4F7D74A2"/>
    <w:rsid w:val="4F864A50"/>
    <w:rsid w:val="4F876573"/>
    <w:rsid w:val="4F8C5937"/>
    <w:rsid w:val="4F8E16AF"/>
    <w:rsid w:val="4F934F18"/>
    <w:rsid w:val="4F992FC4"/>
    <w:rsid w:val="4F9D688E"/>
    <w:rsid w:val="4FA2515B"/>
    <w:rsid w:val="4FA26F09"/>
    <w:rsid w:val="4FAC7D88"/>
    <w:rsid w:val="4FAE3B00"/>
    <w:rsid w:val="4FB8672C"/>
    <w:rsid w:val="4FB940D4"/>
    <w:rsid w:val="4FC012C2"/>
    <w:rsid w:val="4FC25B8B"/>
    <w:rsid w:val="4FCE5F50"/>
    <w:rsid w:val="4FD60B72"/>
    <w:rsid w:val="4FD734E3"/>
    <w:rsid w:val="4FD9188E"/>
    <w:rsid w:val="4FDF1F0B"/>
    <w:rsid w:val="4FE6773D"/>
    <w:rsid w:val="4FF10611"/>
    <w:rsid w:val="4FFA3C5B"/>
    <w:rsid w:val="4FFC70D0"/>
    <w:rsid w:val="4FFF25AD"/>
    <w:rsid w:val="50047BC4"/>
    <w:rsid w:val="50100316"/>
    <w:rsid w:val="501034CA"/>
    <w:rsid w:val="50111EE2"/>
    <w:rsid w:val="50130D0F"/>
    <w:rsid w:val="50154D74"/>
    <w:rsid w:val="50181F31"/>
    <w:rsid w:val="50184C79"/>
    <w:rsid w:val="501D198E"/>
    <w:rsid w:val="501D5EB6"/>
    <w:rsid w:val="501F1883"/>
    <w:rsid w:val="50203E3B"/>
    <w:rsid w:val="50242014"/>
    <w:rsid w:val="502C20D5"/>
    <w:rsid w:val="502E571C"/>
    <w:rsid w:val="50302767"/>
    <w:rsid w:val="50395ABF"/>
    <w:rsid w:val="503B1837"/>
    <w:rsid w:val="503B4B64"/>
    <w:rsid w:val="503C1161"/>
    <w:rsid w:val="50446212"/>
    <w:rsid w:val="50504BB7"/>
    <w:rsid w:val="50544178"/>
    <w:rsid w:val="505446A7"/>
    <w:rsid w:val="505F4DFA"/>
    <w:rsid w:val="506803D7"/>
    <w:rsid w:val="506A211C"/>
    <w:rsid w:val="506A3ECB"/>
    <w:rsid w:val="50715259"/>
    <w:rsid w:val="50720FD1"/>
    <w:rsid w:val="50795EBC"/>
    <w:rsid w:val="507F33CD"/>
    <w:rsid w:val="50845DD3"/>
    <w:rsid w:val="50863838"/>
    <w:rsid w:val="508B2217"/>
    <w:rsid w:val="508B5BEF"/>
    <w:rsid w:val="509727E6"/>
    <w:rsid w:val="509A148C"/>
    <w:rsid w:val="50AE2FA4"/>
    <w:rsid w:val="50BD4924"/>
    <w:rsid w:val="50BE043C"/>
    <w:rsid w:val="50C35389"/>
    <w:rsid w:val="50C63DF0"/>
    <w:rsid w:val="50CF2E6B"/>
    <w:rsid w:val="50D94BAC"/>
    <w:rsid w:val="50DB3A34"/>
    <w:rsid w:val="50DB6B76"/>
    <w:rsid w:val="50DD28EE"/>
    <w:rsid w:val="50E772C9"/>
    <w:rsid w:val="50EB3F82"/>
    <w:rsid w:val="50F6750C"/>
    <w:rsid w:val="50F95811"/>
    <w:rsid w:val="50FE0AB7"/>
    <w:rsid w:val="50FF2147"/>
    <w:rsid w:val="51022355"/>
    <w:rsid w:val="51071719"/>
    <w:rsid w:val="510E1AF6"/>
    <w:rsid w:val="510F4A72"/>
    <w:rsid w:val="51112598"/>
    <w:rsid w:val="51172EEC"/>
    <w:rsid w:val="5119769F"/>
    <w:rsid w:val="511A4E37"/>
    <w:rsid w:val="511B25B4"/>
    <w:rsid w:val="511B5857"/>
    <w:rsid w:val="511C460C"/>
    <w:rsid w:val="51215792"/>
    <w:rsid w:val="5126587F"/>
    <w:rsid w:val="512C2F2E"/>
    <w:rsid w:val="512C526D"/>
    <w:rsid w:val="51316796"/>
    <w:rsid w:val="513444D8"/>
    <w:rsid w:val="51361FFF"/>
    <w:rsid w:val="5144296E"/>
    <w:rsid w:val="514566E6"/>
    <w:rsid w:val="514B3CFC"/>
    <w:rsid w:val="514F70CF"/>
    <w:rsid w:val="51513130"/>
    <w:rsid w:val="515406D7"/>
    <w:rsid w:val="51592273"/>
    <w:rsid w:val="51644DBE"/>
    <w:rsid w:val="516C5A20"/>
    <w:rsid w:val="516E79EA"/>
    <w:rsid w:val="516F72BF"/>
    <w:rsid w:val="51713037"/>
    <w:rsid w:val="51755AC9"/>
    <w:rsid w:val="517625A1"/>
    <w:rsid w:val="51782617"/>
    <w:rsid w:val="517D384B"/>
    <w:rsid w:val="517D48A7"/>
    <w:rsid w:val="517D7C2E"/>
    <w:rsid w:val="5184720E"/>
    <w:rsid w:val="51864D34"/>
    <w:rsid w:val="51883BC9"/>
    <w:rsid w:val="518A5306"/>
    <w:rsid w:val="518A6A6A"/>
    <w:rsid w:val="518B234A"/>
    <w:rsid w:val="51924140"/>
    <w:rsid w:val="51960CEF"/>
    <w:rsid w:val="51972CF4"/>
    <w:rsid w:val="51A27694"/>
    <w:rsid w:val="51A4340C"/>
    <w:rsid w:val="51A93000"/>
    <w:rsid w:val="51AB479B"/>
    <w:rsid w:val="51AE7211"/>
    <w:rsid w:val="51B00003"/>
    <w:rsid w:val="51B0342B"/>
    <w:rsid w:val="51B11685"/>
    <w:rsid w:val="51B66C9C"/>
    <w:rsid w:val="51C656CD"/>
    <w:rsid w:val="51C65FF7"/>
    <w:rsid w:val="51C969CF"/>
    <w:rsid w:val="51CB0999"/>
    <w:rsid w:val="51CD2963"/>
    <w:rsid w:val="51D51818"/>
    <w:rsid w:val="51DA6E2E"/>
    <w:rsid w:val="51DC0DF8"/>
    <w:rsid w:val="51DC2BA6"/>
    <w:rsid w:val="51DF61F2"/>
    <w:rsid w:val="51E52F6E"/>
    <w:rsid w:val="51E94DAF"/>
    <w:rsid w:val="51EC53F1"/>
    <w:rsid w:val="51F2562C"/>
    <w:rsid w:val="51F577C4"/>
    <w:rsid w:val="51F83758"/>
    <w:rsid w:val="51F85506"/>
    <w:rsid w:val="51FE0D6E"/>
    <w:rsid w:val="51FE7BC8"/>
    <w:rsid w:val="52065E75"/>
    <w:rsid w:val="520774F7"/>
    <w:rsid w:val="52100AA2"/>
    <w:rsid w:val="521045E8"/>
    <w:rsid w:val="521265C8"/>
    <w:rsid w:val="5217255D"/>
    <w:rsid w:val="52195BA8"/>
    <w:rsid w:val="52263E21"/>
    <w:rsid w:val="522742EF"/>
    <w:rsid w:val="522B57B2"/>
    <w:rsid w:val="52320A18"/>
    <w:rsid w:val="5233653E"/>
    <w:rsid w:val="52353901"/>
    <w:rsid w:val="5237032A"/>
    <w:rsid w:val="52392D6D"/>
    <w:rsid w:val="52550093"/>
    <w:rsid w:val="52551262"/>
    <w:rsid w:val="525564B4"/>
    <w:rsid w:val="525E1F65"/>
    <w:rsid w:val="52605AD9"/>
    <w:rsid w:val="52627586"/>
    <w:rsid w:val="52650B61"/>
    <w:rsid w:val="526D3847"/>
    <w:rsid w:val="526F3EB7"/>
    <w:rsid w:val="52756035"/>
    <w:rsid w:val="527A416D"/>
    <w:rsid w:val="527E0DBE"/>
    <w:rsid w:val="527F186C"/>
    <w:rsid w:val="527F1CB8"/>
    <w:rsid w:val="5281374D"/>
    <w:rsid w:val="5283444E"/>
    <w:rsid w:val="52860D64"/>
    <w:rsid w:val="528648C0"/>
    <w:rsid w:val="52880638"/>
    <w:rsid w:val="52887ADE"/>
    <w:rsid w:val="528943B0"/>
    <w:rsid w:val="528D5C4E"/>
    <w:rsid w:val="528F5E6A"/>
    <w:rsid w:val="5290573F"/>
    <w:rsid w:val="529171EE"/>
    <w:rsid w:val="5294799F"/>
    <w:rsid w:val="52961E90"/>
    <w:rsid w:val="529B516A"/>
    <w:rsid w:val="529D3985"/>
    <w:rsid w:val="529E1C09"/>
    <w:rsid w:val="529E60AD"/>
    <w:rsid w:val="529F0DD2"/>
    <w:rsid w:val="52A35472"/>
    <w:rsid w:val="52AB2948"/>
    <w:rsid w:val="52B72CCB"/>
    <w:rsid w:val="52C34E27"/>
    <w:rsid w:val="52C553E8"/>
    <w:rsid w:val="52C94C60"/>
    <w:rsid w:val="52CF44B9"/>
    <w:rsid w:val="52D86EEF"/>
    <w:rsid w:val="52E2243E"/>
    <w:rsid w:val="52E55A8A"/>
    <w:rsid w:val="52EA12F3"/>
    <w:rsid w:val="52EF778C"/>
    <w:rsid w:val="52F60C57"/>
    <w:rsid w:val="52FB52AE"/>
    <w:rsid w:val="53080462"/>
    <w:rsid w:val="53083527"/>
    <w:rsid w:val="53095C1D"/>
    <w:rsid w:val="530A4577"/>
    <w:rsid w:val="530A54F1"/>
    <w:rsid w:val="53154EDF"/>
    <w:rsid w:val="53193986"/>
    <w:rsid w:val="531C2344"/>
    <w:rsid w:val="531F79B0"/>
    <w:rsid w:val="53220A8C"/>
    <w:rsid w:val="5325232B"/>
    <w:rsid w:val="532841F2"/>
    <w:rsid w:val="532A7941"/>
    <w:rsid w:val="532E7431"/>
    <w:rsid w:val="532F31A9"/>
    <w:rsid w:val="53332C9A"/>
    <w:rsid w:val="533C684B"/>
    <w:rsid w:val="534529CD"/>
    <w:rsid w:val="53456529"/>
    <w:rsid w:val="53476745"/>
    <w:rsid w:val="534A1D91"/>
    <w:rsid w:val="53536E98"/>
    <w:rsid w:val="535844AE"/>
    <w:rsid w:val="53610DA9"/>
    <w:rsid w:val="53654E1D"/>
    <w:rsid w:val="53682EE2"/>
    <w:rsid w:val="536A6FA8"/>
    <w:rsid w:val="536C1D08"/>
    <w:rsid w:val="5373753A"/>
    <w:rsid w:val="538057C2"/>
    <w:rsid w:val="53823120"/>
    <w:rsid w:val="538319B8"/>
    <w:rsid w:val="53831A46"/>
    <w:rsid w:val="538B4884"/>
    <w:rsid w:val="538C567B"/>
    <w:rsid w:val="539620A7"/>
    <w:rsid w:val="539A3FDC"/>
    <w:rsid w:val="539D3711"/>
    <w:rsid w:val="53A2396F"/>
    <w:rsid w:val="53A27BFA"/>
    <w:rsid w:val="53AA375B"/>
    <w:rsid w:val="53AF6B6F"/>
    <w:rsid w:val="53B429A1"/>
    <w:rsid w:val="53B45F49"/>
    <w:rsid w:val="53B75E62"/>
    <w:rsid w:val="53B768FB"/>
    <w:rsid w:val="53BC2E44"/>
    <w:rsid w:val="53BF62DB"/>
    <w:rsid w:val="53BF7EAA"/>
    <w:rsid w:val="53C17610"/>
    <w:rsid w:val="53C441A7"/>
    <w:rsid w:val="53CB1124"/>
    <w:rsid w:val="53CE5FB7"/>
    <w:rsid w:val="53D578AD"/>
    <w:rsid w:val="53D71491"/>
    <w:rsid w:val="53DB3461"/>
    <w:rsid w:val="53E53868"/>
    <w:rsid w:val="53EC5A2E"/>
    <w:rsid w:val="53F1045F"/>
    <w:rsid w:val="53F109E6"/>
    <w:rsid w:val="53FA5565"/>
    <w:rsid w:val="53FB278B"/>
    <w:rsid w:val="53FC5B12"/>
    <w:rsid w:val="54071B43"/>
    <w:rsid w:val="541008E5"/>
    <w:rsid w:val="54120B01"/>
    <w:rsid w:val="541B0CC2"/>
    <w:rsid w:val="541E1BA7"/>
    <w:rsid w:val="54214A3E"/>
    <w:rsid w:val="54225E48"/>
    <w:rsid w:val="54293073"/>
    <w:rsid w:val="542D1F60"/>
    <w:rsid w:val="542D3AD6"/>
    <w:rsid w:val="542D7083"/>
    <w:rsid w:val="542E16B3"/>
    <w:rsid w:val="54316AAD"/>
    <w:rsid w:val="54324CFF"/>
    <w:rsid w:val="543842E0"/>
    <w:rsid w:val="544B35ED"/>
    <w:rsid w:val="544D7D8B"/>
    <w:rsid w:val="544E765F"/>
    <w:rsid w:val="545028F9"/>
    <w:rsid w:val="54542E1F"/>
    <w:rsid w:val="54556C40"/>
    <w:rsid w:val="545B23F7"/>
    <w:rsid w:val="54660E4D"/>
    <w:rsid w:val="54663EF6"/>
    <w:rsid w:val="546926EB"/>
    <w:rsid w:val="547075D6"/>
    <w:rsid w:val="54752E3E"/>
    <w:rsid w:val="547A6B9C"/>
    <w:rsid w:val="54843F60"/>
    <w:rsid w:val="54876977"/>
    <w:rsid w:val="548901E4"/>
    <w:rsid w:val="548E64CB"/>
    <w:rsid w:val="54901A26"/>
    <w:rsid w:val="54907C78"/>
    <w:rsid w:val="54977258"/>
    <w:rsid w:val="54996B2C"/>
    <w:rsid w:val="549B6C4C"/>
    <w:rsid w:val="549B6D34"/>
    <w:rsid w:val="549D6FE7"/>
    <w:rsid w:val="549E0D64"/>
    <w:rsid w:val="549E2609"/>
    <w:rsid w:val="54A274E9"/>
    <w:rsid w:val="54AD5392"/>
    <w:rsid w:val="54AE00FE"/>
    <w:rsid w:val="54B40BE7"/>
    <w:rsid w:val="54B43966"/>
    <w:rsid w:val="54B73456"/>
    <w:rsid w:val="54B86B3E"/>
    <w:rsid w:val="54BD498D"/>
    <w:rsid w:val="54BE1B36"/>
    <w:rsid w:val="54C31DFB"/>
    <w:rsid w:val="54CF3934"/>
    <w:rsid w:val="54D44008"/>
    <w:rsid w:val="54E43252"/>
    <w:rsid w:val="54EA1131"/>
    <w:rsid w:val="54EA42A5"/>
    <w:rsid w:val="54EE1700"/>
    <w:rsid w:val="54EF0E42"/>
    <w:rsid w:val="54F16968"/>
    <w:rsid w:val="54F226E1"/>
    <w:rsid w:val="54F304E9"/>
    <w:rsid w:val="54FB77E7"/>
    <w:rsid w:val="55004DFD"/>
    <w:rsid w:val="5503044A"/>
    <w:rsid w:val="550A5C7C"/>
    <w:rsid w:val="550A7A2A"/>
    <w:rsid w:val="55182ABF"/>
    <w:rsid w:val="551B39E5"/>
    <w:rsid w:val="551D6CB2"/>
    <w:rsid w:val="5523289A"/>
    <w:rsid w:val="55232D59"/>
    <w:rsid w:val="5528419E"/>
    <w:rsid w:val="552F02D2"/>
    <w:rsid w:val="55320D2F"/>
    <w:rsid w:val="55326F81"/>
    <w:rsid w:val="55342CF9"/>
    <w:rsid w:val="553920BD"/>
    <w:rsid w:val="553C57C6"/>
    <w:rsid w:val="55406AAF"/>
    <w:rsid w:val="55432F3C"/>
    <w:rsid w:val="55482300"/>
    <w:rsid w:val="554A791A"/>
    <w:rsid w:val="554B1941"/>
    <w:rsid w:val="554D7917"/>
    <w:rsid w:val="554E7F0C"/>
    <w:rsid w:val="555111B5"/>
    <w:rsid w:val="55517407"/>
    <w:rsid w:val="55581E8F"/>
    <w:rsid w:val="55582054"/>
    <w:rsid w:val="555D5DAC"/>
    <w:rsid w:val="555E0513"/>
    <w:rsid w:val="555E1B24"/>
    <w:rsid w:val="556153AE"/>
    <w:rsid w:val="55676C2B"/>
    <w:rsid w:val="556A04C9"/>
    <w:rsid w:val="556B765C"/>
    <w:rsid w:val="55700909"/>
    <w:rsid w:val="55733821"/>
    <w:rsid w:val="557355CF"/>
    <w:rsid w:val="55752CD1"/>
    <w:rsid w:val="55762097"/>
    <w:rsid w:val="5583158B"/>
    <w:rsid w:val="558A2919"/>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DC2AD0"/>
    <w:rsid w:val="55E73DE6"/>
    <w:rsid w:val="55E83428"/>
    <w:rsid w:val="55EA33B8"/>
    <w:rsid w:val="55EB15A9"/>
    <w:rsid w:val="55EC35D4"/>
    <w:rsid w:val="55EF10B1"/>
    <w:rsid w:val="55F17E3D"/>
    <w:rsid w:val="55F37F7B"/>
    <w:rsid w:val="55FA2FD9"/>
    <w:rsid w:val="560162DD"/>
    <w:rsid w:val="560501F2"/>
    <w:rsid w:val="560E52F8"/>
    <w:rsid w:val="560E70A6"/>
    <w:rsid w:val="56114DE8"/>
    <w:rsid w:val="56130B60"/>
    <w:rsid w:val="5613290E"/>
    <w:rsid w:val="561346BC"/>
    <w:rsid w:val="56262642"/>
    <w:rsid w:val="562B7C58"/>
    <w:rsid w:val="562E7748"/>
    <w:rsid w:val="5630116D"/>
    <w:rsid w:val="56332FB1"/>
    <w:rsid w:val="563564CB"/>
    <w:rsid w:val="563C00B7"/>
    <w:rsid w:val="563D5BDD"/>
    <w:rsid w:val="56417537"/>
    <w:rsid w:val="56431446"/>
    <w:rsid w:val="56440D1A"/>
    <w:rsid w:val="56466840"/>
    <w:rsid w:val="56510FA5"/>
    <w:rsid w:val="56535401"/>
    <w:rsid w:val="565D6F39"/>
    <w:rsid w:val="56633896"/>
    <w:rsid w:val="56674A08"/>
    <w:rsid w:val="56690780"/>
    <w:rsid w:val="566B364B"/>
    <w:rsid w:val="566E5D97"/>
    <w:rsid w:val="566E7EBE"/>
    <w:rsid w:val="56723A57"/>
    <w:rsid w:val="567333AD"/>
    <w:rsid w:val="5675682A"/>
    <w:rsid w:val="56766C89"/>
    <w:rsid w:val="56775382"/>
    <w:rsid w:val="567C4300"/>
    <w:rsid w:val="567F7FA4"/>
    <w:rsid w:val="56890E23"/>
    <w:rsid w:val="56905D0D"/>
    <w:rsid w:val="56914581"/>
    <w:rsid w:val="569752EE"/>
    <w:rsid w:val="569F23F4"/>
    <w:rsid w:val="56A30136"/>
    <w:rsid w:val="56A47A0A"/>
    <w:rsid w:val="56A9296F"/>
    <w:rsid w:val="56AB2B47"/>
    <w:rsid w:val="56AB528F"/>
    <w:rsid w:val="56AB6FEB"/>
    <w:rsid w:val="56BD287A"/>
    <w:rsid w:val="56C84AD2"/>
    <w:rsid w:val="56C97471"/>
    <w:rsid w:val="56CA1443"/>
    <w:rsid w:val="56CF5DCB"/>
    <w:rsid w:val="56D007FF"/>
    <w:rsid w:val="56D27B8C"/>
    <w:rsid w:val="56D4209E"/>
    <w:rsid w:val="56D66333"/>
    <w:rsid w:val="56D71B8E"/>
    <w:rsid w:val="56DA2EDE"/>
    <w:rsid w:val="56DE2F1C"/>
    <w:rsid w:val="56DE4CCA"/>
    <w:rsid w:val="56E10C5F"/>
    <w:rsid w:val="56E9366F"/>
    <w:rsid w:val="56ED13B1"/>
    <w:rsid w:val="56F02C50"/>
    <w:rsid w:val="56F6276E"/>
    <w:rsid w:val="570B1838"/>
    <w:rsid w:val="57250B4B"/>
    <w:rsid w:val="57291C6D"/>
    <w:rsid w:val="57295295"/>
    <w:rsid w:val="572A16C1"/>
    <w:rsid w:val="572F5526"/>
    <w:rsid w:val="57342B3C"/>
    <w:rsid w:val="57390CC0"/>
    <w:rsid w:val="573B1AA2"/>
    <w:rsid w:val="574014E1"/>
    <w:rsid w:val="574134AB"/>
    <w:rsid w:val="57460AC2"/>
    <w:rsid w:val="574B7E86"/>
    <w:rsid w:val="574F45FB"/>
    <w:rsid w:val="575136EE"/>
    <w:rsid w:val="57546DC1"/>
    <w:rsid w:val="57603DA4"/>
    <w:rsid w:val="57664CC0"/>
    <w:rsid w:val="57672E44"/>
    <w:rsid w:val="576A2A02"/>
    <w:rsid w:val="576C0528"/>
    <w:rsid w:val="57711FE2"/>
    <w:rsid w:val="57740CC0"/>
    <w:rsid w:val="577943F2"/>
    <w:rsid w:val="577B3068"/>
    <w:rsid w:val="577E200A"/>
    <w:rsid w:val="57874DBC"/>
    <w:rsid w:val="57875362"/>
    <w:rsid w:val="57882E88"/>
    <w:rsid w:val="5791441A"/>
    <w:rsid w:val="579537AA"/>
    <w:rsid w:val="5797131D"/>
    <w:rsid w:val="5798782B"/>
    <w:rsid w:val="579A28A8"/>
    <w:rsid w:val="57A04676"/>
    <w:rsid w:val="57A05E6D"/>
    <w:rsid w:val="57A557E8"/>
    <w:rsid w:val="57AD4DFB"/>
    <w:rsid w:val="57AE0B41"/>
    <w:rsid w:val="57AE2E6B"/>
    <w:rsid w:val="57B20438"/>
    <w:rsid w:val="57B46714"/>
    <w:rsid w:val="57BC665E"/>
    <w:rsid w:val="57BD5228"/>
    <w:rsid w:val="57BF2D4E"/>
    <w:rsid w:val="57C33EC0"/>
    <w:rsid w:val="57C71C02"/>
    <w:rsid w:val="57CC0775"/>
    <w:rsid w:val="57CD7125"/>
    <w:rsid w:val="57D165DD"/>
    <w:rsid w:val="57D4431F"/>
    <w:rsid w:val="57DA7B88"/>
    <w:rsid w:val="57E44562"/>
    <w:rsid w:val="57E52089"/>
    <w:rsid w:val="57E62D59"/>
    <w:rsid w:val="57E91B79"/>
    <w:rsid w:val="57E97DCB"/>
    <w:rsid w:val="57EC3417"/>
    <w:rsid w:val="57EE53E1"/>
    <w:rsid w:val="57EF0931"/>
    <w:rsid w:val="57EF6F2D"/>
    <w:rsid w:val="57F04304"/>
    <w:rsid w:val="57F43110"/>
    <w:rsid w:val="57FA3318"/>
    <w:rsid w:val="57FB18AC"/>
    <w:rsid w:val="57FB5D50"/>
    <w:rsid w:val="57FC57AF"/>
    <w:rsid w:val="580746F5"/>
    <w:rsid w:val="58084289"/>
    <w:rsid w:val="580E15DF"/>
    <w:rsid w:val="581110D0"/>
    <w:rsid w:val="581754FA"/>
    <w:rsid w:val="582467B0"/>
    <w:rsid w:val="582B2779"/>
    <w:rsid w:val="582C7CB7"/>
    <w:rsid w:val="58300E4A"/>
    <w:rsid w:val="583152CE"/>
    <w:rsid w:val="58320689"/>
    <w:rsid w:val="583A0626"/>
    <w:rsid w:val="583B24FC"/>
    <w:rsid w:val="583C439E"/>
    <w:rsid w:val="583F79EB"/>
    <w:rsid w:val="58492617"/>
    <w:rsid w:val="584A0BAC"/>
    <w:rsid w:val="585119A0"/>
    <w:rsid w:val="5851771E"/>
    <w:rsid w:val="585316E8"/>
    <w:rsid w:val="5855720E"/>
    <w:rsid w:val="585B234B"/>
    <w:rsid w:val="585B36D8"/>
    <w:rsid w:val="58692CBA"/>
    <w:rsid w:val="58705DF6"/>
    <w:rsid w:val="58733B38"/>
    <w:rsid w:val="587D0513"/>
    <w:rsid w:val="587D1F7A"/>
    <w:rsid w:val="587F0ECB"/>
    <w:rsid w:val="5882708A"/>
    <w:rsid w:val="58850CE1"/>
    <w:rsid w:val="588B5FCD"/>
    <w:rsid w:val="588E44CE"/>
    <w:rsid w:val="589870FB"/>
    <w:rsid w:val="589D0BB5"/>
    <w:rsid w:val="58A05393"/>
    <w:rsid w:val="58AC56A8"/>
    <w:rsid w:val="58B71C77"/>
    <w:rsid w:val="58B74216"/>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B286B"/>
    <w:rsid w:val="58ED4BF9"/>
    <w:rsid w:val="58F1179F"/>
    <w:rsid w:val="58F20645"/>
    <w:rsid w:val="58F20F01"/>
    <w:rsid w:val="58F5279F"/>
    <w:rsid w:val="58F77CC8"/>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302762"/>
    <w:rsid w:val="5934151A"/>
    <w:rsid w:val="59374B66"/>
    <w:rsid w:val="593C03CE"/>
    <w:rsid w:val="59530646"/>
    <w:rsid w:val="5954396A"/>
    <w:rsid w:val="59547B16"/>
    <w:rsid w:val="595B0854"/>
    <w:rsid w:val="59637709"/>
    <w:rsid w:val="596733BB"/>
    <w:rsid w:val="596C0CB3"/>
    <w:rsid w:val="596F20E3"/>
    <w:rsid w:val="59701E26"/>
    <w:rsid w:val="59771406"/>
    <w:rsid w:val="597B0EF6"/>
    <w:rsid w:val="597C6A1D"/>
    <w:rsid w:val="59815DE1"/>
    <w:rsid w:val="598220BE"/>
    <w:rsid w:val="5984098A"/>
    <w:rsid w:val="598D4786"/>
    <w:rsid w:val="59965D30"/>
    <w:rsid w:val="59967ADE"/>
    <w:rsid w:val="59A147C5"/>
    <w:rsid w:val="59A2217E"/>
    <w:rsid w:val="59A55F73"/>
    <w:rsid w:val="59A57D21"/>
    <w:rsid w:val="59A60AFF"/>
    <w:rsid w:val="59A71F8F"/>
    <w:rsid w:val="59A82DE1"/>
    <w:rsid w:val="59A87812"/>
    <w:rsid w:val="59AA17FC"/>
    <w:rsid w:val="59AA2AE2"/>
    <w:rsid w:val="59AA327E"/>
    <w:rsid w:val="59AF0BA0"/>
    <w:rsid w:val="59AF294E"/>
    <w:rsid w:val="59C53F20"/>
    <w:rsid w:val="59CA67B9"/>
    <w:rsid w:val="59CD3428"/>
    <w:rsid w:val="59CF2FF0"/>
    <w:rsid w:val="59D2663D"/>
    <w:rsid w:val="59DE1A77"/>
    <w:rsid w:val="59DE4A87"/>
    <w:rsid w:val="59E00D5A"/>
    <w:rsid w:val="59E36A9C"/>
    <w:rsid w:val="59E720E8"/>
    <w:rsid w:val="59E77376"/>
    <w:rsid w:val="59EC06C3"/>
    <w:rsid w:val="59EC6032"/>
    <w:rsid w:val="59EE16C8"/>
    <w:rsid w:val="59EE4D9E"/>
    <w:rsid w:val="59F20A8D"/>
    <w:rsid w:val="59F64A21"/>
    <w:rsid w:val="59F82222"/>
    <w:rsid w:val="59FE7432"/>
    <w:rsid w:val="59FF3B7C"/>
    <w:rsid w:val="5A0233C6"/>
    <w:rsid w:val="5A054C64"/>
    <w:rsid w:val="5A096502"/>
    <w:rsid w:val="5A0A5DD6"/>
    <w:rsid w:val="5A0D02E3"/>
    <w:rsid w:val="5A13112F"/>
    <w:rsid w:val="5A174F19"/>
    <w:rsid w:val="5A1924BD"/>
    <w:rsid w:val="5A1A070F"/>
    <w:rsid w:val="5A1A0B70"/>
    <w:rsid w:val="5A1D5B0A"/>
    <w:rsid w:val="5A1D6815"/>
    <w:rsid w:val="5A201A9E"/>
    <w:rsid w:val="5A221372"/>
    <w:rsid w:val="5A2473B3"/>
    <w:rsid w:val="5A2636CF"/>
    <w:rsid w:val="5A2E41BB"/>
    <w:rsid w:val="5A2F40A2"/>
    <w:rsid w:val="5A2F4F1B"/>
    <w:rsid w:val="5A3612C1"/>
    <w:rsid w:val="5A366BCB"/>
    <w:rsid w:val="5A407A4A"/>
    <w:rsid w:val="5A44753A"/>
    <w:rsid w:val="5A4B135E"/>
    <w:rsid w:val="5A581546"/>
    <w:rsid w:val="5A58350E"/>
    <w:rsid w:val="5A5C149E"/>
    <w:rsid w:val="5A627E29"/>
    <w:rsid w:val="5A643169"/>
    <w:rsid w:val="5A693FDA"/>
    <w:rsid w:val="5A6E2809"/>
    <w:rsid w:val="5A7445FC"/>
    <w:rsid w:val="5A7F0572"/>
    <w:rsid w:val="5A8262B5"/>
    <w:rsid w:val="5A836C53"/>
    <w:rsid w:val="5A84202D"/>
    <w:rsid w:val="5A8703E3"/>
    <w:rsid w:val="5A8913F1"/>
    <w:rsid w:val="5A8B6F17"/>
    <w:rsid w:val="5A8D7133"/>
    <w:rsid w:val="5A9A56D9"/>
    <w:rsid w:val="5AA004E9"/>
    <w:rsid w:val="5AA20705"/>
    <w:rsid w:val="5AA47FD9"/>
    <w:rsid w:val="5AB67D0C"/>
    <w:rsid w:val="5AC05DA1"/>
    <w:rsid w:val="5AC95C92"/>
    <w:rsid w:val="5ACC25F8"/>
    <w:rsid w:val="5AD00DCE"/>
    <w:rsid w:val="5AD22196"/>
    <w:rsid w:val="5AD22D98"/>
    <w:rsid w:val="5AD72BFF"/>
    <w:rsid w:val="5ADC3C17"/>
    <w:rsid w:val="5ADE2081"/>
    <w:rsid w:val="5AE26D53"/>
    <w:rsid w:val="5AE825BC"/>
    <w:rsid w:val="5AE96B71"/>
    <w:rsid w:val="5AEB71B9"/>
    <w:rsid w:val="5AEC2A00"/>
    <w:rsid w:val="5AEC407C"/>
    <w:rsid w:val="5AF0499E"/>
    <w:rsid w:val="5AF641B2"/>
    <w:rsid w:val="5AF80325"/>
    <w:rsid w:val="5AF820D3"/>
    <w:rsid w:val="5AFA409D"/>
    <w:rsid w:val="5AFE1DDF"/>
    <w:rsid w:val="5B022F52"/>
    <w:rsid w:val="5B060A98"/>
    <w:rsid w:val="5B062A42"/>
    <w:rsid w:val="5B0F3265"/>
    <w:rsid w:val="5B12588A"/>
    <w:rsid w:val="5B130AB9"/>
    <w:rsid w:val="5B1C78AD"/>
    <w:rsid w:val="5B217190"/>
    <w:rsid w:val="5B231846"/>
    <w:rsid w:val="5B235947"/>
    <w:rsid w:val="5B316766"/>
    <w:rsid w:val="5B331248"/>
    <w:rsid w:val="5B33135D"/>
    <w:rsid w:val="5B3D3F8A"/>
    <w:rsid w:val="5B4041A6"/>
    <w:rsid w:val="5B405097"/>
    <w:rsid w:val="5B433C96"/>
    <w:rsid w:val="5B4377F2"/>
    <w:rsid w:val="5B4A5024"/>
    <w:rsid w:val="5B4A5B4F"/>
    <w:rsid w:val="5B4F2EB6"/>
    <w:rsid w:val="5B5236A5"/>
    <w:rsid w:val="5B540083"/>
    <w:rsid w:val="5B5419FF"/>
    <w:rsid w:val="5B57329D"/>
    <w:rsid w:val="5B590DC3"/>
    <w:rsid w:val="5B5B0FE0"/>
    <w:rsid w:val="5B6339F0"/>
    <w:rsid w:val="5B642549"/>
    <w:rsid w:val="5B667984"/>
    <w:rsid w:val="5B6836FC"/>
    <w:rsid w:val="5B694D7F"/>
    <w:rsid w:val="5B6A1CBE"/>
    <w:rsid w:val="5B6F3FE4"/>
    <w:rsid w:val="5B707C36"/>
    <w:rsid w:val="5B770094"/>
    <w:rsid w:val="5B7A23C5"/>
    <w:rsid w:val="5B7B2587"/>
    <w:rsid w:val="5B7F3AD9"/>
    <w:rsid w:val="5B8305C0"/>
    <w:rsid w:val="5B83537B"/>
    <w:rsid w:val="5B8A3FCD"/>
    <w:rsid w:val="5B8D4F11"/>
    <w:rsid w:val="5B8D6CBF"/>
    <w:rsid w:val="5B8F1FEB"/>
    <w:rsid w:val="5B8F2A37"/>
    <w:rsid w:val="5B921F4F"/>
    <w:rsid w:val="5B9404C9"/>
    <w:rsid w:val="5B9608D0"/>
    <w:rsid w:val="5B991B08"/>
    <w:rsid w:val="5B9E0ECC"/>
    <w:rsid w:val="5BA159E3"/>
    <w:rsid w:val="5BA81D4B"/>
    <w:rsid w:val="5BA835D7"/>
    <w:rsid w:val="5BB40180"/>
    <w:rsid w:val="5BBE331C"/>
    <w:rsid w:val="5BC5369D"/>
    <w:rsid w:val="5BC64949"/>
    <w:rsid w:val="5BC76675"/>
    <w:rsid w:val="5BC7741A"/>
    <w:rsid w:val="5BC85F49"/>
    <w:rsid w:val="5BCA3A6F"/>
    <w:rsid w:val="5BCD1E2F"/>
    <w:rsid w:val="5BCF552A"/>
    <w:rsid w:val="5BCF7320"/>
    <w:rsid w:val="5BD45495"/>
    <w:rsid w:val="5BE54488"/>
    <w:rsid w:val="5BE977BF"/>
    <w:rsid w:val="5BEA4111"/>
    <w:rsid w:val="5BEA5E34"/>
    <w:rsid w:val="5BF35139"/>
    <w:rsid w:val="5BF5277C"/>
    <w:rsid w:val="5BFF1E2F"/>
    <w:rsid w:val="5C05719D"/>
    <w:rsid w:val="5C080BF2"/>
    <w:rsid w:val="5C0827EA"/>
    <w:rsid w:val="5C14118E"/>
    <w:rsid w:val="5C1D0043"/>
    <w:rsid w:val="5C245875"/>
    <w:rsid w:val="5C270BFC"/>
    <w:rsid w:val="5C2C472A"/>
    <w:rsid w:val="5C2F5FC8"/>
    <w:rsid w:val="5C325071"/>
    <w:rsid w:val="5C3435DF"/>
    <w:rsid w:val="5C34586C"/>
    <w:rsid w:val="5C3D06E5"/>
    <w:rsid w:val="5C3D6937"/>
    <w:rsid w:val="5C451D35"/>
    <w:rsid w:val="5C492F62"/>
    <w:rsid w:val="5C4C26D6"/>
    <w:rsid w:val="5C4C6B7A"/>
    <w:rsid w:val="5C58551F"/>
    <w:rsid w:val="5C5930BB"/>
    <w:rsid w:val="5C5D0276"/>
    <w:rsid w:val="5C5D3B6B"/>
    <w:rsid w:val="5C65711F"/>
    <w:rsid w:val="5C6739B4"/>
    <w:rsid w:val="5C696E74"/>
    <w:rsid w:val="5C6A7000"/>
    <w:rsid w:val="5C6E0BD2"/>
    <w:rsid w:val="5C6E6AF1"/>
    <w:rsid w:val="5C702869"/>
    <w:rsid w:val="5C730E0D"/>
    <w:rsid w:val="5C7834CB"/>
    <w:rsid w:val="5C7A36E7"/>
    <w:rsid w:val="5C7D6D34"/>
    <w:rsid w:val="5C841E70"/>
    <w:rsid w:val="5C89392A"/>
    <w:rsid w:val="5C8956D8"/>
    <w:rsid w:val="5C9A1694"/>
    <w:rsid w:val="5C9D42AD"/>
    <w:rsid w:val="5CA66E29"/>
    <w:rsid w:val="5CA70254"/>
    <w:rsid w:val="5CAF2C65"/>
    <w:rsid w:val="5CB015DB"/>
    <w:rsid w:val="5CB021FB"/>
    <w:rsid w:val="5CB87D6C"/>
    <w:rsid w:val="5CC06027"/>
    <w:rsid w:val="5CC46711"/>
    <w:rsid w:val="5CD01559"/>
    <w:rsid w:val="5CD10E2D"/>
    <w:rsid w:val="5CD375BA"/>
    <w:rsid w:val="5CEB6393"/>
    <w:rsid w:val="5CED76AF"/>
    <w:rsid w:val="5CEE19DF"/>
    <w:rsid w:val="5CEE378D"/>
    <w:rsid w:val="5CF039A9"/>
    <w:rsid w:val="5CF173CB"/>
    <w:rsid w:val="5CF367DB"/>
    <w:rsid w:val="5CF4687F"/>
    <w:rsid w:val="5CF51716"/>
    <w:rsid w:val="5CF80AB0"/>
    <w:rsid w:val="5D0134C1"/>
    <w:rsid w:val="5D0336DD"/>
    <w:rsid w:val="5D034364"/>
    <w:rsid w:val="5D0B1BED"/>
    <w:rsid w:val="5D1612AB"/>
    <w:rsid w:val="5D1859F9"/>
    <w:rsid w:val="5D1A4582"/>
    <w:rsid w:val="5D1C2B72"/>
    <w:rsid w:val="5D1C479E"/>
    <w:rsid w:val="5D23703E"/>
    <w:rsid w:val="5D342320"/>
    <w:rsid w:val="5D3513BC"/>
    <w:rsid w:val="5D37598E"/>
    <w:rsid w:val="5D3C49D9"/>
    <w:rsid w:val="5D447851"/>
    <w:rsid w:val="5D4B6E32"/>
    <w:rsid w:val="5D600B2F"/>
    <w:rsid w:val="5D6121B1"/>
    <w:rsid w:val="5D680A7D"/>
    <w:rsid w:val="5D6C4425"/>
    <w:rsid w:val="5D6E0CD9"/>
    <w:rsid w:val="5D722610"/>
    <w:rsid w:val="5D7734CC"/>
    <w:rsid w:val="5D775E79"/>
    <w:rsid w:val="5D790AD7"/>
    <w:rsid w:val="5D804D2D"/>
    <w:rsid w:val="5D812854"/>
    <w:rsid w:val="5D83037A"/>
    <w:rsid w:val="5D84392E"/>
    <w:rsid w:val="5D8440F2"/>
    <w:rsid w:val="5D891708"/>
    <w:rsid w:val="5D8C2B4C"/>
    <w:rsid w:val="5D8D11F8"/>
    <w:rsid w:val="5D944335"/>
    <w:rsid w:val="5D9702C9"/>
    <w:rsid w:val="5DA9751B"/>
    <w:rsid w:val="5DAF1585"/>
    <w:rsid w:val="5DB42C29"/>
    <w:rsid w:val="5DB669A1"/>
    <w:rsid w:val="5DBB5A68"/>
    <w:rsid w:val="5DBB5D65"/>
    <w:rsid w:val="5DC07E6F"/>
    <w:rsid w:val="5DC11C51"/>
    <w:rsid w:val="5DC170F4"/>
    <w:rsid w:val="5DC50992"/>
    <w:rsid w:val="5DC56BE4"/>
    <w:rsid w:val="5DC818E3"/>
    <w:rsid w:val="5DC82230"/>
    <w:rsid w:val="5DC866D4"/>
    <w:rsid w:val="5DCA41FA"/>
    <w:rsid w:val="5DCD5A99"/>
    <w:rsid w:val="5DD15771"/>
    <w:rsid w:val="5DDC3F2E"/>
    <w:rsid w:val="5DDD759A"/>
    <w:rsid w:val="5DE352BC"/>
    <w:rsid w:val="5DEC4171"/>
    <w:rsid w:val="5DF01268"/>
    <w:rsid w:val="5DF15728"/>
    <w:rsid w:val="5DF55830"/>
    <w:rsid w:val="5DF823D9"/>
    <w:rsid w:val="5DFB7343"/>
    <w:rsid w:val="5DFC5C02"/>
    <w:rsid w:val="5DFD1054"/>
    <w:rsid w:val="5E0105E4"/>
    <w:rsid w:val="5E0169F9"/>
    <w:rsid w:val="5E086AD1"/>
    <w:rsid w:val="5E0A5621"/>
    <w:rsid w:val="5E0D2339"/>
    <w:rsid w:val="5E115985"/>
    <w:rsid w:val="5E147DF5"/>
    <w:rsid w:val="5E1611EE"/>
    <w:rsid w:val="5E162F9C"/>
    <w:rsid w:val="5E1B2499"/>
    <w:rsid w:val="5E1D53F3"/>
    <w:rsid w:val="5E224037"/>
    <w:rsid w:val="5E2B736D"/>
    <w:rsid w:val="5E2C27BF"/>
    <w:rsid w:val="5E2F0501"/>
    <w:rsid w:val="5E2F4070"/>
    <w:rsid w:val="5E39312E"/>
    <w:rsid w:val="5E3D1B18"/>
    <w:rsid w:val="5E452D61"/>
    <w:rsid w:val="5E4633AF"/>
    <w:rsid w:val="5E472D79"/>
    <w:rsid w:val="5E47584B"/>
    <w:rsid w:val="5E4C4C10"/>
    <w:rsid w:val="5E4E6BDA"/>
    <w:rsid w:val="5E5220DE"/>
    <w:rsid w:val="5E5341F0"/>
    <w:rsid w:val="5E56783C"/>
    <w:rsid w:val="5E59557E"/>
    <w:rsid w:val="5E5B30A5"/>
    <w:rsid w:val="5E5D0BCB"/>
    <w:rsid w:val="5E5D506F"/>
    <w:rsid w:val="5E6071EA"/>
    <w:rsid w:val="5E613920"/>
    <w:rsid w:val="5E622685"/>
    <w:rsid w:val="5E6B5B73"/>
    <w:rsid w:val="5E6D7555"/>
    <w:rsid w:val="5E6F40D7"/>
    <w:rsid w:val="5E714676"/>
    <w:rsid w:val="5E721390"/>
    <w:rsid w:val="5E72408D"/>
    <w:rsid w:val="5E761F1B"/>
    <w:rsid w:val="5E7B3747"/>
    <w:rsid w:val="5E7D74BF"/>
    <w:rsid w:val="5E7E2E48"/>
    <w:rsid w:val="5E8C7702"/>
    <w:rsid w:val="5E8E347A"/>
    <w:rsid w:val="5E8F3DCD"/>
    <w:rsid w:val="5E9F11E3"/>
    <w:rsid w:val="5EA30636"/>
    <w:rsid w:val="5EA95E17"/>
    <w:rsid w:val="5EAA6DDD"/>
    <w:rsid w:val="5EAC56AE"/>
    <w:rsid w:val="5EAE7678"/>
    <w:rsid w:val="5EB97DCB"/>
    <w:rsid w:val="5EC7073A"/>
    <w:rsid w:val="5EC836C0"/>
    <w:rsid w:val="5ECB647C"/>
    <w:rsid w:val="5ECF0AE7"/>
    <w:rsid w:val="5ED15115"/>
    <w:rsid w:val="5ED35331"/>
    <w:rsid w:val="5ED56A95"/>
    <w:rsid w:val="5EE237C6"/>
    <w:rsid w:val="5EE627D4"/>
    <w:rsid w:val="5EE6622C"/>
    <w:rsid w:val="5EE975A9"/>
    <w:rsid w:val="5EFB1345"/>
    <w:rsid w:val="5F0059FA"/>
    <w:rsid w:val="5F02037C"/>
    <w:rsid w:val="5F031561"/>
    <w:rsid w:val="5F0A1214"/>
    <w:rsid w:val="5F0A3E4D"/>
    <w:rsid w:val="5F0C6D6B"/>
    <w:rsid w:val="5F0E0117"/>
    <w:rsid w:val="5F16521D"/>
    <w:rsid w:val="5F196D9D"/>
    <w:rsid w:val="5F1C6CD8"/>
    <w:rsid w:val="5F2003BF"/>
    <w:rsid w:val="5F221E14"/>
    <w:rsid w:val="5F2636B2"/>
    <w:rsid w:val="5F28567D"/>
    <w:rsid w:val="5F2A6C45"/>
    <w:rsid w:val="5F446614"/>
    <w:rsid w:val="5F457D51"/>
    <w:rsid w:val="5F4678B1"/>
    <w:rsid w:val="5F477DE1"/>
    <w:rsid w:val="5F4821DF"/>
    <w:rsid w:val="5F49114F"/>
    <w:rsid w:val="5F4B7B56"/>
    <w:rsid w:val="5F510C68"/>
    <w:rsid w:val="5F5226F9"/>
    <w:rsid w:val="5F555D46"/>
    <w:rsid w:val="5F570514"/>
    <w:rsid w:val="5F57386C"/>
    <w:rsid w:val="5F577D10"/>
    <w:rsid w:val="5F594BAA"/>
    <w:rsid w:val="5F5E109E"/>
    <w:rsid w:val="5F604FDB"/>
    <w:rsid w:val="5F630463"/>
    <w:rsid w:val="5F670A5B"/>
    <w:rsid w:val="5F6B043D"/>
    <w:rsid w:val="5F6B7317"/>
    <w:rsid w:val="5F6D12E1"/>
    <w:rsid w:val="5F6D398F"/>
    <w:rsid w:val="5F6F24C5"/>
    <w:rsid w:val="5F7A755A"/>
    <w:rsid w:val="5F881C77"/>
    <w:rsid w:val="5F8A1E93"/>
    <w:rsid w:val="5F8B5C0B"/>
    <w:rsid w:val="5F8E0463"/>
    <w:rsid w:val="5F906D7E"/>
    <w:rsid w:val="5F922AF6"/>
    <w:rsid w:val="5F9920D6"/>
    <w:rsid w:val="5F9C5723"/>
    <w:rsid w:val="5FA10F8B"/>
    <w:rsid w:val="5FAA42E4"/>
    <w:rsid w:val="5FAC70AD"/>
    <w:rsid w:val="5FAE5456"/>
    <w:rsid w:val="5FAF0602"/>
    <w:rsid w:val="5FB031CA"/>
    <w:rsid w:val="5FBB14C9"/>
    <w:rsid w:val="5FCF3FEF"/>
    <w:rsid w:val="5FD2383A"/>
    <w:rsid w:val="5FD90725"/>
    <w:rsid w:val="5FDA624B"/>
    <w:rsid w:val="5FDF485F"/>
    <w:rsid w:val="5FE13A7D"/>
    <w:rsid w:val="5FEB4543"/>
    <w:rsid w:val="5FED0A26"/>
    <w:rsid w:val="5FF11F12"/>
    <w:rsid w:val="5FF6016C"/>
    <w:rsid w:val="5FF90DC7"/>
    <w:rsid w:val="5FFA441C"/>
    <w:rsid w:val="5FFC665E"/>
    <w:rsid w:val="60011A2A"/>
    <w:rsid w:val="600A7EB0"/>
    <w:rsid w:val="600C0AFA"/>
    <w:rsid w:val="60101380"/>
    <w:rsid w:val="601479AF"/>
    <w:rsid w:val="601530C7"/>
    <w:rsid w:val="601633A3"/>
    <w:rsid w:val="601D5BCF"/>
    <w:rsid w:val="6022294C"/>
    <w:rsid w:val="60254689"/>
    <w:rsid w:val="60261D3F"/>
    <w:rsid w:val="60275934"/>
    <w:rsid w:val="60285B2E"/>
    <w:rsid w:val="60291996"/>
    <w:rsid w:val="602A71D2"/>
    <w:rsid w:val="602D6CC3"/>
    <w:rsid w:val="602F3F48"/>
    <w:rsid w:val="60343BAD"/>
    <w:rsid w:val="6037393A"/>
    <w:rsid w:val="603B13E0"/>
    <w:rsid w:val="603B318E"/>
    <w:rsid w:val="604A63EF"/>
    <w:rsid w:val="604D2EC1"/>
    <w:rsid w:val="6051650D"/>
    <w:rsid w:val="60561D75"/>
    <w:rsid w:val="605F50F7"/>
    <w:rsid w:val="605F7185"/>
    <w:rsid w:val="60636240"/>
    <w:rsid w:val="6065020A"/>
    <w:rsid w:val="606918D0"/>
    <w:rsid w:val="606A75CF"/>
    <w:rsid w:val="606C33B1"/>
    <w:rsid w:val="606D13C6"/>
    <w:rsid w:val="607060DD"/>
    <w:rsid w:val="6079215B"/>
    <w:rsid w:val="607B17DC"/>
    <w:rsid w:val="60806DF2"/>
    <w:rsid w:val="608210E3"/>
    <w:rsid w:val="608233BF"/>
    <w:rsid w:val="60870181"/>
    <w:rsid w:val="608A1A1F"/>
    <w:rsid w:val="608C1C3B"/>
    <w:rsid w:val="609267E1"/>
    <w:rsid w:val="60932FCA"/>
    <w:rsid w:val="609472DB"/>
    <w:rsid w:val="60964868"/>
    <w:rsid w:val="609805E0"/>
    <w:rsid w:val="6098413C"/>
    <w:rsid w:val="60A531C2"/>
    <w:rsid w:val="60A56859"/>
    <w:rsid w:val="60A621C2"/>
    <w:rsid w:val="60AA0313"/>
    <w:rsid w:val="60AB59F5"/>
    <w:rsid w:val="60AC5E39"/>
    <w:rsid w:val="60AC7BE7"/>
    <w:rsid w:val="60B01B43"/>
    <w:rsid w:val="60B31A06"/>
    <w:rsid w:val="60B472BC"/>
    <w:rsid w:val="60B636C1"/>
    <w:rsid w:val="60B8658C"/>
    <w:rsid w:val="60BB2E4E"/>
    <w:rsid w:val="60C51BF1"/>
    <w:rsid w:val="60D86C2E"/>
    <w:rsid w:val="60E05AE3"/>
    <w:rsid w:val="60E16518"/>
    <w:rsid w:val="60E23609"/>
    <w:rsid w:val="60E57260"/>
    <w:rsid w:val="60EC6654"/>
    <w:rsid w:val="60EF62BC"/>
    <w:rsid w:val="61021EFD"/>
    <w:rsid w:val="61024E44"/>
    <w:rsid w:val="61076BE5"/>
    <w:rsid w:val="61096DE8"/>
    <w:rsid w:val="610A6BC4"/>
    <w:rsid w:val="610E43FE"/>
    <w:rsid w:val="610F1EF8"/>
    <w:rsid w:val="61103F09"/>
    <w:rsid w:val="61151C31"/>
    <w:rsid w:val="611B4D6D"/>
    <w:rsid w:val="611D27B3"/>
    <w:rsid w:val="611F2AAF"/>
    <w:rsid w:val="61204131"/>
    <w:rsid w:val="61250763"/>
    <w:rsid w:val="6126799A"/>
    <w:rsid w:val="612754C0"/>
    <w:rsid w:val="61295A93"/>
    <w:rsid w:val="612B4FB0"/>
    <w:rsid w:val="612C6F7A"/>
    <w:rsid w:val="613104DA"/>
    <w:rsid w:val="61355E2F"/>
    <w:rsid w:val="61371BA7"/>
    <w:rsid w:val="613B4FD5"/>
    <w:rsid w:val="613E5097"/>
    <w:rsid w:val="61427FED"/>
    <w:rsid w:val="61463634"/>
    <w:rsid w:val="614E5143"/>
    <w:rsid w:val="61504A17"/>
    <w:rsid w:val="615526DF"/>
    <w:rsid w:val="615C0572"/>
    <w:rsid w:val="615C785F"/>
    <w:rsid w:val="616B35FF"/>
    <w:rsid w:val="616B65FC"/>
    <w:rsid w:val="6170330B"/>
    <w:rsid w:val="61720E31"/>
    <w:rsid w:val="617811FA"/>
    <w:rsid w:val="617E7791"/>
    <w:rsid w:val="617E77D6"/>
    <w:rsid w:val="618162DA"/>
    <w:rsid w:val="61872E3A"/>
    <w:rsid w:val="61877599"/>
    <w:rsid w:val="61881C02"/>
    <w:rsid w:val="618C17C7"/>
    <w:rsid w:val="618D5C6B"/>
    <w:rsid w:val="61914040"/>
    <w:rsid w:val="619863BE"/>
    <w:rsid w:val="619C17A4"/>
    <w:rsid w:val="61A4070A"/>
    <w:rsid w:val="61A555E7"/>
    <w:rsid w:val="61A92379"/>
    <w:rsid w:val="61A93AD4"/>
    <w:rsid w:val="61AA0AEF"/>
    <w:rsid w:val="61B33ECC"/>
    <w:rsid w:val="61B84CA1"/>
    <w:rsid w:val="61BD221B"/>
    <w:rsid w:val="61C02E50"/>
    <w:rsid w:val="61C3343B"/>
    <w:rsid w:val="61C6117D"/>
    <w:rsid w:val="61C827FF"/>
    <w:rsid w:val="61D5316E"/>
    <w:rsid w:val="61D76EE6"/>
    <w:rsid w:val="61D90EB0"/>
    <w:rsid w:val="61DE2C95"/>
    <w:rsid w:val="61DE64C6"/>
    <w:rsid w:val="61E74E3F"/>
    <w:rsid w:val="61E909C7"/>
    <w:rsid w:val="61EA6C19"/>
    <w:rsid w:val="61EB0BE3"/>
    <w:rsid w:val="61ED12FA"/>
    <w:rsid w:val="61F249AE"/>
    <w:rsid w:val="61F71336"/>
    <w:rsid w:val="61F77588"/>
    <w:rsid w:val="61FB0E26"/>
    <w:rsid w:val="61FC1A44"/>
    <w:rsid w:val="61FD714E"/>
    <w:rsid w:val="61FE4473"/>
    <w:rsid w:val="61FE635C"/>
    <w:rsid w:val="62022DBF"/>
    <w:rsid w:val="62053A53"/>
    <w:rsid w:val="6208709F"/>
    <w:rsid w:val="62092E18"/>
    <w:rsid w:val="62097391"/>
    <w:rsid w:val="620E3C1E"/>
    <w:rsid w:val="620F042E"/>
    <w:rsid w:val="62126170"/>
    <w:rsid w:val="62143C96"/>
    <w:rsid w:val="6218367B"/>
    <w:rsid w:val="621912AD"/>
    <w:rsid w:val="621D245F"/>
    <w:rsid w:val="62265778"/>
    <w:rsid w:val="622933F6"/>
    <w:rsid w:val="6229697B"/>
    <w:rsid w:val="623325FE"/>
    <w:rsid w:val="62343A8E"/>
    <w:rsid w:val="62350B41"/>
    <w:rsid w:val="62361E5F"/>
    <w:rsid w:val="623954AB"/>
    <w:rsid w:val="623C143F"/>
    <w:rsid w:val="62465E1A"/>
    <w:rsid w:val="625041CD"/>
    <w:rsid w:val="625422E5"/>
    <w:rsid w:val="625642AF"/>
    <w:rsid w:val="625E7EFD"/>
    <w:rsid w:val="626559E9"/>
    <w:rsid w:val="62697E18"/>
    <w:rsid w:val="626D15F8"/>
    <w:rsid w:val="62764CD1"/>
    <w:rsid w:val="627666FF"/>
    <w:rsid w:val="62791D4B"/>
    <w:rsid w:val="627D5CDF"/>
    <w:rsid w:val="628D57F7"/>
    <w:rsid w:val="628E1C9B"/>
    <w:rsid w:val="6291178B"/>
    <w:rsid w:val="629149FC"/>
    <w:rsid w:val="62970423"/>
    <w:rsid w:val="629D3C8C"/>
    <w:rsid w:val="62A80882"/>
    <w:rsid w:val="62AD7C47"/>
    <w:rsid w:val="62AF0C48"/>
    <w:rsid w:val="62B2572A"/>
    <w:rsid w:val="62B62F9F"/>
    <w:rsid w:val="62B76D39"/>
    <w:rsid w:val="62B80B47"/>
    <w:rsid w:val="62B86D17"/>
    <w:rsid w:val="62C25536"/>
    <w:rsid w:val="62C3746A"/>
    <w:rsid w:val="62C51434"/>
    <w:rsid w:val="62C946C9"/>
    <w:rsid w:val="62C9714A"/>
    <w:rsid w:val="62CA25A7"/>
    <w:rsid w:val="62CC27C3"/>
    <w:rsid w:val="62CF2FBC"/>
    <w:rsid w:val="62D51161"/>
    <w:rsid w:val="62D51FDC"/>
    <w:rsid w:val="62D81168"/>
    <w:rsid w:val="62D81BBA"/>
    <w:rsid w:val="62D84CC4"/>
    <w:rsid w:val="62DA4EE0"/>
    <w:rsid w:val="62DA6460"/>
    <w:rsid w:val="62DE0626"/>
    <w:rsid w:val="62DF49A5"/>
    <w:rsid w:val="62F00BE4"/>
    <w:rsid w:val="62F022F5"/>
    <w:rsid w:val="62F277E6"/>
    <w:rsid w:val="62F66167"/>
    <w:rsid w:val="62F835B8"/>
    <w:rsid w:val="62FE04A2"/>
    <w:rsid w:val="630755A9"/>
    <w:rsid w:val="630930CF"/>
    <w:rsid w:val="63125818"/>
    <w:rsid w:val="63147CC6"/>
    <w:rsid w:val="63177590"/>
    <w:rsid w:val="631B72A6"/>
    <w:rsid w:val="632223E3"/>
    <w:rsid w:val="63251ED3"/>
    <w:rsid w:val="63260125"/>
    <w:rsid w:val="632779F9"/>
    <w:rsid w:val="632A741F"/>
    <w:rsid w:val="632D2297"/>
    <w:rsid w:val="632E7C88"/>
    <w:rsid w:val="633220A8"/>
    <w:rsid w:val="633321C7"/>
    <w:rsid w:val="633D0FCB"/>
    <w:rsid w:val="633E43E9"/>
    <w:rsid w:val="63426E07"/>
    <w:rsid w:val="63542243"/>
    <w:rsid w:val="635527B8"/>
    <w:rsid w:val="6356208C"/>
    <w:rsid w:val="635736CC"/>
    <w:rsid w:val="635C3B47"/>
    <w:rsid w:val="635D6CDA"/>
    <w:rsid w:val="63604CB9"/>
    <w:rsid w:val="636671CA"/>
    <w:rsid w:val="636D11AD"/>
    <w:rsid w:val="6372336A"/>
    <w:rsid w:val="637569B7"/>
    <w:rsid w:val="637644DD"/>
    <w:rsid w:val="637B1AF3"/>
    <w:rsid w:val="637C2B6A"/>
    <w:rsid w:val="637C31BE"/>
    <w:rsid w:val="637D1D0F"/>
    <w:rsid w:val="637F3391"/>
    <w:rsid w:val="63802FCE"/>
    <w:rsid w:val="63813C72"/>
    <w:rsid w:val="638304BF"/>
    <w:rsid w:val="638766EA"/>
    <w:rsid w:val="63894210"/>
    <w:rsid w:val="6390490C"/>
    <w:rsid w:val="63955ED3"/>
    <w:rsid w:val="639F3A33"/>
    <w:rsid w:val="63A676B2"/>
    <w:rsid w:val="63B219B9"/>
    <w:rsid w:val="63B75221"/>
    <w:rsid w:val="63B8083F"/>
    <w:rsid w:val="63B84AF5"/>
    <w:rsid w:val="63BA086D"/>
    <w:rsid w:val="63BC45E5"/>
    <w:rsid w:val="63C30268"/>
    <w:rsid w:val="63C65464"/>
    <w:rsid w:val="63C96D02"/>
    <w:rsid w:val="63CC4651"/>
    <w:rsid w:val="63D23E09"/>
    <w:rsid w:val="63D3192F"/>
    <w:rsid w:val="63D35447"/>
    <w:rsid w:val="63DD0B1A"/>
    <w:rsid w:val="63DF6526"/>
    <w:rsid w:val="63E31B72"/>
    <w:rsid w:val="63E94CAF"/>
    <w:rsid w:val="63E95936"/>
    <w:rsid w:val="63F006F8"/>
    <w:rsid w:val="63F41DF6"/>
    <w:rsid w:val="63F43164"/>
    <w:rsid w:val="64037466"/>
    <w:rsid w:val="64066480"/>
    <w:rsid w:val="64153CF6"/>
    <w:rsid w:val="64195594"/>
    <w:rsid w:val="641B5F97"/>
    <w:rsid w:val="642503DD"/>
    <w:rsid w:val="642709DA"/>
    <w:rsid w:val="642A0B92"/>
    <w:rsid w:val="64300B2F"/>
    <w:rsid w:val="643A375C"/>
    <w:rsid w:val="643A7875"/>
    <w:rsid w:val="643C5617"/>
    <w:rsid w:val="644545DB"/>
    <w:rsid w:val="64500184"/>
    <w:rsid w:val="64520AA6"/>
    <w:rsid w:val="64547F03"/>
    <w:rsid w:val="645F087C"/>
    <w:rsid w:val="64602371"/>
    <w:rsid w:val="64656A2B"/>
    <w:rsid w:val="64671727"/>
    <w:rsid w:val="646C600B"/>
    <w:rsid w:val="64721148"/>
    <w:rsid w:val="647548B5"/>
    <w:rsid w:val="647A4AC8"/>
    <w:rsid w:val="647B56A8"/>
    <w:rsid w:val="647B624F"/>
    <w:rsid w:val="647D2AA5"/>
    <w:rsid w:val="647F336D"/>
    <w:rsid w:val="6481138B"/>
    <w:rsid w:val="64813139"/>
    <w:rsid w:val="649015CE"/>
    <w:rsid w:val="64935200"/>
    <w:rsid w:val="64971E0A"/>
    <w:rsid w:val="649B41FB"/>
    <w:rsid w:val="64A439AF"/>
    <w:rsid w:val="64B50076"/>
    <w:rsid w:val="64B6783E"/>
    <w:rsid w:val="64B90B25"/>
    <w:rsid w:val="64BB489D"/>
    <w:rsid w:val="64BF421D"/>
    <w:rsid w:val="64C33752"/>
    <w:rsid w:val="64C92069"/>
    <w:rsid w:val="64CA00D8"/>
    <w:rsid w:val="64D36B3A"/>
    <w:rsid w:val="64D678D3"/>
    <w:rsid w:val="64D83EA9"/>
    <w:rsid w:val="64DB4F3F"/>
    <w:rsid w:val="64DC75AE"/>
    <w:rsid w:val="64DD0CB7"/>
    <w:rsid w:val="64E33DF4"/>
    <w:rsid w:val="64E738E4"/>
    <w:rsid w:val="64EC2CA8"/>
    <w:rsid w:val="64F14763"/>
    <w:rsid w:val="64F63B27"/>
    <w:rsid w:val="64FB189E"/>
    <w:rsid w:val="64FC4F2D"/>
    <w:rsid w:val="64FF0C2E"/>
    <w:rsid w:val="65075D34"/>
    <w:rsid w:val="6510147D"/>
    <w:rsid w:val="651017FB"/>
    <w:rsid w:val="65130235"/>
    <w:rsid w:val="65197815"/>
    <w:rsid w:val="651B358E"/>
    <w:rsid w:val="6526277C"/>
    <w:rsid w:val="65275558"/>
    <w:rsid w:val="65287D28"/>
    <w:rsid w:val="652C579B"/>
    <w:rsid w:val="652F2B95"/>
    <w:rsid w:val="65313307"/>
    <w:rsid w:val="653E102A"/>
    <w:rsid w:val="65446953"/>
    <w:rsid w:val="6545060B"/>
    <w:rsid w:val="65457DE3"/>
    <w:rsid w:val="6546685C"/>
    <w:rsid w:val="65515201"/>
    <w:rsid w:val="655553D6"/>
    <w:rsid w:val="655A1605"/>
    <w:rsid w:val="655D3BA6"/>
    <w:rsid w:val="6562079B"/>
    <w:rsid w:val="65624D19"/>
    <w:rsid w:val="65644F35"/>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14E14"/>
    <w:rsid w:val="6595362A"/>
    <w:rsid w:val="65960E66"/>
    <w:rsid w:val="65962139"/>
    <w:rsid w:val="6598698C"/>
    <w:rsid w:val="659E5E1D"/>
    <w:rsid w:val="65A45331"/>
    <w:rsid w:val="65A672FB"/>
    <w:rsid w:val="65A76BCF"/>
    <w:rsid w:val="65A83F96"/>
    <w:rsid w:val="65AB66C0"/>
    <w:rsid w:val="65AF6DA2"/>
    <w:rsid w:val="65B116C2"/>
    <w:rsid w:val="65B47423"/>
    <w:rsid w:val="65B85280"/>
    <w:rsid w:val="65BA6903"/>
    <w:rsid w:val="65BC6B1F"/>
    <w:rsid w:val="65C37EAD"/>
    <w:rsid w:val="65C43C25"/>
    <w:rsid w:val="65C9123C"/>
    <w:rsid w:val="65CD1D2A"/>
    <w:rsid w:val="65CF5077"/>
    <w:rsid w:val="65D200F0"/>
    <w:rsid w:val="65D5198E"/>
    <w:rsid w:val="65D57BE0"/>
    <w:rsid w:val="65D976D1"/>
    <w:rsid w:val="65DC2D1D"/>
    <w:rsid w:val="65DC4A6D"/>
    <w:rsid w:val="65F00576"/>
    <w:rsid w:val="65F71905"/>
    <w:rsid w:val="65F77B57"/>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1369A"/>
    <w:rsid w:val="662326FA"/>
    <w:rsid w:val="6624363C"/>
    <w:rsid w:val="66246472"/>
    <w:rsid w:val="662514FE"/>
    <w:rsid w:val="66287D10"/>
    <w:rsid w:val="66293A88"/>
    <w:rsid w:val="662B0738"/>
    <w:rsid w:val="662B2E29"/>
    <w:rsid w:val="662D3A2A"/>
    <w:rsid w:val="662F646C"/>
    <w:rsid w:val="66300E23"/>
    <w:rsid w:val="6635026F"/>
    <w:rsid w:val="663568D1"/>
    <w:rsid w:val="6639016F"/>
    <w:rsid w:val="663E65EC"/>
    <w:rsid w:val="66413ADD"/>
    <w:rsid w:val="664D7777"/>
    <w:rsid w:val="664F349C"/>
    <w:rsid w:val="66524D8D"/>
    <w:rsid w:val="66535EF2"/>
    <w:rsid w:val="66551508"/>
    <w:rsid w:val="6655487D"/>
    <w:rsid w:val="66574AF4"/>
    <w:rsid w:val="665A18DD"/>
    <w:rsid w:val="666128F2"/>
    <w:rsid w:val="66630D48"/>
    <w:rsid w:val="6664518E"/>
    <w:rsid w:val="666920D7"/>
    <w:rsid w:val="666B22F3"/>
    <w:rsid w:val="666D1BC7"/>
    <w:rsid w:val="66742F55"/>
    <w:rsid w:val="66763171"/>
    <w:rsid w:val="667A1D40"/>
    <w:rsid w:val="667B0788"/>
    <w:rsid w:val="66860EDB"/>
    <w:rsid w:val="66887883"/>
    <w:rsid w:val="668A0DFC"/>
    <w:rsid w:val="668D2269"/>
    <w:rsid w:val="668F4233"/>
    <w:rsid w:val="66910A69"/>
    <w:rsid w:val="669C06FE"/>
    <w:rsid w:val="669C425A"/>
    <w:rsid w:val="66AB0941"/>
    <w:rsid w:val="66AD290B"/>
    <w:rsid w:val="66AE7F8C"/>
    <w:rsid w:val="66B22249"/>
    <w:rsid w:val="66B26720"/>
    <w:rsid w:val="66B315D7"/>
    <w:rsid w:val="66BC0B99"/>
    <w:rsid w:val="66C10C37"/>
    <w:rsid w:val="66C11F13"/>
    <w:rsid w:val="66C173B3"/>
    <w:rsid w:val="66D25ECE"/>
    <w:rsid w:val="66D44878"/>
    <w:rsid w:val="66DC49E0"/>
    <w:rsid w:val="66DF3359"/>
    <w:rsid w:val="66E16111"/>
    <w:rsid w:val="66E31994"/>
    <w:rsid w:val="66E31E89"/>
    <w:rsid w:val="66E55A46"/>
    <w:rsid w:val="66E77BCB"/>
    <w:rsid w:val="66E84077"/>
    <w:rsid w:val="66EF082E"/>
    <w:rsid w:val="66F76737"/>
    <w:rsid w:val="66F81DD8"/>
    <w:rsid w:val="66FF0F75"/>
    <w:rsid w:val="67025518"/>
    <w:rsid w:val="67050051"/>
    <w:rsid w:val="670D6F06"/>
    <w:rsid w:val="670E33AA"/>
    <w:rsid w:val="671000BB"/>
    <w:rsid w:val="67115D74"/>
    <w:rsid w:val="67157E68"/>
    <w:rsid w:val="671D539B"/>
    <w:rsid w:val="671D76DA"/>
    <w:rsid w:val="671E7365"/>
    <w:rsid w:val="671F424D"/>
    <w:rsid w:val="67220C03"/>
    <w:rsid w:val="6727446C"/>
    <w:rsid w:val="67277FC8"/>
    <w:rsid w:val="672A3F5C"/>
    <w:rsid w:val="67386535"/>
    <w:rsid w:val="673B1940"/>
    <w:rsid w:val="673C56F2"/>
    <w:rsid w:val="673F4E79"/>
    <w:rsid w:val="67405E3E"/>
    <w:rsid w:val="67427FD5"/>
    <w:rsid w:val="674566A0"/>
    <w:rsid w:val="67492634"/>
    <w:rsid w:val="674B7605"/>
    <w:rsid w:val="674E6DCA"/>
    <w:rsid w:val="675130E9"/>
    <w:rsid w:val="675C418F"/>
    <w:rsid w:val="67654F94"/>
    <w:rsid w:val="67674868"/>
    <w:rsid w:val="676905E0"/>
    <w:rsid w:val="676953BD"/>
    <w:rsid w:val="676F5D1D"/>
    <w:rsid w:val="676F6A57"/>
    <w:rsid w:val="677156E7"/>
    <w:rsid w:val="6785559A"/>
    <w:rsid w:val="67926549"/>
    <w:rsid w:val="67963BF2"/>
    <w:rsid w:val="67A55390"/>
    <w:rsid w:val="67A862E1"/>
    <w:rsid w:val="67AB0BF9"/>
    <w:rsid w:val="67AC2BC3"/>
    <w:rsid w:val="67AF6668"/>
    <w:rsid w:val="67B37E70"/>
    <w:rsid w:val="67BB5FF3"/>
    <w:rsid w:val="67BC1058"/>
    <w:rsid w:val="67C1666E"/>
    <w:rsid w:val="67C77C3C"/>
    <w:rsid w:val="67C95523"/>
    <w:rsid w:val="67CA646D"/>
    <w:rsid w:val="67CB129B"/>
    <w:rsid w:val="67CB2FB9"/>
    <w:rsid w:val="67CC6DC1"/>
    <w:rsid w:val="67CF6FEC"/>
    <w:rsid w:val="67D87514"/>
    <w:rsid w:val="67DA758D"/>
    <w:rsid w:val="67DD2D7C"/>
    <w:rsid w:val="67DE063C"/>
    <w:rsid w:val="67DF6AF4"/>
    <w:rsid w:val="67E1286C"/>
    <w:rsid w:val="67E61677"/>
    <w:rsid w:val="67E61C31"/>
    <w:rsid w:val="67E61E8E"/>
    <w:rsid w:val="67E8319D"/>
    <w:rsid w:val="67EC1211"/>
    <w:rsid w:val="67EC2CD6"/>
    <w:rsid w:val="67ED7463"/>
    <w:rsid w:val="67EE2A82"/>
    <w:rsid w:val="67F325A0"/>
    <w:rsid w:val="67F37E61"/>
    <w:rsid w:val="67F46030"/>
    <w:rsid w:val="67F51E74"/>
    <w:rsid w:val="67FC1454"/>
    <w:rsid w:val="68102598"/>
    <w:rsid w:val="68126ECA"/>
    <w:rsid w:val="6814385F"/>
    <w:rsid w:val="68181876"/>
    <w:rsid w:val="6818677F"/>
    <w:rsid w:val="681A7B2C"/>
    <w:rsid w:val="68246BFD"/>
    <w:rsid w:val="68281FD9"/>
    <w:rsid w:val="682D7860"/>
    <w:rsid w:val="682E5386"/>
    <w:rsid w:val="683D1E50"/>
    <w:rsid w:val="68456BA0"/>
    <w:rsid w:val="684828EC"/>
    <w:rsid w:val="68511756"/>
    <w:rsid w:val="685272C6"/>
    <w:rsid w:val="68555008"/>
    <w:rsid w:val="685B53D9"/>
    <w:rsid w:val="685C7E37"/>
    <w:rsid w:val="68642A92"/>
    <w:rsid w:val="68660FC4"/>
    <w:rsid w:val="68692862"/>
    <w:rsid w:val="68701E42"/>
    <w:rsid w:val="687116BB"/>
    <w:rsid w:val="68717D20"/>
    <w:rsid w:val="6873755D"/>
    <w:rsid w:val="68751207"/>
    <w:rsid w:val="68772311"/>
    <w:rsid w:val="687D72E3"/>
    <w:rsid w:val="688651C2"/>
    <w:rsid w:val="68896A60"/>
    <w:rsid w:val="68921DB9"/>
    <w:rsid w:val="6895013B"/>
    <w:rsid w:val="689A5CE6"/>
    <w:rsid w:val="689B046A"/>
    <w:rsid w:val="689B6EBF"/>
    <w:rsid w:val="68A044D6"/>
    <w:rsid w:val="68A90D75"/>
    <w:rsid w:val="68AF296B"/>
    <w:rsid w:val="68AF38B3"/>
    <w:rsid w:val="68B914D8"/>
    <w:rsid w:val="68BA4E6C"/>
    <w:rsid w:val="68BC0BE4"/>
    <w:rsid w:val="68BE495C"/>
    <w:rsid w:val="68C146F5"/>
    <w:rsid w:val="68C87588"/>
    <w:rsid w:val="68CA3301"/>
    <w:rsid w:val="68CB0E27"/>
    <w:rsid w:val="68D0643D"/>
    <w:rsid w:val="68D43089"/>
    <w:rsid w:val="68D73C6F"/>
    <w:rsid w:val="68D83BF1"/>
    <w:rsid w:val="68E5638C"/>
    <w:rsid w:val="68F4037D"/>
    <w:rsid w:val="68F44821"/>
    <w:rsid w:val="68F62348"/>
    <w:rsid w:val="68F71C1C"/>
    <w:rsid w:val="68F949C9"/>
    <w:rsid w:val="68FB170C"/>
    <w:rsid w:val="69012E9C"/>
    <w:rsid w:val="69054339"/>
    <w:rsid w:val="69076303"/>
    <w:rsid w:val="6908207B"/>
    <w:rsid w:val="69110F2F"/>
    <w:rsid w:val="6911150F"/>
    <w:rsid w:val="6916037F"/>
    <w:rsid w:val="691E44A1"/>
    <w:rsid w:val="693115D2"/>
    <w:rsid w:val="69313380"/>
    <w:rsid w:val="6938470E"/>
    <w:rsid w:val="693B1943"/>
    <w:rsid w:val="693B767D"/>
    <w:rsid w:val="693C125C"/>
    <w:rsid w:val="693D6EC8"/>
    <w:rsid w:val="6940217B"/>
    <w:rsid w:val="69412EA5"/>
    <w:rsid w:val="694806C9"/>
    <w:rsid w:val="694A61EF"/>
    <w:rsid w:val="69620B1A"/>
    <w:rsid w:val="69652C31"/>
    <w:rsid w:val="69670B4F"/>
    <w:rsid w:val="69675EB2"/>
    <w:rsid w:val="696E6382"/>
    <w:rsid w:val="696F5C56"/>
    <w:rsid w:val="69787200"/>
    <w:rsid w:val="69790883"/>
    <w:rsid w:val="697A2F79"/>
    <w:rsid w:val="697B3329"/>
    <w:rsid w:val="698066FB"/>
    <w:rsid w:val="69842CB6"/>
    <w:rsid w:val="69886D18"/>
    <w:rsid w:val="698D7239"/>
    <w:rsid w:val="698E70D4"/>
    <w:rsid w:val="6990454A"/>
    <w:rsid w:val="69955479"/>
    <w:rsid w:val="69967687"/>
    <w:rsid w:val="69972FAF"/>
    <w:rsid w:val="69990F25"/>
    <w:rsid w:val="699D27C3"/>
    <w:rsid w:val="699F7F40"/>
    <w:rsid w:val="69AC2A06"/>
    <w:rsid w:val="69AE49D0"/>
    <w:rsid w:val="69B32A46"/>
    <w:rsid w:val="69B3641C"/>
    <w:rsid w:val="69B74EA2"/>
    <w:rsid w:val="69B921BA"/>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95A08"/>
    <w:rsid w:val="69EA2F3F"/>
    <w:rsid w:val="69EB1E27"/>
    <w:rsid w:val="69ED735F"/>
    <w:rsid w:val="69F12B0F"/>
    <w:rsid w:val="69F35510"/>
    <w:rsid w:val="69F61ED3"/>
    <w:rsid w:val="69F76702"/>
    <w:rsid w:val="69F82F56"/>
    <w:rsid w:val="69F85FA8"/>
    <w:rsid w:val="69F961FB"/>
    <w:rsid w:val="69FD7706"/>
    <w:rsid w:val="69FD788E"/>
    <w:rsid w:val="6A065125"/>
    <w:rsid w:val="6A093665"/>
    <w:rsid w:val="6A123626"/>
    <w:rsid w:val="6A164324"/>
    <w:rsid w:val="6A211646"/>
    <w:rsid w:val="6A222CC8"/>
    <w:rsid w:val="6A246A40"/>
    <w:rsid w:val="6A2904FB"/>
    <w:rsid w:val="6A2C5D71"/>
    <w:rsid w:val="6A2F2373"/>
    <w:rsid w:val="6A3271BD"/>
    <w:rsid w:val="6A376DCB"/>
    <w:rsid w:val="6A383046"/>
    <w:rsid w:val="6A3A44B6"/>
    <w:rsid w:val="6A3C1FDC"/>
    <w:rsid w:val="6A3D3FA6"/>
    <w:rsid w:val="6A452A79"/>
    <w:rsid w:val="6A462E5B"/>
    <w:rsid w:val="6A4D4876"/>
    <w:rsid w:val="6A4E5556"/>
    <w:rsid w:val="6A505A87"/>
    <w:rsid w:val="6A544296"/>
    <w:rsid w:val="6A5A10FF"/>
    <w:rsid w:val="6A5F216E"/>
    <w:rsid w:val="6A627569"/>
    <w:rsid w:val="6A656D12"/>
    <w:rsid w:val="6A6A02D6"/>
    <w:rsid w:val="6A6E5F0E"/>
    <w:rsid w:val="6A6F59EB"/>
    <w:rsid w:val="6A750417"/>
    <w:rsid w:val="6A7F011B"/>
    <w:rsid w:val="6A816C46"/>
    <w:rsid w:val="6A821DC2"/>
    <w:rsid w:val="6A8448EC"/>
    <w:rsid w:val="6A86139C"/>
    <w:rsid w:val="6A895812"/>
    <w:rsid w:val="6A8C3AEA"/>
    <w:rsid w:val="6A8D21F3"/>
    <w:rsid w:val="6A902328"/>
    <w:rsid w:val="6A927E4E"/>
    <w:rsid w:val="6A927F39"/>
    <w:rsid w:val="6A981669"/>
    <w:rsid w:val="6A986382"/>
    <w:rsid w:val="6A9B5529"/>
    <w:rsid w:val="6A9D2977"/>
    <w:rsid w:val="6AA302AD"/>
    <w:rsid w:val="6AA3205B"/>
    <w:rsid w:val="6AA539BB"/>
    <w:rsid w:val="6AA60986"/>
    <w:rsid w:val="6AA77654"/>
    <w:rsid w:val="6AAD1AE8"/>
    <w:rsid w:val="6AB51A05"/>
    <w:rsid w:val="6AB9187F"/>
    <w:rsid w:val="6ABA028C"/>
    <w:rsid w:val="6ABA55F7"/>
    <w:rsid w:val="6ABD34FB"/>
    <w:rsid w:val="6ABF7FD4"/>
    <w:rsid w:val="6AC03EA6"/>
    <w:rsid w:val="6AC10FD5"/>
    <w:rsid w:val="6AC12A02"/>
    <w:rsid w:val="6AC233DC"/>
    <w:rsid w:val="6AC36259"/>
    <w:rsid w:val="6AC742BD"/>
    <w:rsid w:val="6AD94A35"/>
    <w:rsid w:val="6AE11EAC"/>
    <w:rsid w:val="6AE508C6"/>
    <w:rsid w:val="6AE8159D"/>
    <w:rsid w:val="6AED777A"/>
    <w:rsid w:val="6AEF34F2"/>
    <w:rsid w:val="6AFD1B09"/>
    <w:rsid w:val="6B00773B"/>
    <w:rsid w:val="6B043EEA"/>
    <w:rsid w:val="6B0F76F1"/>
    <w:rsid w:val="6B102E58"/>
    <w:rsid w:val="6B1116BB"/>
    <w:rsid w:val="6B113469"/>
    <w:rsid w:val="6B1362C5"/>
    <w:rsid w:val="6B154A35"/>
    <w:rsid w:val="6B19231D"/>
    <w:rsid w:val="6B1D005F"/>
    <w:rsid w:val="6B1D0454"/>
    <w:rsid w:val="6B21439B"/>
    <w:rsid w:val="6B217424"/>
    <w:rsid w:val="6B2632AB"/>
    <w:rsid w:val="6B2A62D8"/>
    <w:rsid w:val="6B2D401B"/>
    <w:rsid w:val="6B2D7B77"/>
    <w:rsid w:val="6B303BBD"/>
    <w:rsid w:val="6B3042FF"/>
    <w:rsid w:val="6B3158B9"/>
    <w:rsid w:val="6B3C7DBA"/>
    <w:rsid w:val="6B403D4E"/>
    <w:rsid w:val="6B4D1601"/>
    <w:rsid w:val="6B5B46E4"/>
    <w:rsid w:val="6B5C045C"/>
    <w:rsid w:val="6B604D90"/>
    <w:rsid w:val="6B621EAA"/>
    <w:rsid w:val="6B642F9C"/>
    <w:rsid w:val="6B686E01"/>
    <w:rsid w:val="6B804A53"/>
    <w:rsid w:val="6B855A2C"/>
    <w:rsid w:val="6B855C05"/>
    <w:rsid w:val="6B9249B8"/>
    <w:rsid w:val="6BA51E03"/>
    <w:rsid w:val="6BA73F43"/>
    <w:rsid w:val="6BAE0CB8"/>
    <w:rsid w:val="6BB92906"/>
    <w:rsid w:val="6BBA1E60"/>
    <w:rsid w:val="6BBD40E6"/>
    <w:rsid w:val="6BC77FCB"/>
    <w:rsid w:val="6BD24BEE"/>
    <w:rsid w:val="6BD36970"/>
    <w:rsid w:val="6BD61FBC"/>
    <w:rsid w:val="6BD76E4B"/>
    <w:rsid w:val="6BD9140C"/>
    <w:rsid w:val="6BDB69A6"/>
    <w:rsid w:val="6BDC6C36"/>
    <w:rsid w:val="6BDD334B"/>
    <w:rsid w:val="6BE071F2"/>
    <w:rsid w:val="6BE50451"/>
    <w:rsid w:val="6BED6C25"/>
    <w:rsid w:val="6BF15048"/>
    <w:rsid w:val="6BF30DC0"/>
    <w:rsid w:val="6BF84629"/>
    <w:rsid w:val="6C001C8E"/>
    <w:rsid w:val="6C006F3E"/>
    <w:rsid w:val="6C0134DD"/>
    <w:rsid w:val="6C042FCD"/>
    <w:rsid w:val="6C054650"/>
    <w:rsid w:val="6C0B1942"/>
    <w:rsid w:val="6C0B435C"/>
    <w:rsid w:val="6C0B610A"/>
    <w:rsid w:val="6C0D6BB0"/>
    <w:rsid w:val="6C0E0F34"/>
    <w:rsid w:val="6C0E79A8"/>
    <w:rsid w:val="6C0F0C37"/>
    <w:rsid w:val="6C103720"/>
    <w:rsid w:val="6C132E5F"/>
    <w:rsid w:val="6C1825D5"/>
    <w:rsid w:val="6C184383"/>
    <w:rsid w:val="6C1B20C5"/>
    <w:rsid w:val="6C1D2466"/>
    <w:rsid w:val="6C1F3963"/>
    <w:rsid w:val="6C1F652C"/>
    <w:rsid w:val="6C2B68DA"/>
    <w:rsid w:val="6C332ECB"/>
    <w:rsid w:val="6C386EAA"/>
    <w:rsid w:val="6C3D028D"/>
    <w:rsid w:val="6C3F4006"/>
    <w:rsid w:val="6C4258A4"/>
    <w:rsid w:val="6C45090D"/>
    <w:rsid w:val="6C472EBA"/>
    <w:rsid w:val="6C4D7039"/>
    <w:rsid w:val="6C501D6F"/>
    <w:rsid w:val="6C517895"/>
    <w:rsid w:val="6C523D39"/>
    <w:rsid w:val="6C5B4ADD"/>
    <w:rsid w:val="6C5B7135"/>
    <w:rsid w:val="6C5D448C"/>
    <w:rsid w:val="6C5D5536"/>
    <w:rsid w:val="6C6450ED"/>
    <w:rsid w:val="6C6972D4"/>
    <w:rsid w:val="6C6D5B02"/>
    <w:rsid w:val="6C6E48EB"/>
    <w:rsid w:val="6C705F6D"/>
    <w:rsid w:val="6C764577"/>
    <w:rsid w:val="6C7672FB"/>
    <w:rsid w:val="6C77379F"/>
    <w:rsid w:val="6C797AED"/>
    <w:rsid w:val="6C7A503E"/>
    <w:rsid w:val="6C7C7008"/>
    <w:rsid w:val="6C7F43ED"/>
    <w:rsid w:val="6C800AE8"/>
    <w:rsid w:val="6C821A5E"/>
    <w:rsid w:val="6C892B57"/>
    <w:rsid w:val="6C8B7ACF"/>
    <w:rsid w:val="6C8E2897"/>
    <w:rsid w:val="6C9360FF"/>
    <w:rsid w:val="6C97174C"/>
    <w:rsid w:val="6C9C686F"/>
    <w:rsid w:val="6C9F6852"/>
    <w:rsid w:val="6CA30856"/>
    <w:rsid w:val="6CA659FF"/>
    <w:rsid w:val="6CC72DCE"/>
    <w:rsid w:val="6CC87B57"/>
    <w:rsid w:val="6CCB3AEB"/>
    <w:rsid w:val="6CD75FEC"/>
    <w:rsid w:val="6CD830DA"/>
    <w:rsid w:val="6CDC7AA6"/>
    <w:rsid w:val="6CDD0421"/>
    <w:rsid w:val="6CDF1345"/>
    <w:rsid w:val="6CE07597"/>
    <w:rsid w:val="6CE2561C"/>
    <w:rsid w:val="6CF7043C"/>
    <w:rsid w:val="6CF86297"/>
    <w:rsid w:val="6CFC5A53"/>
    <w:rsid w:val="6CFC61C3"/>
    <w:rsid w:val="6D024D30"/>
    <w:rsid w:val="6D031EBC"/>
    <w:rsid w:val="6D05528D"/>
    <w:rsid w:val="6D090AE2"/>
    <w:rsid w:val="6D0D0F74"/>
    <w:rsid w:val="6D0E1A28"/>
    <w:rsid w:val="6D1159A2"/>
    <w:rsid w:val="6D12171A"/>
    <w:rsid w:val="6D1234C8"/>
    <w:rsid w:val="6D165EB3"/>
    <w:rsid w:val="6D171100"/>
    <w:rsid w:val="6D17288C"/>
    <w:rsid w:val="6D172BE8"/>
    <w:rsid w:val="6D1946ED"/>
    <w:rsid w:val="6D1E00BF"/>
    <w:rsid w:val="6D201D79"/>
    <w:rsid w:val="6D2356D5"/>
    <w:rsid w:val="6D267C77"/>
    <w:rsid w:val="6D2B5181"/>
    <w:rsid w:val="6D2B6338"/>
    <w:rsid w:val="6D2D3E1A"/>
    <w:rsid w:val="6D2D3E5E"/>
    <w:rsid w:val="6D320AB2"/>
    <w:rsid w:val="6D323B6A"/>
    <w:rsid w:val="6D341C46"/>
    <w:rsid w:val="6D343B19"/>
    <w:rsid w:val="6D350E2D"/>
    <w:rsid w:val="6D360FD1"/>
    <w:rsid w:val="6D371181"/>
    <w:rsid w:val="6D3742F4"/>
    <w:rsid w:val="6D374CDD"/>
    <w:rsid w:val="6D3C3656"/>
    <w:rsid w:val="6D410C09"/>
    <w:rsid w:val="6D416038"/>
    <w:rsid w:val="6D4D62AE"/>
    <w:rsid w:val="6D4F0278"/>
    <w:rsid w:val="6D592EA5"/>
    <w:rsid w:val="6D594C53"/>
    <w:rsid w:val="6D5B09CB"/>
    <w:rsid w:val="6D5B6C1D"/>
    <w:rsid w:val="6D6A002E"/>
    <w:rsid w:val="6D711C78"/>
    <w:rsid w:val="6D714BDE"/>
    <w:rsid w:val="6D7221B9"/>
    <w:rsid w:val="6D743BC8"/>
    <w:rsid w:val="6D786658"/>
    <w:rsid w:val="6D7D690F"/>
    <w:rsid w:val="6D8141AA"/>
    <w:rsid w:val="6D853C9A"/>
    <w:rsid w:val="6D877A12"/>
    <w:rsid w:val="6D8A305E"/>
    <w:rsid w:val="6D8B1D1F"/>
    <w:rsid w:val="6D8C327A"/>
    <w:rsid w:val="6D8C5028"/>
    <w:rsid w:val="6D940381"/>
    <w:rsid w:val="6D983849"/>
    <w:rsid w:val="6D9C0FE4"/>
    <w:rsid w:val="6D9E6B0A"/>
    <w:rsid w:val="6DA06D26"/>
    <w:rsid w:val="6DAA1953"/>
    <w:rsid w:val="6DAD116F"/>
    <w:rsid w:val="6DAF6F69"/>
    <w:rsid w:val="6DB225B5"/>
    <w:rsid w:val="6DB450BF"/>
    <w:rsid w:val="6DB4632D"/>
    <w:rsid w:val="6DB620A5"/>
    <w:rsid w:val="6DB7191B"/>
    <w:rsid w:val="6DB93944"/>
    <w:rsid w:val="6DB968B8"/>
    <w:rsid w:val="6DBB4A0F"/>
    <w:rsid w:val="6DBD3434"/>
    <w:rsid w:val="6DC05B9B"/>
    <w:rsid w:val="6DC72505"/>
    <w:rsid w:val="6DC9002B"/>
    <w:rsid w:val="6DC95E3D"/>
    <w:rsid w:val="6DCE5641"/>
    <w:rsid w:val="6DD06FAF"/>
    <w:rsid w:val="6DD30EA9"/>
    <w:rsid w:val="6DD436CF"/>
    <w:rsid w:val="6DDB128D"/>
    <w:rsid w:val="6DDB4F89"/>
    <w:rsid w:val="6DE262E2"/>
    <w:rsid w:val="6DE85FD7"/>
    <w:rsid w:val="6DED4EBC"/>
    <w:rsid w:val="6DF46479"/>
    <w:rsid w:val="6DFB2481"/>
    <w:rsid w:val="6DFB5D0A"/>
    <w:rsid w:val="6E005A16"/>
    <w:rsid w:val="6E043B45"/>
    <w:rsid w:val="6E095992"/>
    <w:rsid w:val="6E0F1312"/>
    <w:rsid w:val="6E105C5A"/>
    <w:rsid w:val="6E1312A6"/>
    <w:rsid w:val="6E14215C"/>
    <w:rsid w:val="6E283B6C"/>
    <w:rsid w:val="6E2B2A93"/>
    <w:rsid w:val="6E316BBC"/>
    <w:rsid w:val="6E3A2CD6"/>
    <w:rsid w:val="6E3A3A96"/>
    <w:rsid w:val="6E3A6404"/>
    <w:rsid w:val="6E3F653F"/>
    <w:rsid w:val="6E405E13"/>
    <w:rsid w:val="6E433C2A"/>
    <w:rsid w:val="6E453429"/>
    <w:rsid w:val="6E49116B"/>
    <w:rsid w:val="6E4B2E0A"/>
    <w:rsid w:val="6E4B4EE4"/>
    <w:rsid w:val="6E4B6C92"/>
    <w:rsid w:val="6E4C2A0A"/>
    <w:rsid w:val="6E517C93"/>
    <w:rsid w:val="6E565636"/>
    <w:rsid w:val="6E5F098F"/>
    <w:rsid w:val="6E613DB7"/>
    <w:rsid w:val="6E625D89"/>
    <w:rsid w:val="6E677844"/>
    <w:rsid w:val="6E6935BC"/>
    <w:rsid w:val="6E69536A"/>
    <w:rsid w:val="6E6A3250"/>
    <w:rsid w:val="6E6C09B6"/>
    <w:rsid w:val="6E6E2980"/>
    <w:rsid w:val="6E6F0A62"/>
    <w:rsid w:val="6E755ABD"/>
    <w:rsid w:val="6E7A1325"/>
    <w:rsid w:val="6E7C509D"/>
    <w:rsid w:val="6E8B0D18"/>
    <w:rsid w:val="6E8C7E5C"/>
    <w:rsid w:val="6E922B12"/>
    <w:rsid w:val="6E9D5013"/>
    <w:rsid w:val="6EA14B04"/>
    <w:rsid w:val="6EAB3EB2"/>
    <w:rsid w:val="6EAD4B62"/>
    <w:rsid w:val="6EAE7733"/>
    <w:rsid w:val="6EB13F1A"/>
    <w:rsid w:val="6EB44A35"/>
    <w:rsid w:val="6EBB40DE"/>
    <w:rsid w:val="6EC52C7A"/>
    <w:rsid w:val="6EC64279"/>
    <w:rsid w:val="6ECC38B8"/>
    <w:rsid w:val="6ED70525"/>
    <w:rsid w:val="6ED749C9"/>
    <w:rsid w:val="6EDA0016"/>
    <w:rsid w:val="6EDD18B4"/>
    <w:rsid w:val="6EE20292"/>
    <w:rsid w:val="6EEB3FD1"/>
    <w:rsid w:val="6EEC06F7"/>
    <w:rsid w:val="6EF72976"/>
    <w:rsid w:val="6EFC61DE"/>
    <w:rsid w:val="6EFF27C5"/>
    <w:rsid w:val="6F0137F4"/>
    <w:rsid w:val="6F0532E4"/>
    <w:rsid w:val="6F0B2A24"/>
    <w:rsid w:val="6F0D3F47"/>
    <w:rsid w:val="6F0D5F20"/>
    <w:rsid w:val="6F131AC6"/>
    <w:rsid w:val="6F141779"/>
    <w:rsid w:val="6F177DDA"/>
    <w:rsid w:val="6F1866F2"/>
    <w:rsid w:val="6F1B41AE"/>
    <w:rsid w:val="6F25152E"/>
    <w:rsid w:val="6F2D283B"/>
    <w:rsid w:val="6F2F210F"/>
    <w:rsid w:val="6F3040D9"/>
    <w:rsid w:val="6F3239AE"/>
    <w:rsid w:val="6F3516F0"/>
    <w:rsid w:val="6F384A96"/>
    <w:rsid w:val="6F3A7ED5"/>
    <w:rsid w:val="6F3C42C6"/>
    <w:rsid w:val="6F3F0F5A"/>
    <w:rsid w:val="6F40256E"/>
    <w:rsid w:val="6F406688"/>
    <w:rsid w:val="6F4153BB"/>
    <w:rsid w:val="6F4162E7"/>
    <w:rsid w:val="6F477302"/>
    <w:rsid w:val="6F4A1255"/>
    <w:rsid w:val="6F58297A"/>
    <w:rsid w:val="6F5B1156"/>
    <w:rsid w:val="6F60051B"/>
    <w:rsid w:val="6F7044D6"/>
    <w:rsid w:val="6F755C7D"/>
    <w:rsid w:val="6F7C183E"/>
    <w:rsid w:val="6F811C8E"/>
    <w:rsid w:val="6F8C7562"/>
    <w:rsid w:val="6F8F403F"/>
    <w:rsid w:val="6F8F7052"/>
    <w:rsid w:val="6F9132A8"/>
    <w:rsid w:val="6F937B50"/>
    <w:rsid w:val="6F944668"/>
    <w:rsid w:val="6F947AC5"/>
    <w:rsid w:val="6F9C5A16"/>
    <w:rsid w:val="6F9D7F37"/>
    <w:rsid w:val="6FA42FFA"/>
    <w:rsid w:val="6FAD572A"/>
    <w:rsid w:val="6FB865A9"/>
    <w:rsid w:val="6FB940CF"/>
    <w:rsid w:val="6FBB39A3"/>
    <w:rsid w:val="6FBC771B"/>
    <w:rsid w:val="6FBF45D4"/>
    <w:rsid w:val="6FC22F83"/>
    <w:rsid w:val="6FCD12F8"/>
    <w:rsid w:val="6FD15666"/>
    <w:rsid w:val="6FD1766A"/>
    <w:rsid w:val="6FE078AE"/>
    <w:rsid w:val="6FE32EFA"/>
    <w:rsid w:val="6FE4739E"/>
    <w:rsid w:val="6FEA24DA"/>
    <w:rsid w:val="6FF944CB"/>
    <w:rsid w:val="700469AA"/>
    <w:rsid w:val="70057314"/>
    <w:rsid w:val="700E441B"/>
    <w:rsid w:val="70147557"/>
    <w:rsid w:val="70156487"/>
    <w:rsid w:val="70194B6E"/>
    <w:rsid w:val="701B08E6"/>
    <w:rsid w:val="701B5529"/>
    <w:rsid w:val="701D453F"/>
    <w:rsid w:val="701D640C"/>
    <w:rsid w:val="70241EE0"/>
    <w:rsid w:val="70244355"/>
    <w:rsid w:val="70271038"/>
    <w:rsid w:val="702A6D7B"/>
    <w:rsid w:val="702C48A1"/>
    <w:rsid w:val="702E23C7"/>
    <w:rsid w:val="70333E81"/>
    <w:rsid w:val="70357BF9"/>
    <w:rsid w:val="703A3B85"/>
    <w:rsid w:val="70422316"/>
    <w:rsid w:val="70427D39"/>
    <w:rsid w:val="704A4AC6"/>
    <w:rsid w:val="704C6CF1"/>
    <w:rsid w:val="705B0CE2"/>
    <w:rsid w:val="705C1573"/>
    <w:rsid w:val="705F07D2"/>
    <w:rsid w:val="706202C3"/>
    <w:rsid w:val="70647373"/>
    <w:rsid w:val="70661C56"/>
    <w:rsid w:val="70671D7D"/>
    <w:rsid w:val="706933FF"/>
    <w:rsid w:val="706C2E07"/>
    <w:rsid w:val="706E6C67"/>
    <w:rsid w:val="70786C79"/>
    <w:rsid w:val="70814BED"/>
    <w:rsid w:val="7082773A"/>
    <w:rsid w:val="7087339F"/>
    <w:rsid w:val="70893569"/>
    <w:rsid w:val="708C3591"/>
    <w:rsid w:val="708D6817"/>
    <w:rsid w:val="708E10B8"/>
    <w:rsid w:val="70904E30"/>
    <w:rsid w:val="70912956"/>
    <w:rsid w:val="70932B72"/>
    <w:rsid w:val="70972B5A"/>
    <w:rsid w:val="709A5CAE"/>
    <w:rsid w:val="709B37D5"/>
    <w:rsid w:val="709B5583"/>
    <w:rsid w:val="709D12FB"/>
    <w:rsid w:val="709F3565"/>
    <w:rsid w:val="70A22DB5"/>
    <w:rsid w:val="70A23177"/>
    <w:rsid w:val="70A5694D"/>
    <w:rsid w:val="70AB7EBB"/>
    <w:rsid w:val="70AC7790"/>
    <w:rsid w:val="70AD723C"/>
    <w:rsid w:val="70AE3508"/>
    <w:rsid w:val="70B12FF8"/>
    <w:rsid w:val="70B30221"/>
    <w:rsid w:val="70B517FB"/>
    <w:rsid w:val="70BC18E3"/>
    <w:rsid w:val="70BE4BA3"/>
    <w:rsid w:val="70C20D61"/>
    <w:rsid w:val="70C66AA3"/>
    <w:rsid w:val="70C77566"/>
    <w:rsid w:val="70CB23C7"/>
    <w:rsid w:val="70D34D1C"/>
    <w:rsid w:val="70DA6696"/>
    <w:rsid w:val="70DF5DB7"/>
    <w:rsid w:val="70EB3C4B"/>
    <w:rsid w:val="70ED448B"/>
    <w:rsid w:val="70EE1B56"/>
    <w:rsid w:val="70EE693E"/>
    <w:rsid w:val="70F80C27"/>
    <w:rsid w:val="70F81DE2"/>
    <w:rsid w:val="70F936D9"/>
    <w:rsid w:val="7104645B"/>
    <w:rsid w:val="710870BC"/>
    <w:rsid w:val="711041C2"/>
    <w:rsid w:val="711A0EE2"/>
    <w:rsid w:val="711A6DEF"/>
    <w:rsid w:val="711F6B2D"/>
    <w:rsid w:val="71245578"/>
    <w:rsid w:val="712559EA"/>
    <w:rsid w:val="71290DE0"/>
    <w:rsid w:val="712A4097"/>
    <w:rsid w:val="712D267F"/>
    <w:rsid w:val="7130216F"/>
    <w:rsid w:val="71325911"/>
    <w:rsid w:val="71341C5F"/>
    <w:rsid w:val="713E488C"/>
    <w:rsid w:val="713F1162"/>
    <w:rsid w:val="713F5B44"/>
    <w:rsid w:val="714125CE"/>
    <w:rsid w:val="71453E6C"/>
    <w:rsid w:val="71467BE4"/>
    <w:rsid w:val="714726B7"/>
    <w:rsid w:val="71494246"/>
    <w:rsid w:val="714E0847"/>
    <w:rsid w:val="71535E5D"/>
    <w:rsid w:val="71556F37"/>
    <w:rsid w:val="71557E27"/>
    <w:rsid w:val="715C11B6"/>
    <w:rsid w:val="715D19E6"/>
    <w:rsid w:val="716144FC"/>
    <w:rsid w:val="716919A2"/>
    <w:rsid w:val="71696914"/>
    <w:rsid w:val="716B13F9"/>
    <w:rsid w:val="716D3EB2"/>
    <w:rsid w:val="717812F3"/>
    <w:rsid w:val="717835AD"/>
    <w:rsid w:val="71802950"/>
    <w:rsid w:val="718129CA"/>
    <w:rsid w:val="71866233"/>
    <w:rsid w:val="71947777"/>
    <w:rsid w:val="719A09DE"/>
    <w:rsid w:val="719E17CE"/>
    <w:rsid w:val="71A13AE0"/>
    <w:rsid w:val="71B52040"/>
    <w:rsid w:val="71B66B18"/>
    <w:rsid w:val="71BB6A1B"/>
    <w:rsid w:val="71C276EC"/>
    <w:rsid w:val="71C42D2E"/>
    <w:rsid w:val="71CA6D36"/>
    <w:rsid w:val="71CC633B"/>
    <w:rsid w:val="71D23226"/>
    <w:rsid w:val="71D76A8E"/>
    <w:rsid w:val="71DA45AE"/>
    <w:rsid w:val="71DF2930"/>
    <w:rsid w:val="71E66E5B"/>
    <w:rsid w:val="71E73175"/>
    <w:rsid w:val="71F17B50"/>
    <w:rsid w:val="71F47640"/>
    <w:rsid w:val="71FF0F1B"/>
    <w:rsid w:val="72001B41"/>
    <w:rsid w:val="720158B9"/>
    <w:rsid w:val="720438FD"/>
    <w:rsid w:val="72086C48"/>
    <w:rsid w:val="720E2D07"/>
    <w:rsid w:val="721455EC"/>
    <w:rsid w:val="7216013B"/>
    <w:rsid w:val="72236ECD"/>
    <w:rsid w:val="722515A8"/>
    <w:rsid w:val="722516E4"/>
    <w:rsid w:val="72253C9E"/>
    <w:rsid w:val="72292A86"/>
    <w:rsid w:val="723143F0"/>
    <w:rsid w:val="723637B5"/>
    <w:rsid w:val="723719C5"/>
    <w:rsid w:val="723D4B43"/>
    <w:rsid w:val="723F1409"/>
    <w:rsid w:val="724A7260"/>
    <w:rsid w:val="724C4D86"/>
    <w:rsid w:val="724E6D50"/>
    <w:rsid w:val="724F0D1A"/>
    <w:rsid w:val="72514A93"/>
    <w:rsid w:val="725C09A0"/>
    <w:rsid w:val="7260565A"/>
    <w:rsid w:val="72617EAB"/>
    <w:rsid w:val="72684572"/>
    <w:rsid w:val="726A16B0"/>
    <w:rsid w:val="726C7D64"/>
    <w:rsid w:val="726F4F19"/>
    <w:rsid w:val="726F75AB"/>
    <w:rsid w:val="727069B4"/>
    <w:rsid w:val="72730565"/>
    <w:rsid w:val="7273314B"/>
    <w:rsid w:val="72750781"/>
    <w:rsid w:val="72783DCD"/>
    <w:rsid w:val="727A5D97"/>
    <w:rsid w:val="727E1867"/>
    <w:rsid w:val="72807126"/>
    <w:rsid w:val="72810FB9"/>
    <w:rsid w:val="72824C4C"/>
    <w:rsid w:val="728409C4"/>
    <w:rsid w:val="7286337F"/>
    <w:rsid w:val="7288568C"/>
    <w:rsid w:val="728C7879"/>
    <w:rsid w:val="72907369"/>
    <w:rsid w:val="72972638"/>
    <w:rsid w:val="729D6171"/>
    <w:rsid w:val="729E0259"/>
    <w:rsid w:val="729E5688"/>
    <w:rsid w:val="729F75AC"/>
    <w:rsid w:val="72A4647B"/>
    <w:rsid w:val="72A746B3"/>
    <w:rsid w:val="72B103A0"/>
    <w:rsid w:val="72B40078"/>
    <w:rsid w:val="72B8066E"/>
    <w:rsid w:val="72BC63B0"/>
    <w:rsid w:val="72C54B39"/>
    <w:rsid w:val="72C62D8B"/>
    <w:rsid w:val="72CB01AF"/>
    <w:rsid w:val="72CE7313"/>
    <w:rsid w:val="72D059B7"/>
    <w:rsid w:val="72D336FA"/>
    <w:rsid w:val="72D4094B"/>
    <w:rsid w:val="72D66F5A"/>
    <w:rsid w:val="72D86BD3"/>
    <w:rsid w:val="72DB15CA"/>
    <w:rsid w:val="72E05876"/>
    <w:rsid w:val="72E2521B"/>
    <w:rsid w:val="72E47E1D"/>
    <w:rsid w:val="72F07E08"/>
    <w:rsid w:val="72F22F5F"/>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637EC"/>
    <w:rsid w:val="73277DA9"/>
    <w:rsid w:val="733028FA"/>
    <w:rsid w:val="73487C44"/>
    <w:rsid w:val="734D1F79"/>
    <w:rsid w:val="734D44D8"/>
    <w:rsid w:val="735A6AEC"/>
    <w:rsid w:val="735C549D"/>
    <w:rsid w:val="735C724B"/>
    <w:rsid w:val="735F0AE9"/>
    <w:rsid w:val="73602EA4"/>
    <w:rsid w:val="73637F0D"/>
    <w:rsid w:val="73644352"/>
    <w:rsid w:val="736D3206"/>
    <w:rsid w:val="737335D2"/>
    <w:rsid w:val="73740A39"/>
    <w:rsid w:val="73751F25"/>
    <w:rsid w:val="737E32EA"/>
    <w:rsid w:val="73814F04"/>
    <w:rsid w:val="738642C8"/>
    <w:rsid w:val="73866E8F"/>
    <w:rsid w:val="738D5656"/>
    <w:rsid w:val="738F5872"/>
    <w:rsid w:val="739015EB"/>
    <w:rsid w:val="73907A80"/>
    <w:rsid w:val="739B4217"/>
    <w:rsid w:val="739E44FF"/>
    <w:rsid w:val="73A11102"/>
    <w:rsid w:val="73A176B2"/>
    <w:rsid w:val="73A429A0"/>
    <w:rsid w:val="73AD3F4B"/>
    <w:rsid w:val="73B15772"/>
    <w:rsid w:val="73B2330F"/>
    <w:rsid w:val="73B61051"/>
    <w:rsid w:val="73BA353C"/>
    <w:rsid w:val="73BC60D0"/>
    <w:rsid w:val="73BD0A2D"/>
    <w:rsid w:val="73BD5CDD"/>
    <w:rsid w:val="73BE0515"/>
    <w:rsid w:val="73BE3A62"/>
    <w:rsid w:val="73C03C7E"/>
    <w:rsid w:val="73C05940"/>
    <w:rsid w:val="73C117C3"/>
    <w:rsid w:val="73C60B68"/>
    <w:rsid w:val="73C6500C"/>
    <w:rsid w:val="73CA6639"/>
    <w:rsid w:val="73CB1AEB"/>
    <w:rsid w:val="73CB617F"/>
    <w:rsid w:val="73CD639B"/>
    <w:rsid w:val="73D72D76"/>
    <w:rsid w:val="73D96AEE"/>
    <w:rsid w:val="73DC038C"/>
    <w:rsid w:val="73E561DB"/>
    <w:rsid w:val="73E6120B"/>
    <w:rsid w:val="73EA06EE"/>
    <w:rsid w:val="73F12089"/>
    <w:rsid w:val="73F15E96"/>
    <w:rsid w:val="73F3740F"/>
    <w:rsid w:val="73FC0A2E"/>
    <w:rsid w:val="73FC32EF"/>
    <w:rsid w:val="73FE6CCE"/>
    <w:rsid w:val="7400407A"/>
    <w:rsid w:val="740920C5"/>
    <w:rsid w:val="740A6CA7"/>
    <w:rsid w:val="740B2A1F"/>
    <w:rsid w:val="74143FCA"/>
    <w:rsid w:val="74147B26"/>
    <w:rsid w:val="74157F65"/>
    <w:rsid w:val="74177616"/>
    <w:rsid w:val="7419338E"/>
    <w:rsid w:val="741C1E03"/>
    <w:rsid w:val="741C69DA"/>
    <w:rsid w:val="741E6C86"/>
    <w:rsid w:val="7420296E"/>
    <w:rsid w:val="74232316"/>
    <w:rsid w:val="742859A7"/>
    <w:rsid w:val="742C1313"/>
    <w:rsid w:val="742E508B"/>
    <w:rsid w:val="743341F9"/>
    <w:rsid w:val="743E4BA3"/>
    <w:rsid w:val="74477EFB"/>
    <w:rsid w:val="744C5512"/>
    <w:rsid w:val="744D2ACC"/>
    <w:rsid w:val="744F5002"/>
    <w:rsid w:val="74546174"/>
    <w:rsid w:val="745B4B98"/>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84559"/>
    <w:rsid w:val="7479207F"/>
    <w:rsid w:val="74850A24"/>
    <w:rsid w:val="748527D2"/>
    <w:rsid w:val="74913DDA"/>
    <w:rsid w:val="749949F7"/>
    <w:rsid w:val="749F1AE5"/>
    <w:rsid w:val="74A215D5"/>
    <w:rsid w:val="74A470FC"/>
    <w:rsid w:val="74B5450B"/>
    <w:rsid w:val="74B5595C"/>
    <w:rsid w:val="74B80DF9"/>
    <w:rsid w:val="74BC37FB"/>
    <w:rsid w:val="74C06141"/>
    <w:rsid w:val="74C432FA"/>
    <w:rsid w:val="74C50E20"/>
    <w:rsid w:val="74C94E9D"/>
    <w:rsid w:val="74CA6436"/>
    <w:rsid w:val="74CF694D"/>
    <w:rsid w:val="74D47731"/>
    <w:rsid w:val="74D6302D"/>
    <w:rsid w:val="74E039E8"/>
    <w:rsid w:val="74E03EAC"/>
    <w:rsid w:val="74E13026"/>
    <w:rsid w:val="74E25E76"/>
    <w:rsid w:val="74E26D7A"/>
    <w:rsid w:val="74E92D60"/>
    <w:rsid w:val="74EB4D2A"/>
    <w:rsid w:val="74F85EC6"/>
    <w:rsid w:val="74F86FE9"/>
    <w:rsid w:val="74F90479"/>
    <w:rsid w:val="74FE61EB"/>
    <w:rsid w:val="74FF42EB"/>
    <w:rsid w:val="75004737"/>
    <w:rsid w:val="7500577B"/>
    <w:rsid w:val="75071439"/>
    <w:rsid w:val="7521074C"/>
    <w:rsid w:val="75267B11"/>
    <w:rsid w:val="752913AF"/>
    <w:rsid w:val="75292E35"/>
    <w:rsid w:val="7533222E"/>
    <w:rsid w:val="75333619"/>
    <w:rsid w:val="75387844"/>
    <w:rsid w:val="753D30AC"/>
    <w:rsid w:val="75425644"/>
    <w:rsid w:val="7546405B"/>
    <w:rsid w:val="75476CAA"/>
    <w:rsid w:val="75480FE3"/>
    <w:rsid w:val="75497CA3"/>
    <w:rsid w:val="755152D3"/>
    <w:rsid w:val="755A1EB0"/>
    <w:rsid w:val="755A5A0C"/>
    <w:rsid w:val="755D707D"/>
    <w:rsid w:val="75614247"/>
    <w:rsid w:val="75614FED"/>
    <w:rsid w:val="75695C4F"/>
    <w:rsid w:val="756B17C2"/>
    <w:rsid w:val="756C200D"/>
    <w:rsid w:val="7577036C"/>
    <w:rsid w:val="757D1115"/>
    <w:rsid w:val="75862CA5"/>
    <w:rsid w:val="758F65B0"/>
    <w:rsid w:val="759058D2"/>
    <w:rsid w:val="75906211"/>
    <w:rsid w:val="75907680"/>
    <w:rsid w:val="75986535"/>
    <w:rsid w:val="759C7DD3"/>
    <w:rsid w:val="759E1500"/>
    <w:rsid w:val="75A03D67"/>
    <w:rsid w:val="75A36467"/>
    <w:rsid w:val="75A82C1C"/>
    <w:rsid w:val="75B90985"/>
    <w:rsid w:val="75C31803"/>
    <w:rsid w:val="75C80BC8"/>
    <w:rsid w:val="75CA2B92"/>
    <w:rsid w:val="75D34AD2"/>
    <w:rsid w:val="75DE663D"/>
    <w:rsid w:val="75E36059"/>
    <w:rsid w:val="75E74C1F"/>
    <w:rsid w:val="75E841DD"/>
    <w:rsid w:val="75E9087A"/>
    <w:rsid w:val="75EA6D90"/>
    <w:rsid w:val="75F23E97"/>
    <w:rsid w:val="75F776FF"/>
    <w:rsid w:val="75F842DC"/>
    <w:rsid w:val="75F93E4E"/>
    <w:rsid w:val="75FB0F9D"/>
    <w:rsid w:val="76012189"/>
    <w:rsid w:val="7610431D"/>
    <w:rsid w:val="761107C1"/>
    <w:rsid w:val="76110A4A"/>
    <w:rsid w:val="76116A13"/>
    <w:rsid w:val="76120095"/>
    <w:rsid w:val="761A6D08"/>
    <w:rsid w:val="76201FB0"/>
    <w:rsid w:val="7621477C"/>
    <w:rsid w:val="76277A97"/>
    <w:rsid w:val="76285B0A"/>
    <w:rsid w:val="762B51DA"/>
    <w:rsid w:val="762F6E99"/>
    <w:rsid w:val="763444AF"/>
    <w:rsid w:val="7634625D"/>
    <w:rsid w:val="763B6025"/>
    <w:rsid w:val="764364A0"/>
    <w:rsid w:val="764F590C"/>
    <w:rsid w:val="76557CFE"/>
    <w:rsid w:val="76592168"/>
    <w:rsid w:val="765B265C"/>
    <w:rsid w:val="765B7C8E"/>
    <w:rsid w:val="765C57B4"/>
    <w:rsid w:val="765D0026"/>
    <w:rsid w:val="76692C0E"/>
    <w:rsid w:val="766C59F7"/>
    <w:rsid w:val="7671125F"/>
    <w:rsid w:val="76740D50"/>
    <w:rsid w:val="7677439C"/>
    <w:rsid w:val="767A48FF"/>
    <w:rsid w:val="767D6349"/>
    <w:rsid w:val="767E397C"/>
    <w:rsid w:val="767F592F"/>
    <w:rsid w:val="76860257"/>
    <w:rsid w:val="768B2AE2"/>
    <w:rsid w:val="768D24F5"/>
    <w:rsid w:val="76945635"/>
    <w:rsid w:val="76992564"/>
    <w:rsid w:val="76AE6010"/>
    <w:rsid w:val="76BA2FFA"/>
    <w:rsid w:val="76BB697E"/>
    <w:rsid w:val="76BC23A9"/>
    <w:rsid w:val="76BC400E"/>
    <w:rsid w:val="76C02894"/>
    <w:rsid w:val="76C113A3"/>
    <w:rsid w:val="76C53359"/>
    <w:rsid w:val="76CE66B2"/>
    <w:rsid w:val="76D31F1A"/>
    <w:rsid w:val="76D90BB3"/>
    <w:rsid w:val="76E01F41"/>
    <w:rsid w:val="76E3616A"/>
    <w:rsid w:val="76E64C26"/>
    <w:rsid w:val="76E84269"/>
    <w:rsid w:val="76E85E0B"/>
    <w:rsid w:val="76E96C3F"/>
    <w:rsid w:val="76EB42AA"/>
    <w:rsid w:val="76EE02E4"/>
    <w:rsid w:val="76EE28B0"/>
    <w:rsid w:val="76EF6628"/>
    <w:rsid w:val="76F358AB"/>
    <w:rsid w:val="76F6544F"/>
    <w:rsid w:val="76FF2D0F"/>
    <w:rsid w:val="77005040"/>
    <w:rsid w:val="7706409E"/>
    <w:rsid w:val="770C61B4"/>
    <w:rsid w:val="77135A8C"/>
    <w:rsid w:val="771C2C96"/>
    <w:rsid w:val="772618AB"/>
    <w:rsid w:val="7726586C"/>
    <w:rsid w:val="772D1C1A"/>
    <w:rsid w:val="77300FA6"/>
    <w:rsid w:val="773A3D47"/>
    <w:rsid w:val="773C3B52"/>
    <w:rsid w:val="773C7ABF"/>
    <w:rsid w:val="773D55E5"/>
    <w:rsid w:val="773D6723"/>
    <w:rsid w:val="77467AA6"/>
    <w:rsid w:val="77471FC0"/>
    <w:rsid w:val="774C75D7"/>
    <w:rsid w:val="775070C7"/>
    <w:rsid w:val="77530965"/>
    <w:rsid w:val="7763687C"/>
    <w:rsid w:val="776B2153"/>
    <w:rsid w:val="777059BB"/>
    <w:rsid w:val="7774302C"/>
    <w:rsid w:val="77752DF8"/>
    <w:rsid w:val="77764653"/>
    <w:rsid w:val="777F79AC"/>
    <w:rsid w:val="77834404"/>
    <w:rsid w:val="77870C32"/>
    <w:rsid w:val="77882D05"/>
    <w:rsid w:val="779E027D"/>
    <w:rsid w:val="77A3571E"/>
    <w:rsid w:val="77A46D61"/>
    <w:rsid w:val="77A77297"/>
    <w:rsid w:val="77AB49BE"/>
    <w:rsid w:val="77AB69F3"/>
    <w:rsid w:val="77AE0A71"/>
    <w:rsid w:val="77B07ED5"/>
    <w:rsid w:val="77B122C2"/>
    <w:rsid w:val="77B875B5"/>
    <w:rsid w:val="77BA09E4"/>
    <w:rsid w:val="77BD2282"/>
    <w:rsid w:val="77BE09B0"/>
    <w:rsid w:val="77BF5FFA"/>
    <w:rsid w:val="77C736E5"/>
    <w:rsid w:val="77C81353"/>
    <w:rsid w:val="77C90C27"/>
    <w:rsid w:val="77C975EC"/>
    <w:rsid w:val="77CD0717"/>
    <w:rsid w:val="77DE0382"/>
    <w:rsid w:val="77E126BA"/>
    <w:rsid w:val="77E617D9"/>
    <w:rsid w:val="77EB6DF0"/>
    <w:rsid w:val="77F143F4"/>
    <w:rsid w:val="77F2017E"/>
    <w:rsid w:val="77F24622"/>
    <w:rsid w:val="77F83C6D"/>
    <w:rsid w:val="77F9775E"/>
    <w:rsid w:val="77FC2DAB"/>
    <w:rsid w:val="78040477"/>
    <w:rsid w:val="78041205"/>
    <w:rsid w:val="78094A7F"/>
    <w:rsid w:val="780A196C"/>
    <w:rsid w:val="780B4581"/>
    <w:rsid w:val="780B56E4"/>
    <w:rsid w:val="780F5E0D"/>
    <w:rsid w:val="78112CFA"/>
    <w:rsid w:val="78153E6C"/>
    <w:rsid w:val="78160310"/>
    <w:rsid w:val="78176B3C"/>
    <w:rsid w:val="781C3334"/>
    <w:rsid w:val="78205800"/>
    <w:rsid w:val="782B3690"/>
    <w:rsid w:val="782D7408"/>
    <w:rsid w:val="782F13D2"/>
    <w:rsid w:val="783249BB"/>
    <w:rsid w:val="783562BD"/>
    <w:rsid w:val="783725DF"/>
    <w:rsid w:val="78372827"/>
    <w:rsid w:val="78414C61"/>
    <w:rsid w:val="784340FC"/>
    <w:rsid w:val="78443B94"/>
    <w:rsid w:val="78485FF0"/>
    <w:rsid w:val="784F737E"/>
    <w:rsid w:val="7851759A"/>
    <w:rsid w:val="78520C1D"/>
    <w:rsid w:val="78557748"/>
    <w:rsid w:val="785D5F3F"/>
    <w:rsid w:val="78650950"/>
    <w:rsid w:val="786C7F30"/>
    <w:rsid w:val="786D1EFA"/>
    <w:rsid w:val="787E76C0"/>
    <w:rsid w:val="787F1FE0"/>
    <w:rsid w:val="78967A4B"/>
    <w:rsid w:val="789B0078"/>
    <w:rsid w:val="789F55CE"/>
    <w:rsid w:val="789F5EA1"/>
    <w:rsid w:val="78A105FE"/>
    <w:rsid w:val="78A376CA"/>
    <w:rsid w:val="78B76FC4"/>
    <w:rsid w:val="78C25DA2"/>
    <w:rsid w:val="78C740DC"/>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C526F"/>
    <w:rsid w:val="790F2EE8"/>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F71C8"/>
    <w:rsid w:val="794C7D62"/>
    <w:rsid w:val="794D2D86"/>
    <w:rsid w:val="795310F0"/>
    <w:rsid w:val="79536FEF"/>
    <w:rsid w:val="79537342"/>
    <w:rsid w:val="795940A6"/>
    <w:rsid w:val="795B3AF3"/>
    <w:rsid w:val="795D3C37"/>
    <w:rsid w:val="795E5322"/>
    <w:rsid w:val="795F7A95"/>
    <w:rsid w:val="79646E59"/>
    <w:rsid w:val="79652BD2"/>
    <w:rsid w:val="79654980"/>
    <w:rsid w:val="7967694A"/>
    <w:rsid w:val="79690266"/>
    <w:rsid w:val="79773031"/>
    <w:rsid w:val="797E3990"/>
    <w:rsid w:val="79840FA7"/>
    <w:rsid w:val="79856DD0"/>
    <w:rsid w:val="798C46A4"/>
    <w:rsid w:val="798D0B47"/>
    <w:rsid w:val="798E3ED6"/>
    <w:rsid w:val="799129B7"/>
    <w:rsid w:val="799534B7"/>
    <w:rsid w:val="799D06FD"/>
    <w:rsid w:val="79A33A55"/>
    <w:rsid w:val="79A731EA"/>
    <w:rsid w:val="79A90D10"/>
    <w:rsid w:val="79B0209F"/>
    <w:rsid w:val="79B31B8F"/>
    <w:rsid w:val="79B3566E"/>
    <w:rsid w:val="79BF322E"/>
    <w:rsid w:val="79C142AC"/>
    <w:rsid w:val="79C2379C"/>
    <w:rsid w:val="79C314E4"/>
    <w:rsid w:val="79CE69C9"/>
    <w:rsid w:val="79CF6FB6"/>
    <w:rsid w:val="79D05643"/>
    <w:rsid w:val="79D22F1C"/>
    <w:rsid w:val="79D34EAE"/>
    <w:rsid w:val="79D95C19"/>
    <w:rsid w:val="79DA0B61"/>
    <w:rsid w:val="79DA35C0"/>
    <w:rsid w:val="79DF334E"/>
    <w:rsid w:val="79E306C6"/>
    <w:rsid w:val="79E85682"/>
    <w:rsid w:val="79EA1A55"/>
    <w:rsid w:val="79EB1D20"/>
    <w:rsid w:val="79EC2425"/>
    <w:rsid w:val="79ED32F3"/>
    <w:rsid w:val="79F01271"/>
    <w:rsid w:val="79F51FB6"/>
    <w:rsid w:val="7A061C2F"/>
    <w:rsid w:val="7A097A01"/>
    <w:rsid w:val="7A0B7D01"/>
    <w:rsid w:val="7A0D158D"/>
    <w:rsid w:val="7A103E24"/>
    <w:rsid w:val="7A106FE1"/>
    <w:rsid w:val="7A170370"/>
    <w:rsid w:val="7A1F2651"/>
    <w:rsid w:val="7A2605B3"/>
    <w:rsid w:val="7A266805"/>
    <w:rsid w:val="7A283C45"/>
    <w:rsid w:val="7A290087"/>
    <w:rsid w:val="7A2A00A3"/>
    <w:rsid w:val="7A2F56B9"/>
    <w:rsid w:val="7A356A48"/>
    <w:rsid w:val="7A3C3932"/>
    <w:rsid w:val="7A410F49"/>
    <w:rsid w:val="7A457F1B"/>
    <w:rsid w:val="7A4E3666"/>
    <w:rsid w:val="7A523AF4"/>
    <w:rsid w:val="7A550ECC"/>
    <w:rsid w:val="7A552C46"/>
    <w:rsid w:val="7A5616AF"/>
    <w:rsid w:val="7A6246C9"/>
    <w:rsid w:val="7A680BCB"/>
    <w:rsid w:val="7A794B87"/>
    <w:rsid w:val="7A7C01D3"/>
    <w:rsid w:val="7A7F0907"/>
    <w:rsid w:val="7A805F15"/>
    <w:rsid w:val="7A807CC3"/>
    <w:rsid w:val="7A811E80"/>
    <w:rsid w:val="7A840125"/>
    <w:rsid w:val="7A884099"/>
    <w:rsid w:val="7A886B78"/>
    <w:rsid w:val="7A8C22DE"/>
    <w:rsid w:val="7A8D2CB9"/>
    <w:rsid w:val="7A902F4D"/>
    <w:rsid w:val="7A916C03"/>
    <w:rsid w:val="7A926D8F"/>
    <w:rsid w:val="7A970C14"/>
    <w:rsid w:val="7A995229"/>
    <w:rsid w:val="7A996FD7"/>
    <w:rsid w:val="7AA03EC1"/>
    <w:rsid w:val="7AA65250"/>
    <w:rsid w:val="7AAF67FA"/>
    <w:rsid w:val="7AB36300"/>
    <w:rsid w:val="7AB45BBF"/>
    <w:rsid w:val="7AB61937"/>
    <w:rsid w:val="7ABE07EB"/>
    <w:rsid w:val="7AC21FB4"/>
    <w:rsid w:val="7AC51B7A"/>
    <w:rsid w:val="7AC5601E"/>
    <w:rsid w:val="7ACF700A"/>
    <w:rsid w:val="7AD1051F"/>
    <w:rsid w:val="7AD667C9"/>
    <w:rsid w:val="7AD86AF4"/>
    <w:rsid w:val="7AD96269"/>
    <w:rsid w:val="7ADD5115"/>
    <w:rsid w:val="7AE2097E"/>
    <w:rsid w:val="7AE55D78"/>
    <w:rsid w:val="7AEA1CF5"/>
    <w:rsid w:val="7AEA7832"/>
    <w:rsid w:val="7AED10D1"/>
    <w:rsid w:val="7AEE0676"/>
    <w:rsid w:val="7AF4245F"/>
    <w:rsid w:val="7AF661D7"/>
    <w:rsid w:val="7AFF570D"/>
    <w:rsid w:val="7B000E04"/>
    <w:rsid w:val="7B073F40"/>
    <w:rsid w:val="7B09415C"/>
    <w:rsid w:val="7B0F1047"/>
    <w:rsid w:val="7B18614D"/>
    <w:rsid w:val="7B187EFC"/>
    <w:rsid w:val="7B2F3497"/>
    <w:rsid w:val="7B354F51"/>
    <w:rsid w:val="7B3867F0"/>
    <w:rsid w:val="7B3A2568"/>
    <w:rsid w:val="7B405C62"/>
    <w:rsid w:val="7B427D7A"/>
    <w:rsid w:val="7B430CF1"/>
    <w:rsid w:val="7B436DED"/>
    <w:rsid w:val="7B454A69"/>
    <w:rsid w:val="7B486307"/>
    <w:rsid w:val="7B48665E"/>
    <w:rsid w:val="7B494559"/>
    <w:rsid w:val="7B4E1B6F"/>
    <w:rsid w:val="7B544DE1"/>
    <w:rsid w:val="7B551150"/>
    <w:rsid w:val="7B571A2E"/>
    <w:rsid w:val="7B6662D4"/>
    <w:rsid w:val="7B6770D5"/>
    <w:rsid w:val="7B6952BF"/>
    <w:rsid w:val="7B6A748C"/>
    <w:rsid w:val="7B754D99"/>
    <w:rsid w:val="7B783090"/>
    <w:rsid w:val="7B7B492E"/>
    <w:rsid w:val="7B7F61CD"/>
    <w:rsid w:val="7B871525"/>
    <w:rsid w:val="7B89704B"/>
    <w:rsid w:val="7B931C78"/>
    <w:rsid w:val="7B933A26"/>
    <w:rsid w:val="7BA55C3B"/>
    <w:rsid w:val="7BA677C5"/>
    <w:rsid w:val="7BB1183B"/>
    <w:rsid w:val="7BB26436"/>
    <w:rsid w:val="7BB87930"/>
    <w:rsid w:val="7BBA69D6"/>
    <w:rsid w:val="7BBA7205"/>
    <w:rsid w:val="7BBC11CF"/>
    <w:rsid w:val="7BBE0E4B"/>
    <w:rsid w:val="7BBF0CBF"/>
    <w:rsid w:val="7BBF481B"/>
    <w:rsid w:val="7BBF4E1C"/>
    <w:rsid w:val="7BC2430B"/>
    <w:rsid w:val="7BC6663D"/>
    <w:rsid w:val="7BC77B74"/>
    <w:rsid w:val="7BC9569A"/>
    <w:rsid w:val="7BCD065D"/>
    <w:rsid w:val="7BDA78A7"/>
    <w:rsid w:val="7BDF7C5F"/>
    <w:rsid w:val="7BE129E3"/>
    <w:rsid w:val="7BE17458"/>
    <w:rsid w:val="7BEB3862"/>
    <w:rsid w:val="7BF546E1"/>
    <w:rsid w:val="7BF74E3B"/>
    <w:rsid w:val="7BF87D2D"/>
    <w:rsid w:val="7C01358C"/>
    <w:rsid w:val="7C030BAC"/>
    <w:rsid w:val="7C08168C"/>
    <w:rsid w:val="7C11382C"/>
    <w:rsid w:val="7C1C76BD"/>
    <w:rsid w:val="7C1D1542"/>
    <w:rsid w:val="7C232FFC"/>
    <w:rsid w:val="7C237B8A"/>
    <w:rsid w:val="7C257CBE"/>
    <w:rsid w:val="7C2E19A1"/>
    <w:rsid w:val="7C336426"/>
    <w:rsid w:val="7C356D43"/>
    <w:rsid w:val="7C374CF9"/>
    <w:rsid w:val="7C431A41"/>
    <w:rsid w:val="7C4412E1"/>
    <w:rsid w:val="7C4446F4"/>
    <w:rsid w:val="7C444D20"/>
    <w:rsid w:val="7C492337"/>
    <w:rsid w:val="7C52568F"/>
    <w:rsid w:val="7C5E5077"/>
    <w:rsid w:val="7C6230DB"/>
    <w:rsid w:val="7C63164A"/>
    <w:rsid w:val="7C66738C"/>
    <w:rsid w:val="7C690F17"/>
    <w:rsid w:val="7C69673C"/>
    <w:rsid w:val="7C714109"/>
    <w:rsid w:val="7C766D2B"/>
    <w:rsid w:val="7C7E0232"/>
    <w:rsid w:val="7C7E6484"/>
    <w:rsid w:val="7C835849"/>
    <w:rsid w:val="7C857813"/>
    <w:rsid w:val="7C8C2AE3"/>
    <w:rsid w:val="7C9006F1"/>
    <w:rsid w:val="7C9537CE"/>
    <w:rsid w:val="7C9E08D4"/>
    <w:rsid w:val="7CAD0B17"/>
    <w:rsid w:val="7CAF04D4"/>
    <w:rsid w:val="7CAF4890"/>
    <w:rsid w:val="7CB01901"/>
    <w:rsid w:val="7CB023B6"/>
    <w:rsid w:val="7CB11FA8"/>
    <w:rsid w:val="7CBC6FAC"/>
    <w:rsid w:val="7CC03568"/>
    <w:rsid w:val="7CC548D0"/>
    <w:rsid w:val="7CC61BD9"/>
    <w:rsid w:val="7CC860A5"/>
    <w:rsid w:val="7CCB2E3A"/>
    <w:rsid w:val="7CCD68E7"/>
    <w:rsid w:val="7CD97B5E"/>
    <w:rsid w:val="7CE404A4"/>
    <w:rsid w:val="7CE4330E"/>
    <w:rsid w:val="7CEE2BCE"/>
    <w:rsid w:val="7CF229CE"/>
    <w:rsid w:val="7D0050EB"/>
    <w:rsid w:val="7D0338A2"/>
    <w:rsid w:val="7D034BDB"/>
    <w:rsid w:val="7D0C6095"/>
    <w:rsid w:val="7D0E5A5A"/>
    <w:rsid w:val="7D0F1E45"/>
    <w:rsid w:val="7D135677"/>
    <w:rsid w:val="7D1B104E"/>
    <w:rsid w:val="7D1D4C50"/>
    <w:rsid w:val="7D1D5C9D"/>
    <w:rsid w:val="7D23174B"/>
    <w:rsid w:val="7D242BDB"/>
    <w:rsid w:val="7D250B4D"/>
    <w:rsid w:val="7D25327D"/>
    <w:rsid w:val="7D2C7C8E"/>
    <w:rsid w:val="7D2E2162"/>
    <w:rsid w:val="7D2E53CE"/>
    <w:rsid w:val="7D3036DB"/>
    <w:rsid w:val="7D32101D"/>
    <w:rsid w:val="7D3905FD"/>
    <w:rsid w:val="7D470F6C"/>
    <w:rsid w:val="7D480840"/>
    <w:rsid w:val="7D4A280A"/>
    <w:rsid w:val="7D4C0330"/>
    <w:rsid w:val="7D4E22FA"/>
    <w:rsid w:val="7D4E40A8"/>
    <w:rsid w:val="7D545437"/>
    <w:rsid w:val="7D562F5D"/>
    <w:rsid w:val="7D580E3B"/>
    <w:rsid w:val="7D5C66D7"/>
    <w:rsid w:val="7D5D253D"/>
    <w:rsid w:val="7D67516A"/>
    <w:rsid w:val="7D6A07B6"/>
    <w:rsid w:val="7D6C7F41"/>
    <w:rsid w:val="7D6F3769"/>
    <w:rsid w:val="7D780418"/>
    <w:rsid w:val="7D7B29C4"/>
    <w:rsid w:val="7D851A94"/>
    <w:rsid w:val="7D852E5E"/>
    <w:rsid w:val="7D87580C"/>
    <w:rsid w:val="7D8908F9"/>
    <w:rsid w:val="7D8A2C07"/>
    <w:rsid w:val="7D8C2E23"/>
    <w:rsid w:val="7D9113F0"/>
    <w:rsid w:val="7D9341B1"/>
    <w:rsid w:val="7D9D1F01"/>
    <w:rsid w:val="7DAF0C8C"/>
    <w:rsid w:val="7DAF2372"/>
    <w:rsid w:val="7DB36601"/>
    <w:rsid w:val="7DB859C6"/>
    <w:rsid w:val="7DC27B7C"/>
    <w:rsid w:val="7DC437A1"/>
    <w:rsid w:val="7DC56785"/>
    <w:rsid w:val="7DC83B00"/>
    <w:rsid w:val="7DC9372F"/>
    <w:rsid w:val="7DD02D0F"/>
    <w:rsid w:val="7DD2549D"/>
    <w:rsid w:val="7DD50326"/>
    <w:rsid w:val="7DD547CA"/>
    <w:rsid w:val="7DDD542C"/>
    <w:rsid w:val="7DE40569"/>
    <w:rsid w:val="7DE91552"/>
    <w:rsid w:val="7DF05160"/>
    <w:rsid w:val="7DF20182"/>
    <w:rsid w:val="7DFC2364"/>
    <w:rsid w:val="7E05786D"/>
    <w:rsid w:val="7E0724A9"/>
    <w:rsid w:val="7E096221"/>
    <w:rsid w:val="7E123328"/>
    <w:rsid w:val="7E12404D"/>
    <w:rsid w:val="7E137EC1"/>
    <w:rsid w:val="7E1A121E"/>
    <w:rsid w:val="7E1A3F8B"/>
    <w:rsid w:val="7E1E56F5"/>
    <w:rsid w:val="7E227624"/>
    <w:rsid w:val="7E244E09"/>
    <w:rsid w:val="7E293E24"/>
    <w:rsid w:val="7E2B43EA"/>
    <w:rsid w:val="7E2D63B4"/>
    <w:rsid w:val="7E2E2D4B"/>
    <w:rsid w:val="7E2F1168"/>
    <w:rsid w:val="7E41524D"/>
    <w:rsid w:val="7E430A4C"/>
    <w:rsid w:val="7E4620E1"/>
    <w:rsid w:val="7E5202D3"/>
    <w:rsid w:val="7E635932"/>
    <w:rsid w:val="7E6416AA"/>
    <w:rsid w:val="7E652BEB"/>
    <w:rsid w:val="7E6D4A02"/>
    <w:rsid w:val="7E722019"/>
    <w:rsid w:val="7E78024A"/>
    <w:rsid w:val="7E786F03"/>
    <w:rsid w:val="7E8450F6"/>
    <w:rsid w:val="7E857F9E"/>
    <w:rsid w:val="7E8835EA"/>
    <w:rsid w:val="7E9401E1"/>
    <w:rsid w:val="7E9735D9"/>
    <w:rsid w:val="7E9755DB"/>
    <w:rsid w:val="7E9A331D"/>
    <w:rsid w:val="7E9B0485"/>
    <w:rsid w:val="7E9C7095"/>
    <w:rsid w:val="7E9D7975"/>
    <w:rsid w:val="7EA5047E"/>
    <w:rsid w:val="7EB02B41"/>
    <w:rsid w:val="7EB97C47"/>
    <w:rsid w:val="7EBF1AAA"/>
    <w:rsid w:val="7EC00FD6"/>
    <w:rsid w:val="7EC65EC0"/>
    <w:rsid w:val="7ECD724F"/>
    <w:rsid w:val="7ED22AB7"/>
    <w:rsid w:val="7ED56104"/>
    <w:rsid w:val="7EDB7BBE"/>
    <w:rsid w:val="7EE60311"/>
    <w:rsid w:val="7EED78F1"/>
    <w:rsid w:val="7EEF64CE"/>
    <w:rsid w:val="7EF13645"/>
    <w:rsid w:val="7EF235FE"/>
    <w:rsid w:val="7EF40C80"/>
    <w:rsid w:val="7EF55075"/>
    <w:rsid w:val="7EF70770"/>
    <w:rsid w:val="7EF7251E"/>
    <w:rsid w:val="7EFD797B"/>
    <w:rsid w:val="7F020597"/>
    <w:rsid w:val="7F0215EE"/>
    <w:rsid w:val="7F027E37"/>
    <w:rsid w:val="7F030EC3"/>
    <w:rsid w:val="7F060810"/>
    <w:rsid w:val="7F080287"/>
    <w:rsid w:val="7F116BFC"/>
    <w:rsid w:val="7F160BF6"/>
    <w:rsid w:val="7F160CF6"/>
    <w:rsid w:val="7F1906E6"/>
    <w:rsid w:val="7F1F4551"/>
    <w:rsid w:val="7F280929"/>
    <w:rsid w:val="7F2B473E"/>
    <w:rsid w:val="7F2C666B"/>
    <w:rsid w:val="7F2D5F40"/>
    <w:rsid w:val="7F475176"/>
    <w:rsid w:val="7F4F6B9E"/>
    <w:rsid w:val="7F5259A6"/>
    <w:rsid w:val="7F567244"/>
    <w:rsid w:val="7F581804"/>
    <w:rsid w:val="7F68581B"/>
    <w:rsid w:val="7F686F78"/>
    <w:rsid w:val="7F6C4CBA"/>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A0C38"/>
    <w:rsid w:val="7FAA7590"/>
    <w:rsid w:val="7FAD3976"/>
    <w:rsid w:val="7FB64187"/>
    <w:rsid w:val="7FBA3C77"/>
    <w:rsid w:val="7FBC33D3"/>
    <w:rsid w:val="7FC756CE"/>
    <w:rsid w:val="7FCD0635"/>
    <w:rsid w:val="7FCE6DA9"/>
    <w:rsid w:val="7FD367AA"/>
    <w:rsid w:val="7FD810E5"/>
    <w:rsid w:val="7FD8234F"/>
    <w:rsid w:val="7FDD7966"/>
    <w:rsid w:val="7FDF0FB8"/>
    <w:rsid w:val="7FEC09EB"/>
    <w:rsid w:val="7FEC1F50"/>
    <w:rsid w:val="7FED79D9"/>
    <w:rsid w:val="7FF52F01"/>
    <w:rsid w:val="7FF56D01"/>
    <w:rsid w:val="7FF770F3"/>
    <w:rsid w:val="7FFA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3">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_Style 16"/>
    <w:basedOn w:val="1"/>
    <w:next w:val="14"/>
    <w:autoRedefine/>
    <w:qFormat/>
    <w:uiPriority w:val="0"/>
    <w:rPr>
      <w:rFonts w:ascii="宋体" w:hAnsi="Courier New"/>
      <w:szCs w:val="20"/>
    </w:rPr>
  </w:style>
  <w:style w:type="paragraph" w:styleId="86">
    <w:name w:val="No Spacing"/>
    <w:basedOn w:val="1"/>
    <w:autoRedefine/>
    <w:qFormat/>
    <w:uiPriority w:val="1"/>
    <w:pPr>
      <w:adjustRightInd w:val="0"/>
      <w:snapToGrid w:val="0"/>
      <w:spacing w:line="360" w:lineRule="auto"/>
    </w:pPr>
    <w:rPr>
      <w:rFonts w:cstheme="minorBidi"/>
      <w:sz w:val="21"/>
      <w:szCs w:val="22"/>
    </w:rPr>
  </w:style>
  <w:style w:type="paragraph" w:customStyle="1" w:styleId="87">
    <w:name w:val="样式 标题 1 + 首行缩进:  2 字符"/>
    <w:basedOn w:val="12"/>
    <w:next w:val="1"/>
    <w:autoRedefine/>
    <w:qFormat/>
    <w:uiPriority w:val="0"/>
    <w:pPr>
      <w:ind w:firstLine="200" w:firstLineChars="200"/>
      <w:jc w:val="center"/>
    </w:pPr>
    <w:rPr>
      <w:rFonts w:cs="宋体"/>
    </w:rPr>
  </w:style>
  <w:style w:type="paragraph" w:customStyle="1" w:styleId="88">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89">
    <w:name w:val="news1"/>
    <w:autoRedefine/>
    <w:qFormat/>
    <w:uiPriority w:val="0"/>
    <w:rPr>
      <w:color w:val="000000"/>
      <w:sz w:val="18"/>
      <w:szCs w:val="18"/>
      <w:u w:val="none"/>
    </w:rPr>
  </w:style>
  <w:style w:type="paragraph" w:customStyle="1" w:styleId="90">
    <w:name w:val="样式1"/>
    <w:basedOn w:val="1"/>
    <w:next w:val="23"/>
    <w:autoRedefine/>
    <w:qFormat/>
    <w:uiPriority w:val="0"/>
    <w:pPr>
      <w:ind w:firstLine="462" w:firstLineChars="200"/>
    </w:pPr>
    <w:rPr>
      <w:rFonts w:ascii="宋体" w:hAnsi="宋体"/>
      <w:color w:val="000000"/>
      <w:kern w:val="0"/>
      <w:sz w:val="24"/>
    </w:rPr>
  </w:style>
  <w:style w:type="paragraph" w:customStyle="1" w:styleId="91">
    <w:name w:val="样式5"/>
    <w:basedOn w:val="92"/>
    <w:autoRedefine/>
    <w:qFormat/>
    <w:uiPriority w:val="0"/>
    <w:pPr>
      <w:spacing w:line="480" w:lineRule="exact"/>
      <w:ind w:firstLine="200"/>
    </w:pPr>
    <w:rPr>
      <w:sz w:val="28"/>
    </w:rPr>
  </w:style>
  <w:style w:type="paragraph" w:customStyle="1" w:styleId="92">
    <w:name w:val="样式3"/>
    <w:basedOn w:val="18"/>
    <w:next w:val="12"/>
    <w:autoRedefine/>
    <w:qFormat/>
    <w:uiPriority w:val="0"/>
    <w:pPr>
      <w:widowControl/>
      <w:spacing w:line="490" w:lineRule="exact"/>
      <w:jc w:val="left"/>
    </w:pPr>
  </w:style>
  <w:style w:type="character" w:customStyle="1" w:styleId="93">
    <w:name w:val="fontstyle01"/>
    <w:basedOn w:val="27"/>
    <w:autoRedefine/>
    <w:qFormat/>
    <w:uiPriority w:val="0"/>
    <w:rPr>
      <w:rFonts w:hint="eastAsia" w:ascii="宋体" w:hAnsi="宋体" w:eastAsia="宋体"/>
      <w:color w:val="000000"/>
      <w:sz w:val="24"/>
      <w:szCs w:val="24"/>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4970</Words>
  <Characters>5877</Characters>
  <Lines>0</Lines>
  <Paragraphs>0</Paragraphs>
  <TotalTime>0</TotalTime>
  <ScaleCrop>false</ScaleCrop>
  <LinksUpToDate>false</LinksUpToDate>
  <CharactersWithSpaces>6035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