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05929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华北油气分公司采油一厂JH55P2等3宗评价井建设项目（JH55P2）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竣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工环境保护验收</w:t>
      </w:r>
    </w:p>
    <w:p w14:paraId="140944BD">
      <w:pPr>
        <w:jc w:val="center"/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验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收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</w:rPr>
        <w:t>组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意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见</w:t>
      </w:r>
    </w:p>
    <w:p w14:paraId="5115326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日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根据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《华北油气分公司采油一厂JH55P2等3宗评价井建设项目（JH55P2）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竣工环境保护验收调查表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》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并对照《建设项目竣工环境保护验收暂行办法》，严格依照国家有关法律法规、建设项目竣工环境保护验收技术规范/指南、本项目环境影响评价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报告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表和审批部门审批决定等要求对本项目进行验收。验收组由建设单位-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、验收编制单位-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甘肃卉昕朋环保科技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有限公司和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3位特邀专家组成。</w:t>
      </w:r>
    </w:p>
    <w:p w14:paraId="1595138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cs="宋体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验收组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部分代表现场核查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了环境保护设施和措施落实情况，会议听取了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、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甘肃卉昕朋环保科技有限公司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对本项目建设和环保设施落实情况的介绍和汇报。验收组审阅并核实了有关资料，经认真讨论，形成验收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意见如下</w:t>
      </w:r>
      <w:r>
        <w:rPr>
          <w:rFonts w:hint="eastAsia" w:cs="宋体"/>
          <w:color w:val="auto"/>
          <w:sz w:val="24"/>
          <w:szCs w:val="24"/>
        </w:rPr>
        <w:t>：</w:t>
      </w:r>
    </w:p>
    <w:p w14:paraId="40B583D9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一、工程建设基本情况</w:t>
      </w:r>
    </w:p>
    <w:p w14:paraId="3B821129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1、建设地点、规模、主要建设内容</w:t>
      </w:r>
    </w:p>
    <w:p w14:paraId="0B3472C9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bookmarkStart w:id="0" w:name="_Hlk40274911"/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JH55P2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井场位于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宁县平子镇平子村十一组，坐标：E108°09′46.218″，N35°26′08.602″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。</w:t>
      </w:r>
      <w:r>
        <w:rPr>
          <w:rFonts w:ascii="Times New Roman" w:hAnsi="Times New Roman" w:cs="Times New Roman"/>
          <w:sz w:val="24"/>
          <w:szCs w:val="24"/>
        </w:rPr>
        <w:t>通过完井测试评价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油</w:t>
      </w:r>
      <w:r>
        <w:rPr>
          <w:rFonts w:ascii="Times New Roman" w:hAnsi="Times New Roman" w:cs="Times New Roman"/>
          <w:sz w:val="24"/>
          <w:szCs w:val="24"/>
        </w:rPr>
        <w:t>藏情况，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场地已恢复平整，井口进行临时关井，待转产，除预留转为生产开发所需的面积外，对其余临时占地进行了恢复，对进场道路及井场周边等及时进行了绿化。</w:t>
      </w:r>
      <w:r>
        <w:rPr>
          <w:rFonts w:hint="eastAsia" w:ascii="Times New Roman" w:hAnsi="Times New Roman" w:cs="Times New Roman"/>
          <w:sz w:val="24"/>
          <w:szCs w:val="24"/>
        </w:rPr>
        <w:t>项目建设内容主要有钻前工程（包括道路工程、配套设施建设以及钻井设备安装等）、钻井工程（钻井和固井等）、完井作业、完井作业后的废弃物处理、井队搬迁及临时占地生态恢复。</w:t>
      </w:r>
    </w:p>
    <w:bookmarkEnd w:id="0"/>
    <w:p w14:paraId="2A9262B2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2、建设过程及环保审批情况</w:t>
      </w:r>
    </w:p>
    <w:p w14:paraId="5B120C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Lines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bookmarkStart w:id="1" w:name="_Hlk40274924"/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本项目涉及井场钻探、试油情况见下表：</w:t>
      </w:r>
    </w:p>
    <w:tbl>
      <w:tblPr>
        <w:tblStyle w:val="13"/>
        <w:tblW w:w="5007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02"/>
        <w:gridCol w:w="1858"/>
        <w:gridCol w:w="1622"/>
        <w:gridCol w:w="1784"/>
        <w:gridCol w:w="1796"/>
      </w:tblGrid>
      <w:tr w14:paraId="3E5DC8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16" w:type="pct"/>
            <w:noWrap w:val="0"/>
            <w:vAlign w:val="center"/>
          </w:tcPr>
          <w:p w14:paraId="0CB9C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井场</w:t>
            </w:r>
          </w:p>
        </w:tc>
        <w:tc>
          <w:tcPr>
            <w:tcW w:w="1048" w:type="pct"/>
            <w:noWrap w:val="0"/>
            <w:vAlign w:val="center"/>
          </w:tcPr>
          <w:p w14:paraId="5ED7D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开钻时间</w:t>
            </w:r>
          </w:p>
        </w:tc>
        <w:tc>
          <w:tcPr>
            <w:tcW w:w="915" w:type="pct"/>
            <w:noWrap w:val="0"/>
            <w:vAlign w:val="center"/>
          </w:tcPr>
          <w:p w14:paraId="2BE0A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完钻时间</w:t>
            </w:r>
          </w:p>
        </w:tc>
        <w:tc>
          <w:tcPr>
            <w:tcW w:w="1006" w:type="pct"/>
            <w:noWrap w:val="0"/>
            <w:vAlign w:val="center"/>
          </w:tcPr>
          <w:p w14:paraId="030F9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试油开始时间</w:t>
            </w:r>
          </w:p>
        </w:tc>
        <w:tc>
          <w:tcPr>
            <w:tcW w:w="1013" w:type="pct"/>
            <w:noWrap w:val="0"/>
            <w:vAlign w:val="center"/>
          </w:tcPr>
          <w:p w14:paraId="318D4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试油结束时间</w:t>
            </w:r>
          </w:p>
        </w:tc>
      </w:tr>
      <w:tr w14:paraId="19237F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16" w:type="pct"/>
            <w:shd w:val="clear" w:color="auto" w:fill="auto"/>
            <w:noWrap w:val="0"/>
            <w:vAlign w:val="center"/>
          </w:tcPr>
          <w:p w14:paraId="5FCFD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JH55P11</w:t>
            </w:r>
          </w:p>
        </w:tc>
        <w:tc>
          <w:tcPr>
            <w:tcW w:w="1048" w:type="pct"/>
            <w:shd w:val="clear" w:color="auto" w:fill="auto"/>
            <w:noWrap w:val="0"/>
            <w:vAlign w:val="center"/>
          </w:tcPr>
          <w:p w14:paraId="2C8E6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2024-12-15</w:t>
            </w:r>
          </w:p>
        </w:tc>
        <w:tc>
          <w:tcPr>
            <w:tcW w:w="915" w:type="pct"/>
            <w:shd w:val="clear" w:color="auto" w:fill="auto"/>
            <w:noWrap w:val="0"/>
            <w:vAlign w:val="center"/>
          </w:tcPr>
          <w:p w14:paraId="37CC3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2024-12-25</w:t>
            </w:r>
          </w:p>
        </w:tc>
        <w:tc>
          <w:tcPr>
            <w:tcW w:w="1006" w:type="pct"/>
            <w:shd w:val="clear" w:color="auto" w:fill="auto"/>
            <w:noWrap w:val="0"/>
            <w:vAlign w:val="center"/>
          </w:tcPr>
          <w:p w14:paraId="2957D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2025-02-05</w:t>
            </w:r>
          </w:p>
        </w:tc>
        <w:tc>
          <w:tcPr>
            <w:tcW w:w="1013" w:type="pct"/>
            <w:shd w:val="clear" w:color="auto" w:fill="auto"/>
            <w:noWrap w:val="0"/>
            <w:vAlign w:val="center"/>
          </w:tcPr>
          <w:p w14:paraId="4A12F8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2025-03-22</w:t>
            </w:r>
          </w:p>
        </w:tc>
      </w:tr>
    </w:tbl>
    <w:p w14:paraId="5AE13A4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完成（含试油），场地已恢复平整，井口进行临时关井，待转产。</w:t>
      </w:r>
    </w:p>
    <w:p w14:paraId="74A4384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甘肃卉昕朋环保科技有限公司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编制完成了《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华北油气分公司采油一厂JH55P2等3宗评价井建设项目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环境影响报告表》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包括：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JH55P2、永平1H、永平2H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10月10</w:t>
      </w:r>
      <w:r>
        <w:rPr>
          <w:rFonts w:ascii="Times New Roman" w:hAnsi="Times New Roman" w:cs="Times New Roman"/>
          <w:sz w:val="24"/>
          <w:szCs w:val="24"/>
        </w:rPr>
        <w:t>日，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庆阳市生态环境局</w:t>
      </w:r>
      <w:r>
        <w:rPr>
          <w:rFonts w:hint="eastAsia" w:ascii="Times New Roman" w:hAnsi="Times New Roman" w:cs="Times New Roman"/>
          <w:sz w:val="24"/>
          <w:szCs w:val="24"/>
        </w:rPr>
        <w:t>批复了</w:t>
      </w:r>
      <w:r>
        <w:rPr>
          <w:rFonts w:ascii="Times New Roman" w:hAnsi="Times New Roman" w:cs="Times New Roman"/>
          <w:sz w:val="24"/>
          <w:szCs w:val="24"/>
        </w:rPr>
        <w:t>《关于</w:t>
      </w:r>
      <w:r>
        <w:rPr>
          <w:rFonts w:hint="eastAsia" w:ascii="Times New Roman" w:hAnsi="Times New Roman" w:cs="Times New Roman"/>
          <w:sz w:val="24"/>
          <w:szCs w:val="24"/>
        </w:rPr>
        <w:t>&lt;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华北油气分公司采油一厂JH55P2等3宗评价井建设项目</w:t>
      </w:r>
      <w:r>
        <w:rPr>
          <w:rFonts w:ascii="Times New Roman" w:hAnsi="Times New Roman" w:cs="Times New Roman"/>
          <w:sz w:val="24"/>
          <w:szCs w:val="24"/>
        </w:rPr>
        <w:t>环境影响报告表</w:t>
      </w:r>
      <w:r>
        <w:rPr>
          <w:rFonts w:hint="eastAsia"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的审批意见》</w:t>
      </w:r>
      <w:r>
        <w:rPr>
          <w:rFonts w:hint="eastAsia" w:ascii="Times New Roman" w:hAnsi="Times New Roman" w:cs="Times New Roman"/>
          <w:sz w:val="24"/>
          <w:szCs w:val="24"/>
        </w:rPr>
        <w:t>，批准文号：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庆环评表字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〔2023〕153号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）</w:t>
      </w:r>
      <w:r>
        <w:rPr>
          <w:rFonts w:ascii="Times New Roman" w:hAnsi="Times New Roman" w:cs="Times New Roman"/>
          <w:color w:val="auto"/>
          <w:sz w:val="24"/>
          <w:szCs w:val="24"/>
        </w:rPr>
        <w:t>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本次验收的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华北油气分公司采油一厂JH55P2等3宗评价井建设项目（JH55P2）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属于该报告表的建设内容，验收为阶段性验收。</w:t>
      </w:r>
    </w:p>
    <w:bookmarkEnd w:id="1"/>
    <w:p w14:paraId="3E7039A7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、投资情况</w:t>
      </w:r>
    </w:p>
    <w:p w14:paraId="7D6F9C27">
      <w:pPr>
        <w:pStyle w:val="20"/>
        <w:widowControl w:val="0"/>
        <w:rPr>
          <w:rFonts w:hint="eastAsia" w:eastAsia="宋体"/>
          <w:bCs w:val="0"/>
          <w:snapToGrid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原环评文件中涉及3口井的预计总投资</w:t>
      </w:r>
      <w:r>
        <w:rPr>
          <w:rFonts w:hint="eastAsia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13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00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万元，</w:t>
      </w:r>
      <w:r>
        <w:rPr>
          <w:rFonts w:hint="eastAsia"/>
          <w:color w:val="auto"/>
          <w:szCs w:val="24"/>
        </w:rPr>
        <w:t>环保投资为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189.7</w:t>
      </w:r>
      <w:r>
        <w:rPr>
          <w:rFonts w:hint="eastAsia"/>
          <w:color w:val="auto"/>
          <w:szCs w:val="24"/>
        </w:rPr>
        <w:t>万元，占</w:t>
      </w:r>
      <w:r>
        <w:rPr>
          <w:rFonts w:hint="eastAsia"/>
          <w:color w:val="auto"/>
          <w:szCs w:val="24"/>
          <w:lang w:val="en-US" w:eastAsia="zh-CN"/>
        </w:rPr>
        <w:t>预计</w:t>
      </w:r>
      <w:r>
        <w:rPr>
          <w:rFonts w:hint="eastAsia"/>
          <w:color w:val="auto"/>
          <w:szCs w:val="24"/>
        </w:rPr>
        <w:t>总投资的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14.6</w:t>
      </w:r>
      <w:r>
        <w:rPr>
          <w:rFonts w:hint="eastAsia"/>
          <w:color w:val="auto"/>
          <w:szCs w:val="24"/>
        </w:rPr>
        <w:t>%</w:t>
      </w:r>
      <w:r>
        <w:rPr>
          <w:rFonts w:hint="eastAsia"/>
          <w:color w:val="auto"/>
          <w:szCs w:val="24"/>
          <w:lang w:eastAsia="zh-CN"/>
        </w:rPr>
        <w:t>。</w:t>
      </w:r>
      <w:r>
        <w:rPr>
          <w:rFonts w:hint="eastAsia"/>
          <w:color w:val="auto"/>
          <w:szCs w:val="24"/>
          <w:lang w:val="en-US" w:eastAsia="zh-CN"/>
        </w:rPr>
        <w:t>本次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验收的</w:t>
      </w:r>
      <w:r>
        <w:rPr>
          <w:rFonts w:hint="eastAsia" w:cs="Times New Roman"/>
          <w:color w:val="auto"/>
          <w:sz w:val="24"/>
          <w:szCs w:val="24"/>
          <w:lang w:eastAsia="zh-CN"/>
        </w:rPr>
        <w:t>华北油气分公司采油一厂JH55P2等3宗评价井建设项目（JH55P2）</w:t>
      </w:r>
      <w:r>
        <w:rPr>
          <w:rFonts w:hint="eastAsia"/>
          <w:color w:val="auto"/>
          <w:szCs w:val="24"/>
        </w:rPr>
        <w:t>实际</w:t>
      </w:r>
      <w:r>
        <w:rPr>
          <w:rFonts w:hint="eastAsia"/>
          <w:color w:val="auto"/>
          <w:szCs w:val="24"/>
          <w:lang w:val="en-US" w:eastAsia="zh-CN"/>
        </w:rPr>
        <w:t>总</w:t>
      </w:r>
      <w:r>
        <w:rPr>
          <w:rFonts w:hint="eastAsia"/>
          <w:color w:val="auto"/>
          <w:szCs w:val="24"/>
        </w:rPr>
        <w:t>投资</w:t>
      </w:r>
      <w:r>
        <w:rPr>
          <w:rFonts w:hint="eastAsia"/>
          <w:color w:val="auto"/>
          <w:szCs w:val="24"/>
          <w:lang w:val="en-US" w:eastAsia="zh-CN"/>
        </w:rPr>
        <w:t>500</w:t>
      </w:r>
      <w:r>
        <w:rPr>
          <w:rFonts w:hint="eastAsia"/>
          <w:color w:val="auto"/>
          <w:szCs w:val="24"/>
        </w:rPr>
        <w:t>万元，环保投资为</w:t>
      </w:r>
      <w:r>
        <w:rPr>
          <w:rFonts w:hint="eastAsia"/>
          <w:color w:val="auto"/>
          <w:szCs w:val="24"/>
          <w:lang w:val="en-US" w:eastAsia="zh-CN"/>
        </w:rPr>
        <w:t>75.9</w:t>
      </w:r>
      <w:r>
        <w:rPr>
          <w:rFonts w:hint="eastAsia"/>
          <w:color w:val="auto"/>
          <w:szCs w:val="24"/>
        </w:rPr>
        <w:t>万元，占总投资的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11.0</w:t>
      </w:r>
      <w:r>
        <w:rPr>
          <w:rFonts w:hint="eastAsia"/>
          <w:color w:val="auto"/>
          <w:szCs w:val="24"/>
        </w:rPr>
        <w:t>%。</w:t>
      </w:r>
    </w:p>
    <w:p w14:paraId="755C920F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、验收范围</w:t>
      </w:r>
    </w:p>
    <w:p w14:paraId="668E832A">
      <w:pPr>
        <w:pStyle w:val="20"/>
        <w:widowControl w:val="0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根据《建设项目竣工环境保护验收暂行办法》（国环规评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〔2017〕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4号），本次验收范围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与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环境影响影响报告表及其批复规定的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验收范围一致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（只针对环评批复中3口中的其中1口：JH55P2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）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。</w:t>
      </w:r>
    </w:p>
    <w:p w14:paraId="4C422657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二、工程</w:t>
      </w:r>
      <w:r>
        <w:rPr>
          <w:rFonts w:hint="eastAsia" w:ascii="Times New Roman" w:hAnsi="Times New Roman"/>
          <w:b/>
          <w:sz w:val="24"/>
          <w:szCs w:val="24"/>
        </w:rPr>
        <w:t>变动</w:t>
      </w:r>
      <w:r>
        <w:rPr>
          <w:rFonts w:hint="eastAsia" w:ascii="Times New Roman" w:hAnsi="Times New Roman" w:cs="Times New Roman"/>
          <w:b/>
          <w:sz w:val="24"/>
          <w:szCs w:val="24"/>
        </w:rPr>
        <w:t>情况</w:t>
      </w:r>
    </w:p>
    <w:p w14:paraId="22EA7CBE">
      <w:pPr>
        <w:spacing w:line="360" w:lineRule="auto"/>
        <w:ind w:firstLine="480" w:firstLineChars="200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</w:rPr>
        <w:t>根据本项目实际情况，对照环评文件、环办</w:t>
      </w:r>
      <w:r>
        <w:rPr>
          <w:rFonts w:hint="eastAsia" w:ascii="Times New Roman" w:hAnsi="Times New Roman"/>
          <w:sz w:val="24"/>
          <w:lang w:val="en-US" w:eastAsia="zh-CN"/>
        </w:rPr>
        <w:t>〔2015〕</w:t>
      </w:r>
      <w:r>
        <w:rPr>
          <w:rFonts w:hint="eastAsia" w:ascii="Times New Roman" w:hAnsi="Times New Roman"/>
          <w:sz w:val="24"/>
        </w:rPr>
        <w:t>52号《关于印发环评管理中部分行业建设项目重大变动清单的通知》、环办环评函〔2019〕</w:t>
      </w:r>
      <w:r>
        <w:rPr>
          <w:rFonts w:hint="eastAsia" w:ascii="Times New Roman" w:hAnsi="Times New Roman"/>
          <w:sz w:val="24"/>
          <w:lang w:val="en-US" w:eastAsia="zh-CN"/>
        </w:rPr>
        <w:t>91</w:t>
      </w:r>
      <w:r>
        <w:rPr>
          <w:rFonts w:hint="eastAsia" w:ascii="Times New Roman" w:hAnsi="Times New Roman"/>
          <w:sz w:val="24"/>
          <w:lang w:eastAsia="zh-CN"/>
        </w:rPr>
        <w:t>0</w:t>
      </w:r>
      <w:r>
        <w:rPr>
          <w:rFonts w:hint="eastAsia" w:ascii="Times New Roman" w:hAnsi="Times New Roman"/>
          <w:sz w:val="24"/>
        </w:rPr>
        <w:t>号《关于进一步加强石油天然气行业环境影响评价管理的通知》文件有关要求</w:t>
      </w:r>
      <w:r>
        <w:rPr>
          <w:rFonts w:hint="eastAsia" w:ascii="Times New Roman" w:hAnsi="Times New Roman"/>
          <w:sz w:val="24"/>
          <w:lang w:eastAsia="zh-CN"/>
        </w:rPr>
        <w:t>。</w:t>
      </w:r>
      <w:r>
        <w:rPr>
          <w:rFonts w:hint="eastAsia" w:ascii="Times New Roman" w:hAnsi="Times New Roman"/>
          <w:sz w:val="24"/>
          <w:lang w:val="en-US" w:eastAsia="zh-CN"/>
        </w:rPr>
        <w:t>本项目设计井深2500m，实际钻井深度为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2012</w:t>
      </w:r>
      <w:r>
        <w:rPr>
          <w:rFonts w:hint="eastAsia" w:ascii="Times New Roman" w:hAnsi="Times New Roman"/>
          <w:sz w:val="24"/>
          <w:lang w:val="en-US" w:eastAsia="zh-CN"/>
        </w:rPr>
        <w:t>m，钻井目的层未发生变化。</w:t>
      </w:r>
    </w:p>
    <w:p w14:paraId="47386996"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本项目的建设地点、性质、施工工艺与环评阶段一致；总体上项目的建设对周围环境的影响与环境影响评价的结论一致</w:t>
      </w:r>
      <w:bookmarkStart w:id="2" w:name="_Hlk72485471"/>
      <w:r>
        <w:rPr>
          <w:rFonts w:hint="eastAsia" w:ascii="Times New Roman" w:hAnsi="Times New Roman"/>
          <w:sz w:val="24"/>
        </w:rPr>
        <w:t>，项目建设无重大</w:t>
      </w:r>
      <w:bookmarkEnd w:id="2"/>
      <w:r>
        <w:rPr>
          <w:rFonts w:hint="eastAsia" w:ascii="Times New Roman" w:hAnsi="Times New Roman"/>
          <w:sz w:val="24"/>
          <w:lang w:val="en-US" w:eastAsia="zh-CN"/>
        </w:rPr>
        <w:t>变动</w:t>
      </w:r>
      <w:r>
        <w:rPr>
          <w:rFonts w:hint="eastAsia" w:ascii="Times New Roman" w:hAnsi="Times New Roman"/>
          <w:sz w:val="24"/>
        </w:rPr>
        <w:t>。</w:t>
      </w:r>
    </w:p>
    <w:p w14:paraId="3D1FC48A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三、环境保护措施落实情况</w:t>
      </w:r>
    </w:p>
    <w:p w14:paraId="6E04158B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1、</w:t>
      </w:r>
      <w:r>
        <w:rPr>
          <w:rFonts w:ascii="Times New Roman" w:hAnsi="Times New Roman"/>
          <w:sz w:val="24"/>
        </w:rPr>
        <w:t>施工期废气</w:t>
      </w:r>
      <w:r>
        <w:rPr>
          <w:rFonts w:ascii="Times New Roman" w:hAnsi="Times New Roman" w:cs="Times New Roman"/>
          <w:sz w:val="24"/>
          <w:szCs w:val="24"/>
        </w:rPr>
        <w:t>污染</w:t>
      </w:r>
      <w:r>
        <w:rPr>
          <w:rFonts w:ascii="Times New Roman" w:hAnsi="Times New Roman"/>
          <w:sz w:val="24"/>
        </w:rPr>
        <w:t>防治措施</w:t>
      </w:r>
    </w:p>
    <w:p w14:paraId="5AB2445F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废气主要包括施工扬尘</w:t>
      </w:r>
      <w:r>
        <w:rPr>
          <w:rFonts w:hint="eastAsia" w:ascii="Times New Roman" w:hAnsi="Times New Roman"/>
          <w:sz w:val="24"/>
          <w:lang w:eastAsia="zh-CN"/>
        </w:rPr>
        <w:t>、</w:t>
      </w:r>
      <w:r>
        <w:rPr>
          <w:rFonts w:hint="eastAsia" w:ascii="Times New Roman" w:hAnsi="Times New Roman"/>
          <w:sz w:val="24"/>
          <w:lang w:val="en-US" w:eastAsia="zh-CN"/>
        </w:rPr>
        <w:t>试油和</w:t>
      </w:r>
      <w:r>
        <w:rPr>
          <w:rFonts w:ascii="Times New Roman" w:hAnsi="Times New Roman"/>
          <w:sz w:val="24"/>
        </w:rPr>
        <w:t>施工机械（柴油机等）排放的燃料燃烧烟气。其中以内燃机为动力的施工机械作业具有排放量小、短期性和流动性特点，</w:t>
      </w:r>
      <w:r>
        <w:rPr>
          <w:rFonts w:hint="eastAsia" w:ascii="Times New Roman" w:hAnsi="Times New Roman"/>
          <w:sz w:val="24"/>
        </w:rPr>
        <w:t>施工现场采用符合国家标准的柴油作为燃料</w:t>
      </w:r>
      <w:bookmarkStart w:id="3" w:name="_Hlk40274733"/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采取</w:t>
      </w:r>
      <w:r>
        <w:rPr>
          <w:rFonts w:hint="eastAsia" w:ascii="Times New Roman" w:hAnsi="Times New Roman"/>
          <w:sz w:val="24"/>
        </w:rPr>
        <w:t>了场地围挡、洒水抑尘、车辆限速等</w:t>
      </w:r>
      <w:r>
        <w:rPr>
          <w:rFonts w:ascii="Times New Roman" w:hAnsi="Times New Roman"/>
          <w:sz w:val="24"/>
        </w:rPr>
        <w:t>抑尘措施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Times New Roman" w:hAnsi="Times New Roman"/>
          <w:sz w:val="24"/>
          <w:lang w:val="en-US" w:eastAsia="zh-CN"/>
        </w:rPr>
        <w:t>试油废气产生量较小，无组织排放</w:t>
      </w:r>
      <w:r>
        <w:rPr>
          <w:rFonts w:hint="eastAsia" w:ascii="Times New Roman" w:hAnsi="Times New Roman"/>
          <w:sz w:val="24"/>
        </w:rPr>
        <w:t>。</w:t>
      </w:r>
    </w:p>
    <w:bookmarkEnd w:id="3"/>
    <w:p w14:paraId="4062337A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2、</w:t>
      </w:r>
      <w:r>
        <w:rPr>
          <w:rFonts w:ascii="Times New Roman" w:hAnsi="Times New Roman"/>
          <w:sz w:val="24"/>
        </w:rPr>
        <w:t>施工期废水污染防治措施</w:t>
      </w:r>
    </w:p>
    <w:p w14:paraId="0464469A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sz w:val="24"/>
        </w:rPr>
        <w:t>项目钻井过程中采用表层套管封固含水层，井场铺设采用复合土工膜防渗层，并对散落在井场的污染物及时收集，防止对地下水造成污染。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经调查核实，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采取泥浆不落地处理工艺，经固液分离后产生的钻井废水部分回用于配置钻井泥浆，不可回用部分同洗井废水、压裂返排液一起由地上收集罐统一收集，雨水由雨水罐收集，井下作业完成后，由防渗漏、防溢流的运输车辆统一转移至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泾河8撬装式水净化站、红河废液处理站处理达标后回注油层，未外排。施工井场设置了移动式环保厕所，施工人员少量盥洗废水用于洒水降尘，无污水外排现象</w:t>
      </w:r>
      <w:r>
        <w:rPr>
          <w:rFonts w:hint="eastAsia" w:ascii="Times New Roman" w:hAnsi="Times New Roman"/>
          <w:color w:val="auto"/>
          <w:sz w:val="24"/>
        </w:rPr>
        <w:t>。</w:t>
      </w:r>
    </w:p>
    <w:p w14:paraId="55C6642A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3、</w:t>
      </w:r>
      <w:r>
        <w:rPr>
          <w:rFonts w:ascii="Times New Roman" w:hAnsi="Times New Roman"/>
          <w:color w:val="auto"/>
          <w:sz w:val="24"/>
        </w:rPr>
        <w:t>施工期噪声污染防治措施</w:t>
      </w:r>
    </w:p>
    <w:p w14:paraId="0A34984D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合理安排施工时间，运输车辆在途经该村庄路段时</w:t>
      </w:r>
      <w:r>
        <w:rPr>
          <w:rFonts w:hint="eastAsia" w:ascii="Times New Roman" w:hAnsi="Times New Roman"/>
          <w:color w:val="auto"/>
          <w:sz w:val="24"/>
        </w:rPr>
        <w:t>控制</w:t>
      </w:r>
      <w:r>
        <w:rPr>
          <w:rFonts w:ascii="Times New Roman" w:hAnsi="Times New Roman"/>
          <w:color w:val="auto"/>
          <w:sz w:val="24"/>
        </w:rPr>
        <w:t>车速，减少鸣笛</w:t>
      </w:r>
      <w:r>
        <w:rPr>
          <w:rFonts w:hint="eastAsia" w:ascii="Times New Roman" w:hAnsi="Times New Roman"/>
          <w:color w:val="auto"/>
          <w:sz w:val="24"/>
        </w:rPr>
        <w:t>；施工场地合理布局施工机械，高噪声</w:t>
      </w:r>
      <w:r>
        <w:rPr>
          <w:rFonts w:ascii="Times New Roman" w:hAnsi="Times New Roman"/>
          <w:color w:val="auto"/>
          <w:sz w:val="24"/>
        </w:rPr>
        <w:t>设备远离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声环境敏感点</w:t>
      </w:r>
      <w:r>
        <w:rPr>
          <w:rFonts w:ascii="Times New Roman" w:hAnsi="Times New Roman"/>
          <w:color w:val="auto"/>
          <w:sz w:val="24"/>
        </w:rPr>
        <w:t>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未有</w:t>
      </w:r>
      <w:r>
        <w:rPr>
          <w:rFonts w:ascii="Times New Roman" w:hAnsi="Times New Roman"/>
          <w:color w:val="auto"/>
          <w:sz w:val="24"/>
        </w:rPr>
        <w:t>噪声扰民现象的发生。</w:t>
      </w:r>
    </w:p>
    <w:p w14:paraId="13562691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4、施工期固体废物污染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控制</w:t>
      </w:r>
      <w:r>
        <w:rPr>
          <w:rFonts w:hint="eastAsia" w:ascii="Times New Roman" w:hAnsi="Times New Roman"/>
          <w:color w:val="auto"/>
          <w:sz w:val="24"/>
        </w:rPr>
        <w:t>措</w:t>
      </w:r>
    </w:p>
    <w:p w14:paraId="73A37A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钻井泥浆、钻井岩屑进入地上移动式泥浆罐，经泥浆不落地工艺固液分离后，固相暂存于固渣暂存处，由防渗漏、防溢流的运输车辆统一交给陕西华胜信达工程技术有限公司，由该单位委托庆阳市昊鑫恒益环境工程有限公司处置后填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采用“下铺上盖”方式。纯碱、膨润土废弃包装、废防渗布（不含油）由钻井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单位（五普40837HB）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回收综合利用。</w:t>
      </w:r>
    </w:p>
    <w:p w14:paraId="63763B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施工期未产生建筑垃圾及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废机油、废润滑油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含油岩屑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落地油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被污染的防渗布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废含油抹布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废过硫酸钾包装袋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经收集后，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委托庆阳丰泰环保有限责任公司进行安全处置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施工场地设置生活垃圾箱（桶）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，经收集后交由就近的生活垃圾中转站。</w:t>
      </w:r>
    </w:p>
    <w:p w14:paraId="5B47FE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不产生二次污染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</w:p>
    <w:p w14:paraId="5E5240AE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5、施工期生态保护</w:t>
      </w:r>
      <w:r>
        <w:rPr>
          <w:rFonts w:hint="eastAsia" w:ascii="Times New Roman" w:hAnsi="Times New Roman" w:cs="Times New Roman"/>
          <w:sz w:val="24"/>
          <w:szCs w:val="24"/>
        </w:rPr>
        <w:t>措施</w:t>
      </w:r>
    </w:p>
    <w:p w14:paraId="45EDE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施工过程采取加强控制施工作业范围的措施；加强生态环境保护教育，未随意砍伐破坏植被；施工期避开了雨季，对临时堆放场地采取遮盖、洒水等措施，以避免扬尘和水土流失；施工结束后，对临时占用土地（井场及进场道路）进行表土留存，分层回填，整平翻松，及时将表土运至场地绿化区及临时占地恢复区使用。根据现场踏勘，场地已恢复平整，井口进行临时关井，待转产，除预留转为生产开发所需的面积外，对其余临时占地进行了恢复，对进场道路及井场周边等及时进行了绿化。</w:t>
      </w:r>
    </w:p>
    <w:p w14:paraId="3D693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6、施工期环境风险措施</w:t>
      </w:r>
    </w:p>
    <w:p w14:paraId="50ED2C1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根据现场调查及了解，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施工期安装井控装置，防止井喷；加强各类储罐的储存管理，罐区均采用防渗措施，四周设置围堰；同时加强施工期间风险管理，井场布置按照《钻前工程及井场布置技术要求》的规定进行了设置；项目建设过程及完工后未发生井喷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、井漏等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环境风险事件。</w:t>
      </w:r>
    </w:p>
    <w:p w14:paraId="5DCD23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7、环境管理要求的落实情况</w:t>
      </w:r>
    </w:p>
    <w:p w14:paraId="75890F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纳入到建设单位的区域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突发环境事件应急预案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进行统一管理。施工期未发生环境事件。</w:t>
      </w:r>
    </w:p>
    <w:p w14:paraId="746A69D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四、建设项目对环境的影响</w:t>
      </w:r>
    </w:p>
    <w:p w14:paraId="6DE121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>1、土壤环境</w:t>
      </w:r>
    </w:p>
    <w:p w14:paraId="5C62B19B">
      <w:pPr>
        <w:spacing w:line="360" w:lineRule="auto"/>
        <w:ind w:firstLine="480" w:firstLineChars="200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  <w:sz w:val="24"/>
        </w:rPr>
        <w:t>根据</w:t>
      </w:r>
      <w:r>
        <w:rPr>
          <w:rFonts w:ascii="Times New Roman" w:hAnsi="Times New Roman"/>
          <w:color w:val="auto"/>
          <w:sz w:val="24"/>
        </w:rPr>
        <w:t>202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24"/>
        </w:rPr>
        <w:t>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24"/>
        </w:rPr>
        <w:t>月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26</w:t>
      </w:r>
      <w:r>
        <w:rPr>
          <w:rFonts w:hint="eastAsia" w:ascii="Times New Roman" w:hAnsi="Times New Roman"/>
          <w:color w:val="auto"/>
          <w:sz w:val="24"/>
        </w:rPr>
        <w:t>日</w:t>
      </w:r>
      <w:r>
        <w:rPr>
          <w:rFonts w:hint="eastAsia" w:ascii="Times New Roman" w:hAnsi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山东新航工程项目咨询有限公司对井场内外土壤的现场采样数据，进行土壤环境影响分析。井场泥浆不落地装置区、井场外50m农用地监测因子均符合《土壤环境质量-农用地土壤污染风险管控标准（试行）》（GB15618-2018）中相关要求、石油烃符合《农用地土壤环境风险评价技术规定（试行）》中500mg/kg要求。表明项目实施期间未对土壤环境造成污染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。</w:t>
      </w:r>
    </w:p>
    <w:p w14:paraId="19E69E8C">
      <w:pPr>
        <w:spacing w:line="360" w:lineRule="auto"/>
        <w:ind w:firstLine="482" w:firstLineChars="200"/>
        <w:outlineLvl w:val="1"/>
        <w:rPr>
          <w:rFonts w:ascii="Times New Roman" w:hAnsi="Times New Roman"/>
          <w:b/>
          <w:bCs/>
          <w:color w:val="auto"/>
          <w:sz w:val="24"/>
        </w:rPr>
      </w:pP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3、</w:t>
      </w:r>
      <w:r>
        <w:rPr>
          <w:rFonts w:ascii="Times New Roman" w:hAnsi="Times New Roman"/>
          <w:b/>
          <w:bCs/>
          <w:color w:val="auto"/>
          <w:sz w:val="24"/>
        </w:rPr>
        <w:t>生态环境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影响</w:t>
      </w:r>
      <w:r>
        <w:rPr>
          <w:rFonts w:ascii="Times New Roman" w:hAnsi="Times New Roman"/>
          <w:b/>
          <w:bCs/>
          <w:color w:val="auto"/>
          <w:sz w:val="24"/>
        </w:rPr>
        <w:t>调查结果</w:t>
      </w:r>
    </w:p>
    <w:p w14:paraId="4C79D96C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根据调查，建设单位</w:t>
      </w:r>
      <w:r>
        <w:rPr>
          <w:rFonts w:hint="eastAsia" w:ascii="Times New Roman" w:hAnsi="Times New Roman"/>
          <w:color w:val="auto"/>
          <w:sz w:val="24"/>
        </w:rPr>
        <w:t>在</w:t>
      </w:r>
      <w:r>
        <w:rPr>
          <w:rFonts w:ascii="Times New Roman" w:hAnsi="Times New Roman"/>
          <w:color w:val="auto"/>
          <w:sz w:val="24"/>
        </w:rPr>
        <w:t>施工期</w:t>
      </w:r>
      <w:r>
        <w:rPr>
          <w:rFonts w:hint="eastAsia" w:ascii="Times New Roman" w:hAnsi="Times New Roman"/>
          <w:color w:val="auto"/>
          <w:sz w:val="24"/>
        </w:rPr>
        <w:t>有明确的环境管理机构和工作制度</w:t>
      </w:r>
      <w:r>
        <w:rPr>
          <w:rFonts w:ascii="Times New Roman" w:hAnsi="Times New Roman"/>
          <w:color w:val="auto"/>
          <w:sz w:val="24"/>
        </w:rPr>
        <w:t>，严格控制</w:t>
      </w:r>
      <w:r>
        <w:rPr>
          <w:rFonts w:hint="eastAsia" w:ascii="Times New Roman" w:hAnsi="Times New Roman"/>
          <w:color w:val="auto"/>
          <w:sz w:val="24"/>
        </w:rPr>
        <w:t>了</w:t>
      </w:r>
      <w:r>
        <w:rPr>
          <w:rFonts w:ascii="Times New Roman" w:hAnsi="Times New Roman"/>
          <w:color w:val="auto"/>
          <w:sz w:val="24"/>
        </w:rPr>
        <w:t>施工范围</w:t>
      </w:r>
      <w:r>
        <w:rPr>
          <w:rFonts w:hint="eastAsia" w:ascii="Times New Roman" w:hAnsi="Times New Roman"/>
          <w:color w:val="auto"/>
          <w:sz w:val="24"/>
        </w:rPr>
        <w:t>。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临时关井</w:t>
      </w:r>
      <w:r>
        <w:rPr>
          <w:rFonts w:hint="eastAsia" w:ascii="Times New Roman" w:hAnsi="Times New Roman"/>
          <w:color w:val="auto"/>
          <w:sz w:val="24"/>
        </w:rPr>
        <w:t>后已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对井场</w:t>
      </w:r>
      <w:r>
        <w:rPr>
          <w:rFonts w:hint="eastAsia" w:ascii="Times New Roman" w:hAnsi="Times New Roman"/>
          <w:color w:val="auto"/>
          <w:sz w:val="24"/>
        </w:rPr>
        <w:t>进行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了</w:t>
      </w:r>
      <w:r>
        <w:rPr>
          <w:rFonts w:hint="eastAsia" w:ascii="Times New Roman" w:hAnsi="Times New Roman"/>
          <w:color w:val="auto"/>
          <w:sz w:val="24"/>
        </w:rPr>
        <w:t>场地平整、土壤分层回填，并对土壤进行疏松平整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及植被恢复。</w:t>
      </w:r>
    </w:p>
    <w:p w14:paraId="14CDEC2B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五、验收</w:t>
      </w:r>
      <w:r>
        <w:rPr>
          <w:rFonts w:hint="eastAsia" w:ascii="Times New Roman" w:hAnsi="Times New Roman"/>
          <w:b/>
          <w:color w:val="auto"/>
          <w:sz w:val="24"/>
          <w:szCs w:val="24"/>
        </w:rPr>
        <w:t>结论</w:t>
      </w:r>
    </w:p>
    <w:p w14:paraId="09952BC5"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本项目落实了环评及其批复提出的各项污染防治措施和生态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恢复</w:t>
      </w:r>
      <w:r>
        <w:rPr>
          <w:rFonts w:hint="default" w:ascii="Times New Roman" w:hAnsi="Times New Roman" w:cs="Times New Roman"/>
          <w:color w:val="auto"/>
          <w:sz w:val="24"/>
        </w:rPr>
        <w:t>措施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</w:rPr>
        <w:t>要求，总体上达到建设项目竣工环境保护验收的条件，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满足《建设项目竣工环境保护验收技术规范——生态影响类》（HJ/T394-2007）及其它相关技术标准和政策文件的要求，</w:t>
      </w:r>
      <w:r>
        <w:rPr>
          <w:rFonts w:hint="default" w:ascii="Times New Roman" w:hAnsi="Times New Roman" w:cs="Times New Roman"/>
          <w:color w:val="auto"/>
          <w:sz w:val="24"/>
        </w:rPr>
        <w:t>同意该项目通过竣工环境保护验收。</w:t>
      </w:r>
    </w:p>
    <w:p w14:paraId="23E6EA7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/>
          <w:b/>
          <w:color w:val="auto"/>
          <w:sz w:val="24"/>
          <w:szCs w:val="24"/>
        </w:rPr>
        <w:t>六、后续要求</w:t>
      </w:r>
    </w:p>
    <w:p w14:paraId="5CDE705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1、勘探井转为生产井，应另行履行相关环保手续。</w:t>
      </w:r>
    </w:p>
    <w:p w14:paraId="44463A6B">
      <w:pPr>
        <w:pStyle w:val="26"/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2、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加强井场生态恢复管理，做好植被恢复养护工作，保证植被成活率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。</w:t>
      </w:r>
    </w:p>
    <w:p w14:paraId="7B2DDB96">
      <w:pPr>
        <w:pStyle w:val="26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3、建设单位做好勘探井转为生产井的衔接，确保过渡期不产生新的生态环境不良影响。</w:t>
      </w:r>
    </w:p>
    <w:p w14:paraId="2C91BC63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七、验收人员信息</w:t>
      </w:r>
    </w:p>
    <w:p w14:paraId="46DCB3F2">
      <w:pPr>
        <w:spacing w:line="360" w:lineRule="auto"/>
        <w:ind w:firstLine="48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验收组人员名单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</w:rPr>
        <w:t>见附件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。</w:t>
      </w:r>
    </w:p>
    <w:p w14:paraId="50C1C652"/>
    <w:p w14:paraId="477615F8">
      <w:pPr>
        <w:spacing w:line="360" w:lineRule="auto"/>
        <w:ind w:firstLine="480"/>
        <w:jc w:val="right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bookmarkStart w:id="4" w:name="_Hlk72186327"/>
    </w:p>
    <w:p w14:paraId="7B04C87A">
      <w:pPr>
        <w:spacing w:line="360" w:lineRule="auto"/>
        <w:ind w:firstLine="480"/>
        <w:jc w:val="right"/>
        <w:rPr>
          <w:color w:val="auto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2025年5月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日</w:t>
      </w:r>
      <w:bookmarkEnd w:id="4"/>
    </w:p>
    <w:p w14:paraId="6D790FE3">
      <w:pPr>
        <w:pStyle w:val="11"/>
        <w:ind w:firstLine="0" w:firstLineChars="0"/>
        <w:rPr>
          <w:rFonts w:ascii="Times New Roman" w:hAnsi="Times New Roman"/>
        </w:rPr>
      </w:pPr>
    </w:p>
    <w:p w14:paraId="5CD4BEA5">
      <w:pPr>
        <w:pStyle w:val="11"/>
        <w:ind w:firstLine="0" w:firstLineChars="0"/>
        <w:rPr>
          <w:rFonts w:ascii="Times New Roman" w:hAnsi="Times New Roman"/>
        </w:rPr>
      </w:pPr>
      <w:bookmarkStart w:id="5" w:name="_GoBack"/>
      <w:r>
        <w:rPr>
          <w:rFonts w:hint="eastAsia" w:ascii="Times New Roman" w:hAnsi="Times New Roman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45720</wp:posOffset>
            </wp:positionV>
            <wp:extent cx="6066790" cy="8818880"/>
            <wp:effectExtent l="0" t="0" r="10160" b="1270"/>
            <wp:wrapNone/>
            <wp:docPr id="2" name="图片 2" descr="华北验收签到表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华北验收签到表_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6790" cy="8818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5"/>
    </w:p>
    <w:p w14:paraId="048DA02F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485BDC5">
      <w:pPr>
        <w:pStyle w:val="11"/>
        <w:ind w:firstLine="0" w:firstLineChars="0"/>
        <w:rPr>
          <w:rFonts w:ascii="Times New Roman" w:hAnsi="Times New Roman"/>
        </w:rPr>
      </w:pPr>
    </w:p>
    <w:p w14:paraId="4628570B">
      <w:pPr>
        <w:pStyle w:val="11"/>
        <w:ind w:firstLine="0" w:firstLineChars="0"/>
        <w:rPr>
          <w:rFonts w:ascii="Times New Roman" w:hAnsi="Times New Roman"/>
        </w:rPr>
      </w:pPr>
    </w:p>
    <w:p w14:paraId="50337434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43DDF9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96BA6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32F7EEF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31770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346234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8F26B7A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545882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CB423C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8CA2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ABC576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FE5BDA1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24F7932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298B71C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1CFDBCA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4134AD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D2D31"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8EE6B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tbuXfQAAAAAgEAAA8AAAAAAAAAAQAgAAAAIgAAAGRycy9kb3ducmV2LnhtbFBLAQIU&#10;ABQAAAAIAIdO4kBzKKfD+wEAAAMEAAAOAAAAAAAAAAEAIAAAAB8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48EE6B"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3Y2ZjY2EzNWJjMzNlMzg0YmYzYTA3Nzk5MTkyNjIifQ=="/>
  </w:docVars>
  <w:rsids>
    <w:rsidRoot w:val="00B60FB4"/>
    <w:rsid w:val="00003CE5"/>
    <w:rsid w:val="00033000"/>
    <w:rsid w:val="000436C3"/>
    <w:rsid w:val="00054181"/>
    <w:rsid w:val="00055867"/>
    <w:rsid w:val="00077D08"/>
    <w:rsid w:val="00097D0B"/>
    <w:rsid w:val="000B297E"/>
    <w:rsid w:val="000D7810"/>
    <w:rsid w:val="000D7925"/>
    <w:rsid w:val="000E1860"/>
    <w:rsid w:val="000E1921"/>
    <w:rsid w:val="000E4439"/>
    <w:rsid w:val="001124D8"/>
    <w:rsid w:val="001245FC"/>
    <w:rsid w:val="0012644C"/>
    <w:rsid w:val="0014583B"/>
    <w:rsid w:val="001579EA"/>
    <w:rsid w:val="00167D62"/>
    <w:rsid w:val="00180382"/>
    <w:rsid w:val="00180C4D"/>
    <w:rsid w:val="00184775"/>
    <w:rsid w:val="001A2F3B"/>
    <w:rsid w:val="001C0DB9"/>
    <w:rsid w:val="001C20D7"/>
    <w:rsid w:val="001E4EF2"/>
    <w:rsid w:val="00202EF2"/>
    <w:rsid w:val="00220E04"/>
    <w:rsid w:val="00233C28"/>
    <w:rsid w:val="002426FD"/>
    <w:rsid w:val="002439C4"/>
    <w:rsid w:val="00262A2D"/>
    <w:rsid w:val="00263A66"/>
    <w:rsid w:val="00263C59"/>
    <w:rsid w:val="00275486"/>
    <w:rsid w:val="00283053"/>
    <w:rsid w:val="00285C77"/>
    <w:rsid w:val="0029060E"/>
    <w:rsid w:val="00293E31"/>
    <w:rsid w:val="002A5096"/>
    <w:rsid w:val="002A616F"/>
    <w:rsid w:val="002A61E7"/>
    <w:rsid w:val="002C431C"/>
    <w:rsid w:val="002C5443"/>
    <w:rsid w:val="002D4DA8"/>
    <w:rsid w:val="003005B9"/>
    <w:rsid w:val="003042CF"/>
    <w:rsid w:val="00325F44"/>
    <w:rsid w:val="00330070"/>
    <w:rsid w:val="00334954"/>
    <w:rsid w:val="00343B4B"/>
    <w:rsid w:val="003565F9"/>
    <w:rsid w:val="003800DF"/>
    <w:rsid w:val="00382BA6"/>
    <w:rsid w:val="00387D9A"/>
    <w:rsid w:val="0039206B"/>
    <w:rsid w:val="00396EA2"/>
    <w:rsid w:val="003B03B9"/>
    <w:rsid w:val="003B28EC"/>
    <w:rsid w:val="003B735F"/>
    <w:rsid w:val="003D11D1"/>
    <w:rsid w:val="003D550D"/>
    <w:rsid w:val="003E2ED6"/>
    <w:rsid w:val="003E530D"/>
    <w:rsid w:val="003F4EEC"/>
    <w:rsid w:val="00447836"/>
    <w:rsid w:val="00447F55"/>
    <w:rsid w:val="004530EE"/>
    <w:rsid w:val="004730E6"/>
    <w:rsid w:val="00484844"/>
    <w:rsid w:val="004A1601"/>
    <w:rsid w:val="004A197C"/>
    <w:rsid w:val="004D55D7"/>
    <w:rsid w:val="004F24CC"/>
    <w:rsid w:val="00501464"/>
    <w:rsid w:val="005056CE"/>
    <w:rsid w:val="005116B2"/>
    <w:rsid w:val="00511B00"/>
    <w:rsid w:val="00516281"/>
    <w:rsid w:val="00516BCC"/>
    <w:rsid w:val="00525955"/>
    <w:rsid w:val="005305E1"/>
    <w:rsid w:val="0053100E"/>
    <w:rsid w:val="00566E2A"/>
    <w:rsid w:val="005A6BDD"/>
    <w:rsid w:val="005B7C76"/>
    <w:rsid w:val="005C71B2"/>
    <w:rsid w:val="00602BDC"/>
    <w:rsid w:val="00610755"/>
    <w:rsid w:val="00620AF0"/>
    <w:rsid w:val="00642503"/>
    <w:rsid w:val="006449C8"/>
    <w:rsid w:val="006523B3"/>
    <w:rsid w:val="00654089"/>
    <w:rsid w:val="006700AE"/>
    <w:rsid w:val="00675AEB"/>
    <w:rsid w:val="006824B0"/>
    <w:rsid w:val="0069587B"/>
    <w:rsid w:val="006A19B2"/>
    <w:rsid w:val="006B7F15"/>
    <w:rsid w:val="006F7B3D"/>
    <w:rsid w:val="00713C58"/>
    <w:rsid w:val="00717290"/>
    <w:rsid w:val="0073151E"/>
    <w:rsid w:val="00760F4A"/>
    <w:rsid w:val="007652B2"/>
    <w:rsid w:val="007818E5"/>
    <w:rsid w:val="007A0849"/>
    <w:rsid w:val="007A21CA"/>
    <w:rsid w:val="007A2C21"/>
    <w:rsid w:val="007D5816"/>
    <w:rsid w:val="007F63C8"/>
    <w:rsid w:val="007F79B2"/>
    <w:rsid w:val="0085684C"/>
    <w:rsid w:val="008B585D"/>
    <w:rsid w:val="00911E7A"/>
    <w:rsid w:val="009140C5"/>
    <w:rsid w:val="0093064B"/>
    <w:rsid w:val="00930930"/>
    <w:rsid w:val="009358AE"/>
    <w:rsid w:val="0094442A"/>
    <w:rsid w:val="00961462"/>
    <w:rsid w:val="009634B1"/>
    <w:rsid w:val="009742D7"/>
    <w:rsid w:val="009850E4"/>
    <w:rsid w:val="00990BA8"/>
    <w:rsid w:val="00997C0C"/>
    <w:rsid w:val="009B6CB8"/>
    <w:rsid w:val="009D5FFD"/>
    <w:rsid w:val="009E55BE"/>
    <w:rsid w:val="00A07502"/>
    <w:rsid w:val="00A14F6E"/>
    <w:rsid w:val="00A21A8B"/>
    <w:rsid w:val="00A21CB1"/>
    <w:rsid w:val="00A533EA"/>
    <w:rsid w:val="00A73F41"/>
    <w:rsid w:val="00A92FC1"/>
    <w:rsid w:val="00AA6E2F"/>
    <w:rsid w:val="00AC64BB"/>
    <w:rsid w:val="00AE25F3"/>
    <w:rsid w:val="00AE35D5"/>
    <w:rsid w:val="00AE4E92"/>
    <w:rsid w:val="00AF39FC"/>
    <w:rsid w:val="00B06AF4"/>
    <w:rsid w:val="00B13369"/>
    <w:rsid w:val="00B244A5"/>
    <w:rsid w:val="00B31294"/>
    <w:rsid w:val="00B31CA3"/>
    <w:rsid w:val="00B45116"/>
    <w:rsid w:val="00B60FB4"/>
    <w:rsid w:val="00B937B6"/>
    <w:rsid w:val="00BA0860"/>
    <w:rsid w:val="00BA2148"/>
    <w:rsid w:val="00BA5634"/>
    <w:rsid w:val="00BC7B40"/>
    <w:rsid w:val="00BE37E3"/>
    <w:rsid w:val="00C100D1"/>
    <w:rsid w:val="00C15BD4"/>
    <w:rsid w:val="00C235E0"/>
    <w:rsid w:val="00C258B3"/>
    <w:rsid w:val="00C33F54"/>
    <w:rsid w:val="00C500B5"/>
    <w:rsid w:val="00C641A1"/>
    <w:rsid w:val="00C7177C"/>
    <w:rsid w:val="00C75C7E"/>
    <w:rsid w:val="00C94C1B"/>
    <w:rsid w:val="00CB1FB2"/>
    <w:rsid w:val="00CD1788"/>
    <w:rsid w:val="00CD7BB9"/>
    <w:rsid w:val="00CE1F45"/>
    <w:rsid w:val="00CE679F"/>
    <w:rsid w:val="00CF4C86"/>
    <w:rsid w:val="00D00AA3"/>
    <w:rsid w:val="00D1740F"/>
    <w:rsid w:val="00D52690"/>
    <w:rsid w:val="00D647E8"/>
    <w:rsid w:val="00D73264"/>
    <w:rsid w:val="00D73A1C"/>
    <w:rsid w:val="00D762A0"/>
    <w:rsid w:val="00D95E70"/>
    <w:rsid w:val="00DA1CCA"/>
    <w:rsid w:val="00DB255B"/>
    <w:rsid w:val="00DC26FA"/>
    <w:rsid w:val="00DC6778"/>
    <w:rsid w:val="00DD1DBD"/>
    <w:rsid w:val="00E05FDC"/>
    <w:rsid w:val="00E079CB"/>
    <w:rsid w:val="00E432E5"/>
    <w:rsid w:val="00E63393"/>
    <w:rsid w:val="00E671CC"/>
    <w:rsid w:val="00E96490"/>
    <w:rsid w:val="00EC7D69"/>
    <w:rsid w:val="00ED03EF"/>
    <w:rsid w:val="00F172A1"/>
    <w:rsid w:val="00F30A6E"/>
    <w:rsid w:val="00F613D1"/>
    <w:rsid w:val="00F641B7"/>
    <w:rsid w:val="00F719EC"/>
    <w:rsid w:val="00F817AA"/>
    <w:rsid w:val="00F864BD"/>
    <w:rsid w:val="00FC050C"/>
    <w:rsid w:val="00FD6C32"/>
    <w:rsid w:val="00FE3008"/>
    <w:rsid w:val="018B7292"/>
    <w:rsid w:val="02110EBC"/>
    <w:rsid w:val="021F7DC1"/>
    <w:rsid w:val="02A7348D"/>
    <w:rsid w:val="02B41B77"/>
    <w:rsid w:val="02F833AC"/>
    <w:rsid w:val="0348159A"/>
    <w:rsid w:val="034C72DC"/>
    <w:rsid w:val="0378690A"/>
    <w:rsid w:val="03E017D2"/>
    <w:rsid w:val="04D1736D"/>
    <w:rsid w:val="04F92991"/>
    <w:rsid w:val="051B3A21"/>
    <w:rsid w:val="051C6BD2"/>
    <w:rsid w:val="056A005E"/>
    <w:rsid w:val="05BB1A9E"/>
    <w:rsid w:val="06A6179A"/>
    <w:rsid w:val="06A7578B"/>
    <w:rsid w:val="06F07F7E"/>
    <w:rsid w:val="070D0B30"/>
    <w:rsid w:val="071C5217"/>
    <w:rsid w:val="0768045D"/>
    <w:rsid w:val="077C1812"/>
    <w:rsid w:val="079C0106"/>
    <w:rsid w:val="07E15B19"/>
    <w:rsid w:val="088F5575"/>
    <w:rsid w:val="089F1C5C"/>
    <w:rsid w:val="08BB15FC"/>
    <w:rsid w:val="0922463B"/>
    <w:rsid w:val="09440AF0"/>
    <w:rsid w:val="09B2776D"/>
    <w:rsid w:val="0A58531C"/>
    <w:rsid w:val="0AF02C43"/>
    <w:rsid w:val="0B1B7594"/>
    <w:rsid w:val="0B68565E"/>
    <w:rsid w:val="0B83153D"/>
    <w:rsid w:val="0BA4158B"/>
    <w:rsid w:val="0BEA012F"/>
    <w:rsid w:val="0C711B61"/>
    <w:rsid w:val="0C8B2E17"/>
    <w:rsid w:val="0CC102F1"/>
    <w:rsid w:val="0D0C53E6"/>
    <w:rsid w:val="0D3B5CCB"/>
    <w:rsid w:val="0D5B5BA3"/>
    <w:rsid w:val="0DCD2DC7"/>
    <w:rsid w:val="0DDE2E9E"/>
    <w:rsid w:val="0E0450B6"/>
    <w:rsid w:val="0E0A5DCA"/>
    <w:rsid w:val="0E303356"/>
    <w:rsid w:val="0EF436F2"/>
    <w:rsid w:val="0EF83E74"/>
    <w:rsid w:val="0EFD4C7A"/>
    <w:rsid w:val="0F2033CB"/>
    <w:rsid w:val="0F242EBB"/>
    <w:rsid w:val="0F67724C"/>
    <w:rsid w:val="0F890F70"/>
    <w:rsid w:val="108856CC"/>
    <w:rsid w:val="10BE2E9B"/>
    <w:rsid w:val="10D26947"/>
    <w:rsid w:val="10E430B3"/>
    <w:rsid w:val="116E48C1"/>
    <w:rsid w:val="118B7221"/>
    <w:rsid w:val="119D551D"/>
    <w:rsid w:val="11AB1672"/>
    <w:rsid w:val="12217B86"/>
    <w:rsid w:val="12D92C58"/>
    <w:rsid w:val="132C67E2"/>
    <w:rsid w:val="13430204"/>
    <w:rsid w:val="134E49AB"/>
    <w:rsid w:val="13923D70"/>
    <w:rsid w:val="13CD29F5"/>
    <w:rsid w:val="140B1212"/>
    <w:rsid w:val="14352B1F"/>
    <w:rsid w:val="14553B17"/>
    <w:rsid w:val="14F023DF"/>
    <w:rsid w:val="15147D27"/>
    <w:rsid w:val="151F75E6"/>
    <w:rsid w:val="152A3A00"/>
    <w:rsid w:val="15864176"/>
    <w:rsid w:val="15F630D7"/>
    <w:rsid w:val="165322D8"/>
    <w:rsid w:val="167C5922"/>
    <w:rsid w:val="16924BAE"/>
    <w:rsid w:val="169E17A5"/>
    <w:rsid w:val="170D2487"/>
    <w:rsid w:val="175B4399"/>
    <w:rsid w:val="17614581"/>
    <w:rsid w:val="178939B5"/>
    <w:rsid w:val="178B2240"/>
    <w:rsid w:val="17E331AB"/>
    <w:rsid w:val="180C6BE2"/>
    <w:rsid w:val="18153CE9"/>
    <w:rsid w:val="183B1275"/>
    <w:rsid w:val="18FE652B"/>
    <w:rsid w:val="194C7082"/>
    <w:rsid w:val="19656004"/>
    <w:rsid w:val="198F7ACB"/>
    <w:rsid w:val="19F16090"/>
    <w:rsid w:val="1A424B3D"/>
    <w:rsid w:val="1AF71484"/>
    <w:rsid w:val="1AFD1CF3"/>
    <w:rsid w:val="1B0E6FE8"/>
    <w:rsid w:val="1B5508A0"/>
    <w:rsid w:val="1B79633D"/>
    <w:rsid w:val="1B8357C7"/>
    <w:rsid w:val="1B8C2C7D"/>
    <w:rsid w:val="1BA24F9D"/>
    <w:rsid w:val="1BD16179"/>
    <w:rsid w:val="1BD417C5"/>
    <w:rsid w:val="1C007106"/>
    <w:rsid w:val="1C1A6466"/>
    <w:rsid w:val="1C427EC4"/>
    <w:rsid w:val="1CC6131B"/>
    <w:rsid w:val="1CD51C99"/>
    <w:rsid w:val="1D0D31E0"/>
    <w:rsid w:val="1D220B9C"/>
    <w:rsid w:val="1D3764AF"/>
    <w:rsid w:val="1D8F0099"/>
    <w:rsid w:val="1E195BB5"/>
    <w:rsid w:val="1E320A25"/>
    <w:rsid w:val="1F3709E9"/>
    <w:rsid w:val="1F833B7D"/>
    <w:rsid w:val="1F850242"/>
    <w:rsid w:val="1F884DA0"/>
    <w:rsid w:val="1FB77434"/>
    <w:rsid w:val="1FBC2C9C"/>
    <w:rsid w:val="1FC61D6D"/>
    <w:rsid w:val="208732AA"/>
    <w:rsid w:val="209D2ACD"/>
    <w:rsid w:val="210851FC"/>
    <w:rsid w:val="213D3C75"/>
    <w:rsid w:val="218F1DE1"/>
    <w:rsid w:val="220D65B5"/>
    <w:rsid w:val="221300CD"/>
    <w:rsid w:val="22213649"/>
    <w:rsid w:val="224D0523"/>
    <w:rsid w:val="2262388D"/>
    <w:rsid w:val="22794E74"/>
    <w:rsid w:val="22B37B39"/>
    <w:rsid w:val="22CF39EE"/>
    <w:rsid w:val="230E236D"/>
    <w:rsid w:val="231352C9"/>
    <w:rsid w:val="23682531"/>
    <w:rsid w:val="23E1673A"/>
    <w:rsid w:val="244F2331"/>
    <w:rsid w:val="245E2574"/>
    <w:rsid w:val="24924842"/>
    <w:rsid w:val="25B368EF"/>
    <w:rsid w:val="260D24A3"/>
    <w:rsid w:val="26321282"/>
    <w:rsid w:val="26C32B62"/>
    <w:rsid w:val="26CB50B9"/>
    <w:rsid w:val="27184622"/>
    <w:rsid w:val="272C4BAB"/>
    <w:rsid w:val="27381EE9"/>
    <w:rsid w:val="275D06A6"/>
    <w:rsid w:val="286E2D4D"/>
    <w:rsid w:val="28A65C60"/>
    <w:rsid w:val="28B5297E"/>
    <w:rsid w:val="28D36CF7"/>
    <w:rsid w:val="28DC7F0B"/>
    <w:rsid w:val="290E0BBE"/>
    <w:rsid w:val="29187D76"/>
    <w:rsid w:val="297C16C0"/>
    <w:rsid w:val="29A9444B"/>
    <w:rsid w:val="29E5351D"/>
    <w:rsid w:val="2A046877"/>
    <w:rsid w:val="2A135BAE"/>
    <w:rsid w:val="2A750012"/>
    <w:rsid w:val="2AD0584D"/>
    <w:rsid w:val="2B2A7FD6"/>
    <w:rsid w:val="2BAA42F0"/>
    <w:rsid w:val="2C002162"/>
    <w:rsid w:val="2C274113"/>
    <w:rsid w:val="2C3562B0"/>
    <w:rsid w:val="2CBC252D"/>
    <w:rsid w:val="2D1F486A"/>
    <w:rsid w:val="2DE06617"/>
    <w:rsid w:val="2DF80125"/>
    <w:rsid w:val="2E7438E5"/>
    <w:rsid w:val="2E84707B"/>
    <w:rsid w:val="2EB060C2"/>
    <w:rsid w:val="2EF21577"/>
    <w:rsid w:val="2F047CCA"/>
    <w:rsid w:val="2F971030"/>
    <w:rsid w:val="2F9C18FA"/>
    <w:rsid w:val="2FB83480"/>
    <w:rsid w:val="2FE06533"/>
    <w:rsid w:val="2FEF2ACF"/>
    <w:rsid w:val="30246021"/>
    <w:rsid w:val="30275F10"/>
    <w:rsid w:val="3045179F"/>
    <w:rsid w:val="307F4548"/>
    <w:rsid w:val="308E5014"/>
    <w:rsid w:val="30B359F5"/>
    <w:rsid w:val="311E5564"/>
    <w:rsid w:val="31284790"/>
    <w:rsid w:val="314A155C"/>
    <w:rsid w:val="31817E6A"/>
    <w:rsid w:val="31880C30"/>
    <w:rsid w:val="32306DAD"/>
    <w:rsid w:val="32481BE1"/>
    <w:rsid w:val="32870EE7"/>
    <w:rsid w:val="329F0927"/>
    <w:rsid w:val="32D11EE7"/>
    <w:rsid w:val="32FC7B27"/>
    <w:rsid w:val="330F29F4"/>
    <w:rsid w:val="3369683F"/>
    <w:rsid w:val="33721B98"/>
    <w:rsid w:val="33A94587"/>
    <w:rsid w:val="33D4015C"/>
    <w:rsid w:val="34621C0C"/>
    <w:rsid w:val="34687E1F"/>
    <w:rsid w:val="34750B27"/>
    <w:rsid w:val="34AE72C0"/>
    <w:rsid w:val="35103416"/>
    <w:rsid w:val="354E03E2"/>
    <w:rsid w:val="355748A5"/>
    <w:rsid w:val="35731BF7"/>
    <w:rsid w:val="359E65F2"/>
    <w:rsid w:val="35DF0B77"/>
    <w:rsid w:val="36176A26"/>
    <w:rsid w:val="36635113"/>
    <w:rsid w:val="369462C9"/>
    <w:rsid w:val="36C11F34"/>
    <w:rsid w:val="36CB62E7"/>
    <w:rsid w:val="36DB5CA6"/>
    <w:rsid w:val="37070105"/>
    <w:rsid w:val="3710426F"/>
    <w:rsid w:val="37204C66"/>
    <w:rsid w:val="37936580"/>
    <w:rsid w:val="37970037"/>
    <w:rsid w:val="38AB2FCD"/>
    <w:rsid w:val="395C4B6D"/>
    <w:rsid w:val="396F69DA"/>
    <w:rsid w:val="399D5494"/>
    <w:rsid w:val="39E003D8"/>
    <w:rsid w:val="39F6369D"/>
    <w:rsid w:val="39FE42F1"/>
    <w:rsid w:val="3A23599A"/>
    <w:rsid w:val="3A4F1552"/>
    <w:rsid w:val="3AE10910"/>
    <w:rsid w:val="3B762441"/>
    <w:rsid w:val="3BB47394"/>
    <w:rsid w:val="3BBA0ACA"/>
    <w:rsid w:val="3C444FDC"/>
    <w:rsid w:val="3C4E2A76"/>
    <w:rsid w:val="3C7A1ABD"/>
    <w:rsid w:val="3C990195"/>
    <w:rsid w:val="3CB21257"/>
    <w:rsid w:val="3CD40BF6"/>
    <w:rsid w:val="3CED04E1"/>
    <w:rsid w:val="3D7B5AED"/>
    <w:rsid w:val="3D9902ED"/>
    <w:rsid w:val="3DAB365E"/>
    <w:rsid w:val="3DC2196D"/>
    <w:rsid w:val="3DC92CFC"/>
    <w:rsid w:val="3DD11BB1"/>
    <w:rsid w:val="3EA82C20"/>
    <w:rsid w:val="3F080EB7"/>
    <w:rsid w:val="3F675E4B"/>
    <w:rsid w:val="3FCB40D6"/>
    <w:rsid w:val="405F16F6"/>
    <w:rsid w:val="40692574"/>
    <w:rsid w:val="40EA58A3"/>
    <w:rsid w:val="418E2292"/>
    <w:rsid w:val="419E1DAA"/>
    <w:rsid w:val="419E7FFC"/>
    <w:rsid w:val="41A028AC"/>
    <w:rsid w:val="41A6026A"/>
    <w:rsid w:val="41B30E75"/>
    <w:rsid w:val="42293C97"/>
    <w:rsid w:val="42314813"/>
    <w:rsid w:val="424B17F6"/>
    <w:rsid w:val="4253528A"/>
    <w:rsid w:val="429537FD"/>
    <w:rsid w:val="42D31499"/>
    <w:rsid w:val="42D33254"/>
    <w:rsid w:val="42F779C3"/>
    <w:rsid w:val="43010842"/>
    <w:rsid w:val="430420E0"/>
    <w:rsid w:val="43382F60"/>
    <w:rsid w:val="436F4CB1"/>
    <w:rsid w:val="43927C0E"/>
    <w:rsid w:val="439B2A45"/>
    <w:rsid w:val="43FB34E3"/>
    <w:rsid w:val="442E1B0B"/>
    <w:rsid w:val="44380293"/>
    <w:rsid w:val="44977899"/>
    <w:rsid w:val="44AF71F4"/>
    <w:rsid w:val="450A0068"/>
    <w:rsid w:val="451F76A5"/>
    <w:rsid w:val="452346D8"/>
    <w:rsid w:val="453B4A8C"/>
    <w:rsid w:val="45863281"/>
    <w:rsid w:val="458D3152"/>
    <w:rsid w:val="45C64F3E"/>
    <w:rsid w:val="460E1CCF"/>
    <w:rsid w:val="463C360A"/>
    <w:rsid w:val="46717A8D"/>
    <w:rsid w:val="46957C1F"/>
    <w:rsid w:val="47777520"/>
    <w:rsid w:val="47B36F9E"/>
    <w:rsid w:val="47CF4B5A"/>
    <w:rsid w:val="487970CD"/>
    <w:rsid w:val="48877A3B"/>
    <w:rsid w:val="48C540C0"/>
    <w:rsid w:val="492A1B28"/>
    <w:rsid w:val="495344F8"/>
    <w:rsid w:val="49542533"/>
    <w:rsid w:val="49685FA2"/>
    <w:rsid w:val="49861AA1"/>
    <w:rsid w:val="499A72FA"/>
    <w:rsid w:val="49F954BB"/>
    <w:rsid w:val="4AAC5537"/>
    <w:rsid w:val="4B315A3D"/>
    <w:rsid w:val="4B491F37"/>
    <w:rsid w:val="4B49722A"/>
    <w:rsid w:val="4B517E8D"/>
    <w:rsid w:val="4BA10E14"/>
    <w:rsid w:val="4BB64156"/>
    <w:rsid w:val="4C3859D4"/>
    <w:rsid w:val="4C96649F"/>
    <w:rsid w:val="4CAE4A70"/>
    <w:rsid w:val="4CC50B32"/>
    <w:rsid w:val="4D236437"/>
    <w:rsid w:val="4D6245D3"/>
    <w:rsid w:val="4D924EB8"/>
    <w:rsid w:val="4DD03C33"/>
    <w:rsid w:val="4E0A1EFF"/>
    <w:rsid w:val="4E0F02B7"/>
    <w:rsid w:val="4E5C7274"/>
    <w:rsid w:val="4E920EE8"/>
    <w:rsid w:val="4F7B05C2"/>
    <w:rsid w:val="4F916C88"/>
    <w:rsid w:val="50863682"/>
    <w:rsid w:val="50B63EA2"/>
    <w:rsid w:val="51542485"/>
    <w:rsid w:val="516B614C"/>
    <w:rsid w:val="517B3EB5"/>
    <w:rsid w:val="524268F0"/>
    <w:rsid w:val="5297673D"/>
    <w:rsid w:val="52FE6B4C"/>
    <w:rsid w:val="536F3903"/>
    <w:rsid w:val="539B5003"/>
    <w:rsid w:val="53BA6F17"/>
    <w:rsid w:val="53C102A5"/>
    <w:rsid w:val="546704F0"/>
    <w:rsid w:val="54D13A8D"/>
    <w:rsid w:val="54D24FAB"/>
    <w:rsid w:val="552053D0"/>
    <w:rsid w:val="552A3C28"/>
    <w:rsid w:val="553625CD"/>
    <w:rsid w:val="55CB540B"/>
    <w:rsid w:val="56114DE8"/>
    <w:rsid w:val="56471922"/>
    <w:rsid w:val="565F2248"/>
    <w:rsid w:val="569B1EB2"/>
    <w:rsid w:val="56D3300B"/>
    <w:rsid w:val="57414B76"/>
    <w:rsid w:val="58020E8D"/>
    <w:rsid w:val="58443253"/>
    <w:rsid w:val="586D37C4"/>
    <w:rsid w:val="58B300A3"/>
    <w:rsid w:val="590B0A9B"/>
    <w:rsid w:val="591E5852"/>
    <w:rsid w:val="595B4CF8"/>
    <w:rsid w:val="59772EEC"/>
    <w:rsid w:val="59DF0C90"/>
    <w:rsid w:val="5A33357F"/>
    <w:rsid w:val="5A7616BE"/>
    <w:rsid w:val="5A77599C"/>
    <w:rsid w:val="5A7A211E"/>
    <w:rsid w:val="5AD65E42"/>
    <w:rsid w:val="5B117051"/>
    <w:rsid w:val="5B2D6220"/>
    <w:rsid w:val="5B345801"/>
    <w:rsid w:val="5B363143"/>
    <w:rsid w:val="5BBD58D4"/>
    <w:rsid w:val="5BCF0A61"/>
    <w:rsid w:val="5C450C11"/>
    <w:rsid w:val="5C4E2C12"/>
    <w:rsid w:val="5CB07109"/>
    <w:rsid w:val="5D746389"/>
    <w:rsid w:val="5DC41AD2"/>
    <w:rsid w:val="5DD30284"/>
    <w:rsid w:val="5DD65A26"/>
    <w:rsid w:val="5E9A7806"/>
    <w:rsid w:val="5F1C6CD8"/>
    <w:rsid w:val="5F5A335C"/>
    <w:rsid w:val="5FD35B6B"/>
    <w:rsid w:val="604619F7"/>
    <w:rsid w:val="60545FFD"/>
    <w:rsid w:val="60FA4DF7"/>
    <w:rsid w:val="6138591F"/>
    <w:rsid w:val="61413A18"/>
    <w:rsid w:val="6142054C"/>
    <w:rsid w:val="61470352"/>
    <w:rsid w:val="61F96E5C"/>
    <w:rsid w:val="621E78AA"/>
    <w:rsid w:val="62377985"/>
    <w:rsid w:val="6280757E"/>
    <w:rsid w:val="62A0552A"/>
    <w:rsid w:val="62D1763C"/>
    <w:rsid w:val="62F72B8A"/>
    <w:rsid w:val="63536A40"/>
    <w:rsid w:val="63584057"/>
    <w:rsid w:val="63D23E09"/>
    <w:rsid w:val="644D348F"/>
    <w:rsid w:val="64557AC0"/>
    <w:rsid w:val="645962D8"/>
    <w:rsid w:val="65121CCF"/>
    <w:rsid w:val="65B03CD6"/>
    <w:rsid w:val="65F53DDF"/>
    <w:rsid w:val="65F77B57"/>
    <w:rsid w:val="665E7BD6"/>
    <w:rsid w:val="66976C44"/>
    <w:rsid w:val="66A31A8D"/>
    <w:rsid w:val="6716400D"/>
    <w:rsid w:val="678F1102"/>
    <w:rsid w:val="67A71109"/>
    <w:rsid w:val="67F81964"/>
    <w:rsid w:val="685C6397"/>
    <w:rsid w:val="68680E34"/>
    <w:rsid w:val="6903627E"/>
    <w:rsid w:val="690A7BA1"/>
    <w:rsid w:val="695D23C7"/>
    <w:rsid w:val="696F5C56"/>
    <w:rsid w:val="69B27B49"/>
    <w:rsid w:val="69E55F18"/>
    <w:rsid w:val="6A984619"/>
    <w:rsid w:val="6AA95198"/>
    <w:rsid w:val="6B426AD4"/>
    <w:rsid w:val="6B851761"/>
    <w:rsid w:val="6B8535B2"/>
    <w:rsid w:val="6B8754D9"/>
    <w:rsid w:val="6BA0659B"/>
    <w:rsid w:val="6D2D3E5E"/>
    <w:rsid w:val="6D4517B6"/>
    <w:rsid w:val="6D45201E"/>
    <w:rsid w:val="6D9421C6"/>
    <w:rsid w:val="6DA00AD4"/>
    <w:rsid w:val="6DA85BDA"/>
    <w:rsid w:val="6E0077C5"/>
    <w:rsid w:val="6ED13F5D"/>
    <w:rsid w:val="6F1F1ECC"/>
    <w:rsid w:val="6F3D6572"/>
    <w:rsid w:val="6F655B31"/>
    <w:rsid w:val="6F753E20"/>
    <w:rsid w:val="6F7B7179"/>
    <w:rsid w:val="6FC00AAD"/>
    <w:rsid w:val="6FEA70C7"/>
    <w:rsid w:val="703B5E96"/>
    <w:rsid w:val="703F1786"/>
    <w:rsid w:val="704F4E9C"/>
    <w:rsid w:val="707D3311"/>
    <w:rsid w:val="708A4271"/>
    <w:rsid w:val="709F5073"/>
    <w:rsid w:val="71532635"/>
    <w:rsid w:val="7161560D"/>
    <w:rsid w:val="717676DE"/>
    <w:rsid w:val="71B141B2"/>
    <w:rsid w:val="724834E8"/>
    <w:rsid w:val="72D45490"/>
    <w:rsid w:val="72D60AF4"/>
    <w:rsid w:val="746F7452"/>
    <w:rsid w:val="748526D5"/>
    <w:rsid w:val="75A05F49"/>
    <w:rsid w:val="75A9073C"/>
    <w:rsid w:val="75CE1F56"/>
    <w:rsid w:val="7607118B"/>
    <w:rsid w:val="761B163F"/>
    <w:rsid w:val="76253106"/>
    <w:rsid w:val="7662726E"/>
    <w:rsid w:val="76787169"/>
    <w:rsid w:val="76865443"/>
    <w:rsid w:val="76AF3B36"/>
    <w:rsid w:val="76DA5057"/>
    <w:rsid w:val="76F677CA"/>
    <w:rsid w:val="76F81981"/>
    <w:rsid w:val="77065E4C"/>
    <w:rsid w:val="7747584D"/>
    <w:rsid w:val="78061D35"/>
    <w:rsid w:val="784B788E"/>
    <w:rsid w:val="791A0700"/>
    <w:rsid w:val="79311314"/>
    <w:rsid w:val="794D3A85"/>
    <w:rsid w:val="79960FDD"/>
    <w:rsid w:val="7A256BCF"/>
    <w:rsid w:val="7A8F4CF9"/>
    <w:rsid w:val="7AB01E15"/>
    <w:rsid w:val="7AC5601E"/>
    <w:rsid w:val="7B0E1BC9"/>
    <w:rsid w:val="7B426778"/>
    <w:rsid w:val="7B551150"/>
    <w:rsid w:val="7B7D4202"/>
    <w:rsid w:val="7BB40EE6"/>
    <w:rsid w:val="7C305719"/>
    <w:rsid w:val="7C923CDE"/>
    <w:rsid w:val="7D360B0D"/>
    <w:rsid w:val="7D382AD7"/>
    <w:rsid w:val="7DAD082B"/>
    <w:rsid w:val="7DEC3FAD"/>
    <w:rsid w:val="7DFC1D56"/>
    <w:rsid w:val="7EC87E8B"/>
    <w:rsid w:val="7ECA7C3A"/>
    <w:rsid w:val="7FAB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Times New Roman" w:hAnsi="Times New Roman" w:eastAsia="宋体"/>
      <w:b/>
      <w:sz w:val="24"/>
    </w:rPr>
  </w:style>
  <w:style w:type="paragraph" w:styleId="3">
    <w:name w:val="heading 4"/>
    <w:basedOn w:val="1"/>
    <w:next w:val="4"/>
    <w:autoRedefine/>
    <w:qFormat/>
    <w:uiPriority w:val="0"/>
    <w:pPr>
      <w:keepNext/>
      <w:keepLines/>
      <w:snapToGrid w:val="0"/>
      <w:spacing w:beforeAutospacing="0" w:afterAutospacing="0" w:line="360" w:lineRule="auto"/>
      <w:outlineLvl w:val="3"/>
    </w:pPr>
    <w:rPr>
      <w:rFonts w:ascii="Times New Roman" w:hAnsi="Times New Roman"/>
      <w:b/>
      <w:sz w:val="24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autoRedefine/>
    <w:qFormat/>
    <w:uiPriority w:val="0"/>
    <w:pPr>
      <w:adjustRightInd w:val="0"/>
      <w:spacing w:line="500" w:lineRule="exact"/>
      <w:ind w:firstLine="560" w:firstLineChars="200"/>
      <w:textAlignment w:val="baseline"/>
    </w:pPr>
    <w:rPr>
      <w:rFonts w:ascii="宋体" w:hAnsi="宋体"/>
      <w:sz w:val="28"/>
    </w:rPr>
  </w:style>
  <w:style w:type="paragraph" w:styleId="5">
    <w:name w:val="Body Text"/>
    <w:basedOn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1"/>
    <w:autoRedefine/>
    <w:qFormat/>
    <w:uiPriority w:val="99"/>
    <w:pPr>
      <w:spacing w:after="120"/>
      <w:ind w:left="420" w:leftChars="200"/>
    </w:pPr>
    <w:rPr>
      <w:rFonts w:ascii="Times New Roman"/>
    </w:rPr>
  </w:style>
  <w:style w:type="paragraph" w:styleId="7">
    <w:name w:val="Date"/>
    <w:basedOn w:val="1"/>
    <w:next w:val="1"/>
    <w:link w:val="19"/>
    <w:autoRedefine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"/>
    <w:basedOn w:val="5"/>
    <w:autoRedefine/>
    <w:qFormat/>
    <w:uiPriority w:val="0"/>
    <w:pPr>
      <w:spacing w:after="0" w:line="440" w:lineRule="exact"/>
      <w:ind w:firstLine="504" w:firstLineChars="200"/>
    </w:pPr>
    <w:rPr>
      <w:rFonts w:ascii="宋体"/>
      <w:spacing w:val="6"/>
      <w:sz w:val="24"/>
    </w:rPr>
  </w:style>
  <w:style w:type="paragraph" w:styleId="12">
    <w:name w:val="Body Text First Indent 2"/>
    <w:basedOn w:val="6"/>
    <w:next w:val="1"/>
    <w:autoRedefine/>
    <w:qFormat/>
    <w:uiPriority w:val="99"/>
    <w:pPr>
      <w:ind w:firstLine="420" w:firstLineChars="200"/>
    </w:pPr>
    <w:rPr>
      <w:szCs w:val="20"/>
    </w:r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autoRedefine/>
    <w:qFormat/>
    <w:uiPriority w:val="0"/>
  </w:style>
  <w:style w:type="character" w:customStyle="1" w:styleId="17">
    <w:name w:val="页眉 字符"/>
    <w:basedOn w:val="15"/>
    <w:link w:val="10"/>
    <w:autoRedefine/>
    <w:qFormat/>
    <w:uiPriority w:val="99"/>
    <w:rPr>
      <w:sz w:val="18"/>
      <w:szCs w:val="18"/>
    </w:rPr>
  </w:style>
  <w:style w:type="character" w:customStyle="1" w:styleId="18">
    <w:name w:val="页脚 字符"/>
    <w:basedOn w:val="15"/>
    <w:link w:val="9"/>
    <w:autoRedefine/>
    <w:qFormat/>
    <w:uiPriority w:val="99"/>
    <w:rPr>
      <w:sz w:val="18"/>
      <w:szCs w:val="18"/>
    </w:rPr>
  </w:style>
  <w:style w:type="character" w:customStyle="1" w:styleId="19">
    <w:name w:val="日期 字符"/>
    <w:basedOn w:val="15"/>
    <w:link w:val="7"/>
    <w:autoRedefine/>
    <w:semiHidden/>
    <w:qFormat/>
    <w:uiPriority w:val="99"/>
  </w:style>
  <w:style w:type="paragraph" w:customStyle="1" w:styleId="20">
    <w:name w:val="君邦正文"/>
    <w:autoRedefine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bCs/>
      <w:snapToGrid w:val="0"/>
      <w:sz w:val="24"/>
      <w:szCs w:val="22"/>
      <w:lang w:val="en-US" w:eastAsia="zh-CN" w:bidi="ar-SA"/>
    </w:rPr>
  </w:style>
  <w:style w:type="paragraph" w:customStyle="1" w:styleId="2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2">
    <w:name w:val="Table Paragraph"/>
    <w:basedOn w:val="1"/>
    <w:autoRedefine/>
    <w:qFormat/>
    <w:uiPriority w:val="1"/>
    <w:rPr>
      <w:rFonts w:ascii="Noto Sans CJK JP Regular" w:hAnsi="Noto Sans CJK JP Regular" w:eastAsia="Noto Sans CJK JP Regular" w:cs="Noto Sans CJK JP Regular"/>
    </w:rPr>
  </w:style>
  <w:style w:type="paragraph" w:customStyle="1" w:styleId="23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批注框文本 字符"/>
    <w:basedOn w:val="15"/>
    <w:link w:val="8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5">
    <w:name w:val="Normal (Web)"/>
    <w:basedOn w:val="1"/>
    <w:autoRedefine/>
    <w:qFormat/>
    <w:uiPriority w:val="0"/>
    <w:pPr>
      <w:adjustRightInd/>
      <w:snapToGrid/>
      <w:spacing w:before="100" w:beforeLines="0" w:beforeAutospacing="1" w:after="100" w:afterLines="0" w:afterAutospacing="1"/>
    </w:pPr>
    <w:rPr>
      <w:rFonts w:ascii="宋体" w:hAnsi="宋体" w:eastAsia="宋体" w:cs="宋体"/>
      <w:sz w:val="24"/>
      <w:szCs w:val="24"/>
    </w:rPr>
  </w:style>
  <w:style w:type="paragraph" w:customStyle="1" w:styleId="26">
    <w:name w:val="正文（缩进）"/>
    <w:basedOn w:val="1"/>
    <w:autoRedefine/>
    <w:qFormat/>
    <w:uiPriority w:val="99"/>
    <w:pPr>
      <w:spacing w:line="360" w:lineRule="auto"/>
      <w:ind w:firstLine="480"/>
    </w:pPr>
    <w:rPr>
      <w:szCs w:val="20"/>
    </w:rPr>
  </w:style>
  <w:style w:type="paragraph" w:customStyle="1" w:styleId="27">
    <w:name w:val="表格1"/>
    <w:basedOn w:val="1"/>
    <w:autoRedefine/>
    <w:qFormat/>
    <w:uiPriority w:val="0"/>
    <w:pPr>
      <w:spacing w:after="0" w:line="240" w:lineRule="auto"/>
      <w:ind w:firstLine="0" w:firstLineChars="0"/>
      <w:jc w:val="center"/>
    </w:pPr>
    <w:rPr>
      <w:rFonts w:ascii="Times New Roman" w:hAnsi="Times New Roman" w:eastAsia="宋体" w:cs="Times New Roman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2990</Words>
  <Characters>3231</Characters>
  <Lines>19</Lines>
  <Paragraphs>5</Paragraphs>
  <TotalTime>0</TotalTime>
  <ScaleCrop>false</ScaleCrop>
  <LinksUpToDate>false</LinksUpToDate>
  <CharactersWithSpaces>3265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2021-05-10T13:36:00Z</dcterms:created>
  <dc:creator>Administrator</dc:creator>
  <cp:lastModifiedBy>N0</cp:lastModifiedBy>
  <cp:lastPrinted>2019-06-03T06:01:00Z</cp:lastPrinted>
  <dcterms:modified xsi:type="dcterms:W3CDTF">2025-05-21T03:17:52Z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E0B38E81DC2E44D1B21770A3EAAE2D5D_12</vt:lpwstr>
  </property>
  <property fmtid="{D5CDD505-2E9C-101B-9397-08002B2CF9AE}" pid="4" name="KSOTemplateDocerSaveRecord">
    <vt:lpwstr>eyJoZGlkIjoiNmNiMDk4NmVhYzFiMTI4YTdmMDlmYWJmNWUxMDhjZWIiLCJ1c2VySWQiOiIyMzExNDY2NzAifQ==</vt:lpwstr>
  </property>
</Properties>
</file>