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eastAsia"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kern w:val="2"/>
          <w:sz w:val="44"/>
          <w:szCs w:val="44"/>
          <w:lang w:eastAsia="zh-CN"/>
        </w:rPr>
      </w:pPr>
      <w:r>
        <w:rPr>
          <w:rFonts w:hint="eastAsia" w:ascii="Times New Roman" w:hAnsi="Times New Roman" w:eastAsia="宋体" w:cs="Times New Roman"/>
          <w:b/>
          <w:kern w:val="2"/>
          <w:sz w:val="44"/>
          <w:szCs w:val="44"/>
          <w:lang w:eastAsia="zh-CN"/>
        </w:rPr>
        <w:t>建设项目</w:t>
      </w:r>
      <w:r>
        <w:rPr>
          <w:rFonts w:hint="default" w:ascii="Times New Roman" w:hAnsi="Times New Roman" w:eastAsia="宋体" w:cs="Times New Roman"/>
          <w:b/>
          <w:kern w:val="2"/>
          <w:sz w:val="44"/>
          <w:szCs w:val="44"/>
        </w:rPr>
        <w:t>竣工环境保护验收</w:t>
      </w:r>
      <w:r>
        <w:rPr>
          <w:rFonts w:hint="default" w:ascii="Times New Roman" w:hAnsi="Times New Roman" w:eastAsia="宋体" w:cs="Times New Roman"/>
          <w:b/>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0"/>
        <w:rPr>
          <w:rFonts w:hint="default"/>
          <w:lang w:eastAsia="zh-CN"/>
        </w:rPr>
      </w:pPr>
    </w:p>
    <w:p w14:paraId="68E78DC8">
      <w:pPr>
        <w:keepNext w:val="0"/>
        <w:keepLines w:val="0"/>
        <w:pageBreakBefore w:val="0"/>
        <w:widowControl w:val="0"/>
        <w:kinsoku/>
        <w:wordWrap/>
        <w:overflowPunct/>
        <w:topLinePunct w:val="0"/>
        <w:autoSpaceDE/>
        <w:autoSpaceDN/>
        <w:bidi w:val="0"/>
        <w:adjustRightInd/>
        <w:snapToGrid/>
        <w:spacing w:after="0" w:afterLines="-2147483648" w:line="360" w:lineRule="auto"/>
        <w:ind w:left="1237" w:leftChars="0" w:hanging="1237" w:hangingChars="440"/>
        <w:jc w:val="center"/>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eastAsia="zh-CN"/>
        </w:rPr>
        <w:t>项目名称：</w:t>
      </w:r>
      <w:r>
        <w:rPr>
          <w:rFonts w:hint="eastAsia" w:ascii="Times New Roman" w:hAnsi="Times New Roman" w:eastAsia="宋体" w:cs="Times New Roman"/>
          <w:b/>
          <w:kern w:val="2"/>
          <w:sz w:val="28"/>
          <w:szCs w:val="28"/>
          <w:u w:val="single"/>
          <w:lang w:val="en-US" w:eastAsia="zh-CN"/>
        </w:rPr>
        <w:t xml:space="preserve">    华北油气分公司采油一厂JH55P2等3宗评价井建设项目（JH55P2）        </w:t>
      </w:r>
    </w:p>
    <w:p w14:paraId="33273EA4">
      <w:pPr>
        <w:keepNext w:val="0"/>
        <w:keepLines w:val="0"/>
        <w:pageBreakBefore w:val="0"/>
        <w:widowControl w:val="0"/>
        <w:kinsoku/>
        <w:wordWrap/>
        <w:overflowPunct/>
        <w:topLinePunct w:val="0"/>
        <w:autoSpaceDE/>
        <w:autoSpaceDN/>
        <w:bidi w:val="0"/>
        <w:adjustRightInd/>
        <w:snapToGrid/>
        <w:spacing w:after="0" w:afterLines="-2147483648" w:line="360" w:lineRule="auto"/>
        <w:ind w:left="1237" w:leftChars="0" w:hanging="1237" w:hangingChars="440"/>
        <w:jc w:val="both"/>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val="en-US" w:eastAsia="zh-CN"/>
        </w:rPr>
        <w:t>委托单位：</w:t>
      </w:r>
      <w:r>
        <w:rPr>
          <w:rFonts w:hint="eastAsia" w:ascii="Times New Roman" w:hAnsi="Times New Roman" w:eastAsia="宋体" w:cs="Times New Roman"/>
          <w:b/>
          <w:kern w:val="2"/>
          <w:sz w:val="28"/>
          <w:szCs w:val="28"/>
          <w:u w:val="single"/>
          <w:lang w:val="en-US" w:eastAsia="zh-CN"/>
        </w:rPr>
        <w:t xml:space="preserve">          中国石油化工股份有限公司                 </w:t>
      </w:r>
    </w:p>
    <w:p w14:paraId="281E8B6E">
      <w:pPr>
        <w:keepNext w:val="0"/>
        <w:keepLines w:val="0"/>
        <w:pageBreakBefore w:val="0"/>
        <w:widowControl w:val="0"/>
        <w:kinsoku/>
        <w:wordWrap/>
        <w:overflowPunct/>
        <w:topLinePunct w:val="0"/>
        <w:autoSpaceDE/>
        <w:autoSpaceDN/>
        <w:bidi w:val="0"/>
        <w:adjustRightInd/>
        <w:snapToGrid/>
        <w:spacing w:after="0" w:afterLines="-2147483648" w:line="360" w:lineRule="auto"/>
        <w:ind w:left="0" w:leftChars="0" w:firstLine="1687" w:firstLineChars="600"/>
        <w:jc w:val="both"/>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eastAsia" w:ascii="Times New Roman" w:hAnsi="Times New Roman" w:eastAsia="宋体" w:cs="Times New Roman"/>
          <w:b/>
          <w:kern w:val="2"/>
          <w:sz w:val="30"/>
          <w:szCs w:val="30"/>
          <w:lang w:val="en-US" w:eastAsia="zh-CN"/>
        </w:rPr>
      </w:pPr>
      <w:r>
        <w:rPr>
          <w:rFonts w:hint="default" w:ascii="Times New Roman" w:hAnsi="Times New Roman" w:eastAsia="宋体" w:cs="Times New Roman"/>
          <w:b/>
          <w:kern w:val="2"/>
          <w:sz w:val="30"/>
          <w:szCs w:val="30"/>
          <w:lang w:val="en-US" w:eastAsia="zh-CN"/>
        </w:rPr>
        <w:t>编制单位：</w:t>
      </w:r>
      <w:r>
        <w:rPr>
          <w:rFonts w:hint="eastAsia" w:ascii="Times New Roman" w:hAnsi="Times New Roman" w:eastAsia="宋体" w:cs="Times New Roman"/>
          <w:b/>
          <w:kern w:val="2"/>
          <w:sz w:val="30"/>
          <w:szCs w:val="30"/>
          <w:lang w:val="en-US" w:eastAsia="zh-CN"/>
        </w:rPr>
        <w:t>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kern w:val="2"/>
          <w:sz w:val="30"/>
          <w:szCs w:val="30"/>
          <w:lang w:val="en-US" w:eastAsia="zh-CN"/>
        </w:rPr>
      </w:pPr>
      <w:r>
        <w:rPr>
          <w:rFonts w:hint="default" w:ascii="Times New Roman" w:hAnsi="Times New Roman" w:eastAsia="宋体" w:cs="Times New Roman"/>
          <w:b/>
          <w:sz w:val="30"/>
          <w:szCs w:val="30"/>
        </w:rPr>
        <w:t>编制日期：</w:t>
      </w:r>
      <w:r>
        <w:rPr>
          <w:rFonts w:hint="default" w:ascii="Times New Roman" w:hAnsi="Times New Roman" w:eastAsia="宋体" w:cs="Times New Roman"/>
          <w:b/>
          <w:kern w:val="2"/>
          <w:sz w:val="30"/>
          <w:szCs w:val="30"/>
          <w:lang w:val="en-US" w:eastAsia="zh-CN"/>
        </w:rPr>
        <w:t>202</w:t>
      </w:r>
      <w:r>
        <w:rPr>
          <w:rFonts w:hint="eastAsia" w:ascii="Times New Roman" w:hAnsi="Times New Roman" w:eastAsia="宋体" w:cs="Times New Roman"/>
          <w:b/>
          <w:kern w:val="2"/>
          <w:sz w:val="30"/>
          <w:szCs w:val="30"/>
          <w:lang w:val="en-US" w:eastAsia="zh-CN"/>
        </w:rPr>
        <w:t>5</w:t>
      </w:r>
      <w:r>
        <w:rPr>
          <w:rFonts w:hint="default" w:ascii="Times New Roman" w:hAnsi="Times New Roman" w:eastAsia="宋体" w:cs="Times New Roman"/>
          <w:b/>
          <w:kern w:val="2"/>
          <w:sz w:val="30"/>
          <w:szCs w:val="30"/>
          <w:lang w:val="en-US" w:eastAsia="zh-CN"/>
        </w:rPr>
        <w:t>年</w:t>
      </w:r>
      <w:r>
        <w:rPr>
          <w:rFonts w:hint="eastAsia" w:ascii="Times New Roman" w:hAnsi="Times New Roman" w:eastAsia="宋体" w:cs="Times New Roman"/>
          <w:b/>
          <w:kern w:val="2"/>
          <w:sz w:val="30"/>
          <w:szCs w:val="30"/>
          <w:lang w:val="en-US" w:eastAsia="zh-CN"/>
        </w:rPr>
        <w:t>4</w:t>
      </w:r>
      <w:r>
        <w:rPr>
          <w:rFonts w:hint="default" w:ascii="Times New Roman" w:hAnsi="Times New Roman" w:eastAsia="宋体" w:cs="Times New Roman"/>
          <w:b/>
          <w:kern w:val="2"/>
          <w:sz w:val="30"/>
          <w:szCs w:val="30"/>
          <w:lang w:val="en-US" w:eastAsia="zh-CN"/>
        </w:rPr>
        <w:t>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3B58C634">
      <w:pPr>
        <w:rPr>
          <w:rFonts w:hint="default" w:ascii="Times New Roman" w:hAnsi="Times New Roman" w:eastAsia="宋体" w:cs="Times New Roman"/>
          <w:color w:val="auto"/>
          <w:spacing w:val="0"/>
          <w:w w:val="100"/>
          <w:sz w:val="28"/>
          <w:szCs w:val="28"/>
          <w:highlight w:val="none"/>
        </w:rPr>
      </w:pPr>
    </w:p>
    <w:p w14:paraId="099195D3">
      <w:pPr>
        <w:pStyle w:val="5"/>
        <w:rPr>
          <w:rFonts w:hint="default" w:ascii="Times New Roman" w:hAnsi="Times New Roman" w:eastAsia="宋体" w:cs="Times New Roman"/>
          <w:color w:val="auto"/>
          <w:spacing w:val="0"/>
          <w:w w:val="100"/>
          <w:sz w:val="28"/>
          <w:szCs w:val="28"/>
          <w:highlight w:val="none"/>
        </w:rPr>
      </w:pPr>
    </w:p>
    <w:p w14:paraId="56CC759A">
      <w:pPr>
        <w:rPr>
          <w:rFonts w:hint="default"/>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rPr>
      </w:pPr>
    </w:p>
    <w:p w14:paraId="250A0111">
      <w:pPr>
        <w:spacing w:after="0" w:afterLines="-2147483648" w:line="360" w:lineRule="auto"/>
        <w:ind w:firstLine="0" w:firstLineChars="0"/>
        <w:rPr>
          <w:rFonts w:hint="eastAsia" w:ascii="Times New Roman" w:hAnsi="Times New Roman" w:eastAsia="楷体" w:cs="Times New Roman"/>
          <w:bCs/>
          <w:color w:val="auto"/>
          <w:kern w:val="0"/>
          <w:sz w:val="30"/>
          <w:szCs w:val="30"/>
          <w:highlight w:val="none"/>
          <w:lang w:eastAsia="zh-CN"/>
        </w:rPr>
      </w:pPr>
    </w:p>
    <w:p w14:paraId="633ED7D8">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编制单位：</w:t>
      </w:r>
      <w:r>
        <w:rPr>
          <w:rFonts w:hint="eastAsia" w:ascii="Times New Roman" w:hAnsi="Times New Roman" w:eastAsia="宋体" w:cs="Times New Roman"/>
          <w:b/>
          <w:sz w:val="30"/>
          <w:szCs w:val="30"/>
          <w:lang w:val="en-US" w:eastAsia="zh-CN"/>
        </w:rPr>
        <w:t>甘肃卉昕朋环保科技有限公司</w:t>
      </w:r>
    </w:p>
    <w:p w14:paraId="02276A03">
      <w:pPr>
        <w:spacing w:line="360" w:lineRule="auto"/>
        <w:rPr>
          <w:rFonts w:hint="eastAsia" w:ascii="Times New Roman" w:hAnsi="Times New Roman" w:eastAsia="宋体" w:cs="Times New Roman"/>
          <w:b/>
          <w:sz w:val="30"/>
          <w:szCs w:val="30"/>
          <w:lang w:eastAsia="zh-CN"/>
        </w:rPr>
      </w:pPr>
      <w:r>
        <w:rPr>
          <w:rFonts w:hint="eastAsia" w:ascii="Times New Roman" w:hAnsi="Times New Roman" w:eastAsia="宋体" w:cs="Times New Roman"/>
          <w:b/>
          <w:sz w:val="30"/>
          <w:szCs w:val="30"/>
          <w:lang w:eastAsia="zh-CN"/>
        </w:rPr>
        <w:t>法定代表人</w:t>
      </w:r>
      <w:r>
        <w:rPr>
          <w:rFonts w:hint="default" w:ascii="Times New Roman" w:hAnsi="Times New Roman" w:eastAsia="宋体" w:cs="Times New Roman"/>
          <w:b/>
          <w:sz w:val="30"/>
          <w:szCs w:val="30"/>
        </w:rPr>
        <w:t>：</w:t>
      </w:r>
      <w:r>
        <w:rPr>
          <w:rFonts w:hint="eastAsia" w:ascii="Times New Roman" w:hAnsi="Times New Roman" w:eastAsia="宋体" w:cs="Times New Roman"/>
          <w:b/>
          <w:sz w:val="30"/>
          <w:szCs w:val="30"/>
          <w:lang w:eastAsia="zh-CN"/>
        </w:rPr>
        <w:t>李保权</w:t>
      </w:r>
    </w:p>
    <w:p w14:paraId="60FE1AAA">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eastAsia" w:ascii="Times New Roman" w:hAnsi="Times New Roman" w:eastAsia="宋体" w:cs="Times New Roman"/>
          <w:b/>
          <w:color w:val="auto"/>
          <w:sz w:val="30"/>
          <w:szCs w:val="30"/>
          <w:lang w:val="en-US" w:eastAsia="zh-CN"/>
        </w:rPr>
        <w:t>李婉君</w:t>
      </w:r>
    </w:p>
    <w:p w14:paraId="04F9FF25">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eastAsia" w:ascii="Times New Roman" w:hAnsi="Times New Roman" w:eastAsia="宋体" w:cs="Times New Roman"/>
          <w:b/>
          <w:color w:val="auto"/>
          <w:sz w:val="30"/>
          <w:szCs w:val="30"/>
          <w:lang w:val="en-US" w:eastAsia="zh-CN"/>
        </w:rPr>
        <w:t>李婉君</w:t>
      </w:r>
    </w:p>
    <w:p w14:paraId="46F5CB51">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eastAsia" w:ascii="Times New Roman" w:hAnsi="Times New Roman" w:eastAsia="宋体" w:cs="Times New Roman"/>
          <w:b/>
          <w:color w:val="auto"/>
          <w:sz w:val="30"/>
          <w:szCs w:val="30"/>
          <w:lang w:eastAsia="zh-CN"/>
        </w:rPr>
        <w:t>：</w:t>
      </w:r>
      <w:r>
        <w:rPr>
          <w:rFonts w:hint="eastAsia" w:ascii="Times New Roman" w:hAnsi="Times New Roman" w:eastAsia="宋体" w:cs="Times New Roman"/>
          <w:b/>
          <w:color w:val="auto"/>
          <w:sz w:val="30"/>
          <w:szCs w:val="30"/>
          <w:lang w:val="en-US" w:eastAsia="zh-CN"/>
        </w:rPr>
        <w:t>周振昕</w:t>
      </w:r>
    </w:p>
    <w:p w14:paraId="53F1F63A">
      <w:pPr>
        <w:spacing w:line="360" w:lineRule="auto"/>
        <w:rPr>
          <w:rFonts w:hint="default" w:ascii="Times New Roman" w:hAnsi="Times New Roman" w:eastAsia="宋体" w:cs="Times New Roman"/>
          <w:b/>
          <w:sz w:val="30"/>
          <w:szCs w:val="30"/>
        </w:rPr>
      </w:pPr>
    </w:p>
    <w:p w14:paraId="6E02460B">
      <w:pPr>
        <w:spacing w:line="360" w:lineRule="auto"/>
        <w:rPr>
          <w:rFonts w:hint="default" w:ascii="Times New Roman" w:hAnsi="Times New Roman" w:eastAsia="宋体" w:cs="Times New Roman"/>
          <w:b/>
          <w:sz w:val="30"/>
          <w:szCs w:val="30"/>
        </w:rPr>
      </w:pPr>
    </w:p>
    <w:p w14:paraId="3F2F987C">
      <w:pPr>
        <w:spacing w:line="360" w:lineRule="auto"/>
        <w:rPr>
          <w:rFonts w:hint="eastAsia"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eastAsia" w:ascii="Times New Roman" w:hAnsi="Times New Roman" w:eastAsia="宋体" w:cs="Times New Roman"/>
          <w:b/>
          <w:color w:val="auto"/>
          <w:sz w:val="30"/>
          <w:szCs w:val="30"/>
          <w:lang w:eastAsia="zh-CN"/>
        </w:rPr>
        <w:t>山东新航工程项目咨询有限公司</w:t>
      </w:r>
    </w:p>
    <w:p w14:paraId="572FA204">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eastAsia" w:ascii="Times New Roman" w:hAnsi="Times New Roman" w:eastAsia="宋体" w:cs="Times New Roman"/>
          <w:b/>
          <w:color w:val="auto"/>
          <w:sz w:val="30"/>
          <w:szCs w:val="30"/>
          <w:lang w:val="en-US" w:eastAsia="zh-CN"/>
        </w:rPr>
        <w:t>张彤18893820154</w:t>
      </w:r>
    </w:p>
    <w:p w14:paraId="46E49ED7">
      <w:pPr>
        <w:spacing w:line="360" w:lineRule="auto"/>
        <w:rPr>
          <w:rFonts w:hint="default" w:ascii="Times New Roman" w:hAnsi="Times New Roman" w:eastAsia="宋体" w:cs="Times New Roman"/>
          <w:b/>
          <w:sz w:val="30"/>
          <w:szCs w:val="30"/>
        </w:rPr>
      </w:pPr>
    </w:p>
    <w:p w14:paraId="2851C3C0">
      <w:pPr>
        <w:spacing w:line="360" w:lineRule="auto"/>
        <w:rPr>
          <w:rFonts w:hint="default" w:ascii="Times New Roman" w:hAnsi="Times New Roman" w:eastAsia="宋体" w:cs="Times New Roman"/>
          <w:b/>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eastAsia"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传真：/</w:t>
      </w:r>
    </w:p>
    <w:p w14:paraId="677EAF0A">
      <w:pPr>
        <w:spacing w:line="360" w:lineRule="auto"/>
        <w:rPr>
          <w:rFonts w:hint="default" w:ascii="Times New Roman" w:hAnsi="Times New Roman" w:eastAsia="宋体" w:cs="Times New Roman"/>
          <w:b/>
          <w:sz w:val="30"/>
          <w:szCs w:val="30"/>
          <w:lang w:val="en-US"/>
        </w:rPr>
      </w:pPr>
      <w:r>
        <w:rPr>
          <w:rFonts w:hint="default" w:ascii="Times New Roman" w:hAnsi="Times New Roman" w:eastAsia="宋体" w:cs="Times New Roman"/>
          <w:b/>
          <w:sz w:val="30"/>
          <w:szCs w:val="30"/>
        </w:rPr>
        <w:t>地址：</w:t>
      </w:r>
      <w:r>
        <w:rPr>
          <w:rFonts w:hint="default" w:ascii="Times New Roman" w:hAnsi="Times New Roman" w:eastAsia="宋体" w:cs="Times New Roman"/>
          <w:b/>
          <w:sz w:val="30"/>
          <w:szCs w:val="30"/>
          <w:lang w:eastAsia="zh-CN"/>
        </w:rPr>
        <w:t>甘肃省庆阳市西峰区</w:t>
      </w:r>
      <w:r>
        <w:rPr>
          <w:rFonts w:hint="eastAsia" w:ascii="Times New Roman" w:hAnsi="Times New Roman" w:eastAsia="宋体" w:cs="Times New Roman"/>
          <w:b/>
          <w:sz w:val="30"/>
          <w:szCs w:val="30"/>
          <w:lang w:eastAsia="zh-CN"/>
        </w:rPr>
        <w:t>丽晶茂</w:t>
      </w:r>
      <w:r>
        <w:rPr>
          <w:rFonts w:hint="eastAsia" w:ascii="Times New Roman" w:hAnsi="Times New Roman" w:eastAsia="宋体" w:cs="Times New Roman"/>
          <w:b/>
          <w:sz w:val="30"/>
          <w:szCs w:val="30"/>
          <w:lang w:val="en-US" w:eastAsia="zh-CN"/>
        </w:rPr>
        <w:t>A栋1515室</w:t>
      </w:r>
    </w:p>
    <w:p w14:paraId="211D5400">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邮编：745000</w:t>
      </w:r>
    </w:p>
    <w:p w14:paraId="3C97E2EC">
      <w:pPr>
        <w:pStyle w:val="5"/>
        <w:rPr>
          <w:rFonts w:hint="default" w:ascii="Times New Roman" w:hAnsi="Times New Roman" w:eastAsia="宋体" w:cs="Times New Roman"/>
          <w:b/>
          <w:sz w:val="30"/>
          <w:szCs w:val="30"/>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3F789504">
      <w:pPr>
        <w:rPr>
          <w:rFonts w:hint="default"/>
        </w:rPr>
      </w:pPr>
    </w:p>
    <w:p w14:paraId="1C702D51">
      <w:pPr>
        <w:rPr>
          <w:rFonts w:hint="default" w:ascii="Times New Roman" w:hAnsi="Times New Roman" w:eastAsia="宋体" w:cs="Times New Roman"/>
          <w:b/>
          <w:sz w:val="30"/>
          <w:szCs w:val="30"/>
        </w:rPr>
      </w:pPr>
    </w:p>
    <w:p w14:paraId="4BD59512">
      <w:pPr>
        <w:widowControl w:val="0"/>
        <w:adjustRightInd/>
        <w:snapToGrid/>
        <w:spacing w:after="0" w:afterLines="-2147483648"/>
        <w:jc w:val="both"/>
        <w:outlineLvl w:val="0"/>
        <w:rPr>
          <w:rFonts w:hint="default" w:ascii="Times New Roman" w:hAnsi="Times New Roman" w:eastAsia="宋体" w:cs="Times New Roman"/>
          <w:b/>
          <w:kern w:val="2"/>
          <w:sz w:val="32"/>
          <w:szCs w:val="24"/>
        </w:rPr>
      </w:pPr>
      <w:bookmarkStart w:id="0" w:name="_Toc17776"/>
      <w:r>
        <w:rPr>
          <w:rFonts w:hint="eastAsia" w:ascii="Times New Roman" w:hAnsi="Times New Roman" w:eastAsia="宋体" w:cs="Times New Roman"/>
          <w:b/>
          <w:kern w:val="2"/>
          <w:sz w:val="32"/>
          <w:szCs w:val="24"/>
          <w:lang w:val="en-US" w:eastAsia="zh-CN"/>
        </w:rPr>
        <w:t>1.</w:t>
      </w:r>
      <w:r>
        <w:rPr>
          <w:rFonts w:hint="default" w:ascii="Times New Roman" w:hAnsi="Times New Roman" w:eastAsia="宋体" w:cs="Times New Roman"/>
          <w:b/>
          <w:kern w:val="2"/>
          <w:sz w:val="32"/>
          <w:szCs w:val="24"/>
        </w:rPr>
        <w:t>项目总体情况</w:t>
      </w:r>
      <w:bookmarkEnd w:id="0"/>
    </w:p>
    <w:tbl>
      <w:tblPr>
        <w:tblStyle w:val="2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1512"/>
        <w:gridCol w:w="747"/>
        <w:gridCol w:w="228"/>
        <w:gridCol w:w="392"/>
        <w:gridCol w:w="382"/>
        <w:gridCol w:w="675"/>
        <w:gridCol w:w="123"/>
        <w:gridCol w:w="78"/>
        <w:gridCol w:w="627"/>
        <w:gridCol w:w="561"/>
        <w:gridCol w:w="411"/>
        <w:gridCol w:w="963"/>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3929"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华北油气分公司采油一厂JH55P2等3宗评价井建设项目（JH55P2）</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3929"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325"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梁承春</w:t>
            </w:r>
          </w:p>
        </w:tc>
        <w:tc>
          <w:tcPr>
            <w:tcW w:w="1102"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501"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3929"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default"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325"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588"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468"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742"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804"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3929" w:type="pct"/>
            <w:gridSpan w:val="12"/>
            <w:noWrap w:val="0"/>
            <w:vAlign w:val="center"/>
          </w:tcPr>
          <w:p w14:paraId="13FD298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宁县平子镇平子村十一组，坐标：E108°09′46.218″，N35°26′08.602″</w:t>
            </w: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459"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850"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619"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3929"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华北油气分公司采油一厂JH55P2等3宗评价井建设项目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070"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3929"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甘肃卉昕朋环保科技有限公司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70"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3929"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459"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庆阳市生态环境局</w:t>
            </w:r>
          </w:p>
        </w:tc>
        <w:tc>
          <w:tcPr>
            <w:tcW w:w="454"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81"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庆环评表字</w:t>
            </w:r>
            <w:r>
              <w:rPr>
                <w:rFonts w:hint="eastAsia" w:ascii="Times New Roman" w:hAnsi="Times New Roman" w:eastAsia="宋体" w:cs="Times New Roman"/>
                <w:color w:val="auto"/>
                <w:spacing w:val="0"/>
                <w:w w:val="100"/>
                <w:kern w:val="0"/>
                <w:sz w:val="24"/>
                <w:szCs w:val="24"/>
                <w:highlight w:val="none"/>
                <w:lang w:val="en-US" w:eastAsia="zh-CN"/>
              </w:rPr>
              <w:t>〔2023〕153号</w:t>
            </w:r>
          </w:p>
        </w:tc>
        <w:tc>
          <w:tcPr>
            <w:tcW w:w="570"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63"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2023年10月10日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459"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c>
          <w:tcPr>
            <w:tcW w:w="454"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81"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70"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63"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3929"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3929"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3929" w:type="pct"/>
            <w:gridSpan w:val="12"/>
            <w:noWrap w:val="0"/>
            <w:vAlign w:val="center"/>
          </w:tcPr>
          <w:p w14:paraId="62DE656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887" w:type="pct"/>
            <w:shd w:val="clear" w:color="auto" w:fill="auto"/>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bidi="ar-SA"/>
              </w:rPr>
            </w:pPr>
            <w:r>
              <w:rPr>
                <w:rFonts w:hint="eastAsia" w:ascii="Times New Roman" w:hAnsi="Times New Roman" w:eastAsia="宋体" w:cs="Times New Roman"/>
                <w:color w:val="auto"/>
                <w:spacing w:val="0"/>
                <w:w w:val="100"/>
                <w:kern w:val="0"/>
                <w:sz w:val="24"/>
                <w:szCs w:val="24"/>
                <w:highlight w:val="none"/>
                <w:lang w:val="en-US" w:eastAsia="zh-CN"/>
              </w:rPr>
              <w:t>1300</w:t>
            </w:r>
          </w:p>
        </w:tc>
        <w:tc>
          <w:tcPr>
            <w:tcW w:w="1026" w:type="pct"/>
            <w:gridSpan w:val="4"/>
            <w:shd w:val="clear" w:color="auto" w:fill="auto"/>
            <w:noWrap w:val="0"/>
            <w:vAlign w:val="center"/>
          </w:tcPr>
          <w:p w14:paraId="60C2F2F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其中：环境保护</w:t>
            </w:r>
          </w:p>
          <w:p w14:paraId="4EFD90B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bidi="ar-SA"/>
              </w:rPr>
            </w:pPr>
            <w:r>
              <w:rPr>
                <w:rFonts w:hint="eastAsia"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shd w:val="clear" w:color="auto" w:fill="auto"/>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189.7</w:t>
            </w:r>
          </w:p>
        </w:tc>
        <w:tc>
          <w:tcPr>
            <w:tcW w:w="938" w:type="pct"/>
            <w:gridSpan w:val="3"/>
            <w:vMerge w:val="restart"/>
            <w:shd w:val="clear" w:color="auto" w:fill="auto"/>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63" w:type="pct"/>
            <w:shd w:val="clear" w:color="auto" w:fill="auto"/>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14.6%</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887"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500</w:t>
            </w:r>
          </w:p>
        </w:tc>
        <w:tc>
          <w:tcPr>
            <w:tcW w:w="1026" w:type="pct"/>
            <w:gridSpan w:val="4"/>
            <w:noWrap w:val="0"/>
            <w:vAlign w:val="center"/>
          </w:tcPr>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lang w:eastAsia="zh-CN"/>
              </w:rPr>
              <w:t>其中：环境保护</w:t>
            </w: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bidi="ar-SA"/>
              </w:rPr>
              <w:t>75.9</w:t>
            </w:r>
          </w:p>
        </w:tc>
        <w:tc>
          <w:tcPr>
            <w:tcW w:w="938"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63"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11.0%</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0"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设计生产能力</w:t>
            </w:r>
          </w:p>
        </w:tc>
        <w:tc>
          <w:tcPr>
            <w:tcW w:w="1689" w:type="pct"/>
            <w:gridSpan w:val="4"/>
            <w:noWrap w:val="0"/>
            <w:vAlign w:val="center"/>
          </w:tcPr>
          <w:p w14:paraId="4571256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井深</w:t>
            </w:r>
            <w:r>
              <w:rPr>
                <w:rFonts w:hint="eastAsia" w:ascii="Times New Roman" w:hAnsi="Times New Roman" w:eastAsia="宋体" w:cs="Times New Roman"/>
                <w:color w:val="auto"/>
                <w:spacing w:val="0"/>
                <w:w w:val="100"/>
                <w:sz w:val="24"/>
                <w:szCs w:val="24"/>
                <w:highlight w:val="none"/>
                <w:lang w:val="en-US" w:eastAsia="zh-CN"/>
              </w:rPr>
              <w:t>2500m</w:t>
            </w:r>
          </w:p>
        </w:tc>
        <w:tc>
          <w:tcPr>
            <w:tcW w:w="738" w:type="pct"/>
            <w:gridSpan w:val="4"/>
            <w:noWrap w:val="0"/>
            <w:vAlign w:val="center"/>
          </w:tcPr>
          <w:p w14:paraId="3E563E0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建设项目开工日期</w:t>
            </w:r>
          </w:p>
        </w:tc>
        <w:tc>
          <w:tcPr>
            <w:tcW w:w="1501" w:type="pct"/>
            <w:gridSpan w:val="4"/>
            <w:noWrap w:val="0"/>
            <w:vAlign w:val="center"/>
          </w:tcPr>
          <w:p w14:paraId="6BCA3D6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cs="Times New Roman"/>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2024-12-15</w:t>
            </w: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689" w:type="pct"/>
            <w:gridSpan w:val="4"/>
            <w:noWrap w:val="0"/>
            <w:vAlign w:val="center"/>
          </w:tcPr>
          <w:p w14:paraId="5863F22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井深</w:t>
            </w:r>
            <w:r>
              <w:rPr>
                <w:rFonts w:hint="eastAsia" w:ascii="Times New Roman" w:hAnsi="Times New Roman" w:eastAsia="宋体" w:cs="Times New Roman"/>
                <w:color w:val="auto"/>
                <w:spacing w:val="0"/>
                <w:w w:val="100"/>
                <w:sz w:val="24"/>
                <w:szCs w:val="24"/>
                <w:highlight w:val="none"/>
                <w:lang w:val="en-US" w:eastAsia="zh-CN"/>
              </w:rPr>
              <w:t>2012m</w:t>
            </w:r>
          </w:p>
        </w:tc>
        <w:tc>
          <w:tcPr>
            <w:tcW w:w="738"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501"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70"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3929"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70" w:type="pct"/>
            <w:noWrap w:val="0"/>
            <w:vAlign w:val="center"/>
          </w:tcPr>
          <w:p w14:paraId="3FB39E7D">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default" w:ascii="Times New Roman" w:hAnsi="Times New Roman" w:eastAsia="宋体" w:cs="Times New Roman"/>
                <w:b/>
                <w:bCs/>
                <w:color w:val="auto"/>
                <w:spacing w:val="0"/>
                <w:w w:val="100"/>
                <w:kern w:val="0"/>
                <w:sz w:val="24"/>
                <w:highlight w:val="none"/>
              </w:rPr>
              <w:t>项目建设过程简述</w:t>
            </w:r>
          </w:p>
          <w:p w14:paraId="4C1B5937">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（项目立项~试运行）</w:t>
            </w:r>
          </w:p>
        </w:tc>
        <w:tc>
          <w:tcPr>
            <w:tcW w:w="3929"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default" w:ascii="Times New Roman" w:hAnsi="Times New Roman" w:eastAsia="宋体" w:cs="Times New Roman"/>
                <w:b/>
                <w:bCs/>
                <w:color w:val="auto"/>
                <w:spacing w:val="0"/>
                <w:w w:val="100"/>
                <w:sz w:val="24"/>
                <w:szCs w:val="24"/>
                <w:highlight w:val="none"/>
                <w:lang w:eastAsia="zh-CN"/>
              </w:rPr>
              <w:t>项目立项</w:t>
            </w:r>
          </w:p>
          <w:p w14:paraId="26A472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勘探是</w:t>
            </w:r>
            <w:r>
              <w:rPr>
                <w:rFonts w:hint="default" w:ascii="Times New Roman" w:hAnsi="Times New Roman" w:eastAsia="宋体" w:cs="Times New Roman"/>
                <w:color w:val="auto"/>
                <w:spacing w:val="0"/>
                <w:w w:val="100"/>
                <w:sz w:val="24"/>
                <w:szCs w:val="24"/>
                <w:highlight w:val="none"/>
                <w:lang w:val="en-US" w:eastAsia="zh-CN"/>
              </w:rPr>
              <w:t>油田</w:t>
            </w:r>
            <w:r>
              <w:rPr>
                <w:rFonts w:hint="default" w:ascii="Times New Roman" w:hAnsi="Times New Roman" w:eastAsia="宋体" w:cs="Times New Roman"/>
                <w:color w:val="auto"/>
                <w:spacing w:val="0"/>
                <w:w w:val="100"/>
                <w:sz w:val="24"/>
                <w:szCs w:val="24"/>
                <w:highlight w:val="none"/>
                <w:lang w:eastAsia="zh-CN"/>
              </w:rPr>
              <w:t>合理开发利用的基础工程，为确保</w:t>
            </w: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w:t>
            </w:r>
            <w:r>
              <w:rPr>
                <w:rFonts w:hint="default" w:ascii="Times New Roman" w:hAnsi="Times New Roman" w:eastAsia="宋体" w:cs="Times New Roman"/>
                <w:color w:val="auto"/>
                <w:spacing w:val="0"/>
                <w:w w:val="100"/>
                <w:sz w:val="24"/>
                <w:szCs w:val="24"/>
                <w:highlight w:val="none"/>
                <w:lang w:val="en-US" w:eastAsia="zh-CN"/>
              </w:rPr>
              <w:t>宁县平子镇平子村十一组</w:t>
            </w:r>
            <w:r>
              <w:rPr>
                <w:rFonts w:hint="default" w:ascii="Times New Roman" w:hAnsi="Times New Roman" w:eastAsia="宋体" w:cs="Times New Roman"/>
                <w:color w:val="auto"/>
                <w:spacing w:val="0"/>
                <w:w w:val="100"/>
                <w:sz w:val="24"/>
                <w:szCs w:val="24"/>
                <w:highlight w:val="none"/>
                <w:lang w:eastAsia="zh-CN"/>
              </w:rPr>
              <w:t>建设</w:t>
            </w:r>
            <w:r>
              <w:rPr>
                <w:rFonts w:hint="eastAsia" w:ascii="Times New Roman" w:hAnsi="Times New Roman" w:eastAsia="宋体" w:cs="Times New Roman"/>
                <w:color w:val="auto"/>
                <w:spacing w:val="0"/>
                <w:w w:val="100"/>
                <w:sz w:val="24"/>
                <w:szCs w:val="24"/>
                <w:highlight w:val="none"/>
                <w:lang w:val="en-US" w:eastAsia="zh-CN"/>
              </w:rPr>
              <w:t>JH55P2</w:t>
            </w:r>
            <w:r>
              <w:rPr>
                <w:rFonts w:hint="default" w:ascii="Times New Roman" w:hAnsi="Times New Roman" w:eastAsia="宋体" w:cs="Times New Roman"/>
                <w:color w:val="auto"/>
                <w:spacing w:val="0"/>
                <w:w w:val="100"/>
                <w:sz w:val="24"/>
                <w:szCs w:val="24"/>
                <w:highlight w:val="none"/>
                <w:lang w:val="en-US" w:eastAsia="zh-CN"/>
              </w:rPr>
              <w:t>井场</w:t>
            </w:r>
            <w:r>
              <w:rPr>
                <w:rFonts w:hint="default" w:ascii="Times New Roman" w:hAnsi="Times New Roman" w:eastAsia="宋体" w:cs="Times New Roman"/>
                <w:color w:val="auto"/>
                <w:spacing w:val="0"/>
                <w:w w:val="100"/>
                <w:sz w:val="24"/>
                <w:szCs w:val="24"/>
                <w:highlight w:val="none"/>
                <w:lang w:eastAsia="zh-CN"/>
              </w:rPr>
              <w:t>，目的在于勘测</w:t>
            </w:r>
            <w:r>
              <w:rPr>
                <w:rFonts w:hint="default" w:ascii="Times New Roman" w:hAnsi="Times New Roman" w:eastAsia="宋体" w:cs="Times New Roman"/>
                <w:color w:val="auto"/>
                <w:spacing w:val="0"/>
                <w:w w:val="100"/>
                <w:sz w:val="24"/>
                <w:szCs w:val="24"/>
                <w:highlight w:val="none"/>
                <w:lang w:val="en-US" w:eastAsia="zh-CN"/>
              </w:rPr>
              <w:t>项目</w:t>
            </w:r>
            <w:r>
              <w:rPr>
                <w:rFonts w:hint="default" w:ascii="Times New Roman" w:hAnsi="Times New Roman" w:eastAsia="宋体" w:cs="Times New Roman"/>
                <w:color w:val="auto"/>
                <w:spacing w:val="0"/>
                <w:w w:val="100"/>
                <w:sz w:val="24"/>
                <w:szCs w:val="24"/>
                <w:highlight w:val="none"/>
                <w:lang w:eastAsia="zh-CN"/>
              </w:rPr>
              <w:t>地下资源储藏情</w:t>
            </w:r>
            <w:r>
              <w:rPr>
                <w:rFonts w:hint="default" w:ascii="Times New Roman" w:hAnsi="Times New Roman" w:eastAsia="宋体" w:cs="Times New Roman"/>
                <w:color w:val="auto"/>
                <w:spacing w:val="0"/>
                <w:w w:val="100"/>
                <w:sz w:val="24"/>
                <w:szCs w:val="24"/>
                <w:highlight w:val="none"/>
                <w:lang w:val="en-US" w:eastAsia="zh-CN"/>
              </w:rPr>
              <w:t>况，通过完井测试评价油藏情况，若测试具有工业产能，后期进行井场建设和采油生产；若勘探未见石油或石油不具有工业开采价值，则进行弃井作业并进行生态恢复。</w:t>
            </w:r>
          </w:p>
          <w:p w14:paraId="7435D0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w:t>
            </w:r>
            <w:r>
              <w:rPr>
                <w:rFonts w:hint="eastAsia" w:ascii="Times New Roman" w:hAnsi="Times New Roman" w:eastAsia="宋体" w:cs="Times New Roman"/>
                <w:color w:val="auto"/>
                <w:spacing w:val="0"/>
                <w:w w:val="100"/>
                <w:sz w:val="24"/>
                <w:szCs w:val="24"/>
                <w:highlight w:val="none"/>
                <w:lang w:val="en-US" w:eastAsia="zh-CN"/>
              </w:rPr>
              <w:t>3</w:t>
            </w:r>
            <w:r>
              <w:rPr>
                <w:rFonts w:hint="default" w:ascii="Times New Roman" w:hAnsi="Times New Roman" w:eastAsia="宋体" w:cs="Times New Roman"/>
                <w:color w:val="auto"/>
                <w:spacing w:val="0"/>
                <w:w w:val="100"/>
                <w:sz w:val="24"/>
                <w:szCs w:val="24"/>
                <w:highlight w:val="none"/>
                <w:lang w:val="en-US" w:eastAsia="zh-CN"/>
              </w:rPr>
              <w:t>年</w:t>
            </w:r>
            <w:r>
              <w:rPr>
                <w:rFonts w:hint="eastAsia" w:ascii="Times New Roman" w:hAnsi="Times New Roman" w:eastAsia="宋体" w:cs="Times New Roman"/>
                <w:color w:val="FF0000"/>
                <w:spacing w:val="0"/>
                <w:w w:val="100"/>
                <w:sz w:val="24"/>
                <w:szCs w:val="24"/>
                <w:highlight w:val="none"/>
                <w:lang w:val="en-US" w:eastAsia="zh-CN"/>
              </w:rPr>
              <w:t>9</w:t>
            </w:r>
            <w:r>
              <w:rPr>
                <w:rFonts w:hint="default" w:ascii="Times New Roman" w:hAnsi="Times New Roman" w:eastAsia="宋体" w:cs="Times New Roman"/>
                <w:color w:val="FF0000"/>
                <w:spacing w:val="0"/>
                <w:w w:val="100"/>
                <w:sz w:val="24"/>
                <w:szCs w:val="24"/>
                <w:highlight w:val="none"/>
                <w:lang w:val="en-US" w:eastAsia="zh-CN"/>
              </w:rPr>
              <w:t>月</w:t>
            </w: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，中国石油化工股份有限公司华北油气分公司采油一厂委托甘肃卉昕朋环保科技有限公司编制完成了《</w:t>
            </w:r>
            <w:r>
              <w:rPr>
                <w:rFonts w:hint="eastAsia" w:ascii="Times New Roman" w:hAnsi="Times New Roman" w:eastAsia="宋体" w:cs="Times New Roman"/>
                <w:color w:val="auto"/>
                <w:spacing w:val="0"/>
                <w:w w:val="100"/>
                <w:sz w:val="24"/>
                <w:szCs w:val="24"/>
                <w:highlight w:val="none"/>
                <w:lang w:val="en-US" w:eastAsia="zh-CN"/>
              </w:rPr>
              <w:t>华北油气分公司采油一厂JH55P2等3宗评价井建设项目</w:t>
            </w:r>
            <w:r>
              <w:rPr>
                <w:rFonts w:hint="default" w:ascii="Times New Roman" w:hAnsi="Times New Roman" w:eastAsia="宋体" w:cs="Times New Roman"/>
                <w:color w:val="auto"/>
                <w:spacing w:val="0"/>
                <w:w w:val="100"/>
                <w:sz w:val="24"/>
                <w:szCs w:val="24"/>
                <w:highlight w:val="none"/>
                <w:lang w:val="en-US" w:eastAsia="zh-CN"/>
              </w:rPr>
              <w:t>环境影响报告表》；</w:t>
            </w:r>
          </w:p>
          <w:p w14:paraId="0BAF0C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2023年10月10日</w:t>
            </w:r>
            <w:r>
              <w:rPr>
                <w:rFonts w:hint="default" w:ascii="Times New Roman" w:hAnsi="Times New Roman" w:eastAsia="宋体" w:cs="Times New Roman"/>
                <w:color w:val="auto"/>
                <w:spacing w:val="0"/>
                <w:w w:val="100"/>
                <w:sz w:val="24"/>
                <w:szCs w:val="24"/>
                <w:highlight w:val="none"/>
                <w:lang w:val="en-US" w:eastAsia="zh-CN"/>
              </w:rPr>
              <w:t>，庆阳市生态环境局以庆环评表字</w:t>
            </w:r>
            <w:r>
              <w:rPr>
                <w:rFonts w:hint="eastAsia" w:ascii="Times New Roman" w:hAnsi="Times New Roman" w:eastAsia="宋体" w:cs="Times New Roman"/>
                <w:color w:val="auto"/>
                <w:spacing w:val="0"/>
                <w:w w:val="100"/>
                <w:sz w:val="24"/>
                <w:szCs w:val="24"/>
                <w:highlight w:val="none"/>
                <w:lang w:val="en-US" w:eastAsia="zh-CN"/>
              </w:rPr>
              <w:t>〔2023〕153号</w:t>
            </w:r>
            <w:r>
              <w:rPr>
                <w:rFonts w:hint="default" w:ascii="Times New Roman" w:hAnsi="Times New Roman" w:eastAsia="宋体" w:cs="Times New Roman"/>
                <w:color w:val="auto"/>
                <w:spacing w:val="0"/>
                <w:w w:val="100"/>
                <w:sz w:val="24"/>
                <w:szCs w:val="24"/>
                <w:highlight w:val="none"/>
                <w:lang w:val="en-US" w:eastAsia="zh-CN"/>
              </w:rPr>
              <w:t>对本项目的环境影响报告表做出批复。</w:t>
            </w:r>
          </w:p>
          <w:p w14:paraId="05F738A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eastAsiaTheme="minorEastAsia"/>
                <w:color w:val="auto"/>
                <w:spacing w:val="-2"/>
                <w:sz w:val="24"/>
              </w:rPr>
            </w:pP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cs="Times New Roman"/>
                <w:color w:val="auto"/>
                <w:spacing w:val="0"/>
                <w:w w:val="100"/>
                <w:sz w:val="24"/>
                <w:szCs w:val="24"/>
                <w:highlight w:val="none"/>
                <w:lang w:val="en-US" w:eastAsia="zh-CN"/>
              </w:rPr>
              <w:t>华北油气分公司采油一厂JH55P2等3宗评价井建设项目</w:t>
            </w:r>
            <w:r>
              <w:rPr>
                <w:rFonts w:hint="default" w:ascii="Times New Roman" w:hAnsi="Times New Roman" w:eastAsia="宋体" w:cs="Times New Roman"/>
                <w:color w:val="auto"/>
                <w:spacing w:val="0"/>
                <w:w w:val="100"/>
                <w:sz w:val="24"/>
                <w:szCs w:val="24"/>
                <w:highlight w:val="none"/>
                <w:lang w:val="en-US" w:eastAsia="zh-CN"/>
              </w:rPr>
              <w:t>》环境影响报告表中包括</w:t>
            </w:r>
            <w:r>
              <w:rPr>
                <w:rFonts w:hint="eastAsia" w:ascii="Times New Roman" w:hAnsi="Times New Roman" w:cs="Times New Roman"/>
                <w:color w:val="auto"/>
                <w:spacing w:val="0"/>
                <w:w w:val="100"/>
                <w:sz w:val="24"/>
                <w:szCs w:val="24"/>
                <w:highlight w:val="none"/>
                <w:lang w:val="en-US" w:eastAsia="zh-CN"/>
              </w:rPr>
              <w:t>3</w:t>
            </w:r>
            <w:r>
              <w:rPr>
                <w:rFonts w:hint="default" w:ascii="Times New Roman" w:hAnsi="Times New Roman" w:eastAsia="宋体" w:cs="Times New Roman"/>
                <w:color w:val="auto"/>
                <w:spacing w:val="0"/>
                <w:w w:val="100"/>
                <w:sz w:val="24"/>
                <w:szCs w:val="24"/>
                <w:highlight w:val="none"/>
                <w:lang w:val="en-US" w:eastAsia="zh-CN"/>
              </w:rPr>
              <w:t>座井场（</w:t>
            </w:r>
            <w:r>
              <w:rPr>
                <w:rFonts w:hint="eastAsia" w:ascii="Times New Roman" w:hAnsi="Times New Roman" w:cs="Times New Roman"/>
                <w:color w:val="auto"/>
                <w:sz w:val="24"/>
                <w:lang w:val="en-US" w:eastAsia="zh-CN"/>
              </w:rPr>
              <w:t>JH55P2、永平1H、永平2H</w:t>
            </w:r>
            <w:r>
              <w:rPr>
                <w:rFonts w:hint="default"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cs="Times New Roman"/>
                <w:color w:val="auto"/>
                <w:spacing w:val="0"/>
                <w:w w:val="100"/>
                <w:sz w:val="24"/>
                <w:szCs w:val="24"/>
                <w:highlight w:val="none"/>
                <w:lang w:val="en-US" w:eastAsia="zh-CN"/>
              </w:rPr>
              <w:t>其中，</w:t>
            </w:r>
            <w:r>
              <w:rPr>
                <w:rFonts w:hint="eastAsia" w:ascii="Times New Roman" w:hAnsi="Times New Roman" w:cs="Times New Roman"/>
                <w:color w:val="auto"/>
                <w:spacing w:val="0"/>
                <w:w w:val="100"/>
                <w:sz w:val="24"/>
                <w:szCs w:val="24"/>
                <w:highlight w:val="none"/>
                <w:lang w:val="en-US" w:eastAsia="zh-CN"/>
              </w:rPr>
              <w:t>JH55P2</w:t>
            </w:r>
            <w:r>
              <w:rPr>
                <w:rFonts w:hint="default" w:ascii="Times New Roman" w:hAnsi="Times New Roman" w:eastAsia="宋体" w:cs="Times New Roman"/>
                <w:color w:val="auto"/>
                <w:sz w:val="24"/>
                <w:lang w:val="en-US" w:eastAsia="zh-CN"/>
              </w:rPr>
              <w:t>属于该项目内容</w:t>
            </w:r>
            <w:r>
              <w:rPr>
                <w:rFonts w:hint="default" w:ascii="Times New Roman" w:hAnsi="Times New Roman" w:cs="Times New Roman"/>
                <w:color w:val="auto"/>
                <w:sz w:val="24"/>
                <w:szCs w:val="24"/>
                <w:lang w:val="en-US" w:eastAsia="zh-CN"/>
              </w:rPr>
              <w:t>。</w:t>
            </w:r>
            <w:r>
              <w:rPr>
                <w:rFonts w:hint="default" w:ascii="Times New Roman" w:hAnsi="Times New Roman" w:eastAsia="宋体" w:cs="Times New Roman"/>
                <w:color w:val="auto"/>
                <w:spacing w:val="0"/>
                <w:w w:val="100"/>
                <w:sz w:val="24"/>
                <w:szCs w:val="24"/>
                <w:highlight w:val="none"/>
                <w:lang w:val="en-US" w:eastAsia="zh-CN"/>
              </w:rPr>
              <w:t>本次验收只针对</w:t>
            </w:r>
            <w:r>
              <w:rPr>
                <w:rFonts w:hint="eastAsia" w:ascii="Times New Roman" w:hAnsi="Times New Roman" w:cs="Times New Roman"/>
                <w:color w:val="auto"/>
                <w:spacing w:val="0"/>
                <w:w w:val="100"/>
                <w:sz w:val="24"/>
                <w:szCs w:val="24"/>
                <w:highlight w:val="none"/>
                <w:lang w:val="en-US" w:eastAsia="zh-CN"/>
              </w:rPr>
              <w:t>JH55P2</w:t>
            </w:r>
            <w:r>
              <w:rPr>
                <w:rFonts w:hint="default" w:ascii="Times New Roman" w:hAnsi="Times New Roman" w:cs="Times New Roman" w:eastAsiaTheme="minorEastAsia"/>
                <w:color w:val="auto"/>
                <w:spacing w:val="-2"/>
                <w:sz w:val="24"/>
                <w:lang w:val="en-US" w:eastAsia="zh-CN"/>
              </w:rPr>
              <w:t>进行，验收为阶段性验收。</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本项目涉及井场钻探、试油情况见下表：</w:t>
            </w:r>
          </w:p>
          <w:tbl>
            <w:tblPr>
              <w:tblStyle w:val="25"/>
              <w:tblW w:w="4996"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13"/>
              <w:gridCol w:w="1354"/>
              <w:gridCol w:w="1182"/>
              <w:gridCol w:w="1300"/>
              <w:gridCol w:w="1309"/>
            </w:tblGrid>
            <w:tr w14:paraId="618F5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noWrap w:val="0"/>
                  <w:vAlign w:val="center"/>
                </w:tcPr>
                <w:p w14:paraId="43BAF6B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井场</w:t>
                  </w:r>
                </w:p>
              </w:tc>
              <w:tc>
                <w:tcPr>
                  <w:tcW w:w="1048" w:type="pct"/>
                  <w:noWrap w:val="0"/>
                  <w:vAlign w:val="center"/>
                </w:tcPr>
                <w:p w14:paraId="463B485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开钻时间</w:t>
                  </w:r>
                </w:p>
              </w:tc>
              <w:tc>
                <w:tcPr>
                  <w:tcW w:w="915" w:type="pct"/>
                  <w:noWrap w:val="0"/>
                  <w:vAlign w:val="center"/>
                </w:tcPr>
                <w:p w14:paraId="6E33FDC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完钻时间</w:t>
                  </w:r>
                </w:p>
              </w:tc>
              <w:tc>
                <w:tcPr>
                  <w:tcW w:w="1006" w:type="pct"/>
                  <w:noWrap w:val="0"/>
                  <w:vAlign w:val="center"/>
                </w:tcPr>
                <w:p w14:paraId="1861F081">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试油开始时间</w:t>
                  </w:r>
                </w:p>
              </w:tc>
              <w:tc>
                <w:tcPr>
                  <w:tcW w:w="1013" w:type="pct"/>
                  <w:noWrap w:val="0"/>
                  <w:vAlign w:val="center"/>
                </w:tcPr>
                <w:p w14:paraId="0333457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试油结束时间</w:t>
                  </w:r>
                </w:p>
              </w:tc>
            </w:tr>
            <w:tr w14:paraId="2B9AD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shd w:val="clear" w:color="auto" w:fill="auto"/>
                  <w:noWrap w:val="0"/>
                  <w:vAlign w:val="center"/>
                </w:tcPr>
                <w:p w14:paraId="3BEE7E6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JH55P2</w:t>
                  </w:r>
                </w:p>
              </w:tc>
              <w:tc>
                <w:tcPr>
                  <w:tcW w:w="1354" w:type="dxa"/>
                  <w:shd w:val="clear" w:color="auto" w:fill="auto"/>
                  <w:noWrap w:val="0"/>
                  <w:vAlign w:val="center"/>
                </w:tcPr>
                <w:p w14:paraId="6B32E5F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2024-12-15</w:t>
                  </w:r>
                </w:p>
              </w:tc>
              <w:tc>
                <w:tcPr>
                  <w:tcW w:w="1182" w:type="dxa"/>
                  <w:shd w:val="clear" w:color="auto" w:fill="auto"/>
                  <w:noWrap w:val="0"/>
                  <w:vAlign w:val="center"/>
                </w:tcPr>
                <w:p w14:paraId="07BBBD6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2024-12-25</w:t>
                  </w:r>
                </w:p>
              </w:tc>
              <w:tc>
                <w:tcPr>
                  <w:tcW w:w="1300" w:type="dxa"/>
                  <w:shd w:val="clear" w:color="auto" w:fill="auto"/>
                  <w:noWrap w:val="0"/>
                  <w:vAlign w:val="center"/>
                </w:tcPr>
                <w:p w14:paraId="2957D53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2025-02-05</w:t>
                  </w:r>
                </w:p>
              </w:tc>
              <w:tc>
                <w:tcPr>
                  <w:tcW w:w="1309" w:type="dxa"/>
                  <w:shd w:val="clear" w:color="auto" w:fill="auto"/>
                  <w:noWrap w:val="0"/>
                  <w:vAlign w:val="center"/>
                </w:tcPr>
                <w:p w14:paraId="1823F2E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2025-03-22</w:t>
                  </w:r>
                </w:p>
              </w:tc>
            </w:tr>
          </w:tbl>
          <w:p w14:paraId="066CE954">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2025年</w:t>
            </w:r>
            <w:r>
              <w:rPr>
                <w:rFonts w:hint="eastAsia" w:ascii="Times New Roman" w:hAnsi="Times New Roman" w:eastAsia="宋体" w:cs="Times New Roman"/>
                <w:color w:val="auto"/>
                <w:spacing w:val="0"/>
                <w:w w:val="100"/>
                <w:sz w:val="24"/>
                <w:szCs w:val="24"/>
                <w:highlight w:val="none"/>
                <w:lang w:val="en-US" w:eastAsia="zh-CN"/>
              </w:rPr>
              <w:t>3</w:t>
            </w:r>
            <w:r>
              <w:rPr>
                <w:rFonts w:hint="default" w:ascii="Times New Roman" w:hAnsi="Times New Roman" w:eastAsia="宋体" w:cs="Times New Roman"/>
                <w:color w:val="auto"/>
                <w:spacing w:val="0"/>
                <w:w w:val="100"/>
                <w:sz w:val="24"/>
                <w:szCs w:val="24"/>
                <w:highlight w:val="none"/>
                <w:lang w:val="en-US" w:eastAsia="zh-CN"/>
              </w:rPr>
              <w:t>月23日，中国石油化工股份有限公司华北油气分公司采油一厂委托甘肃卉昕朋环保科技有限公司对该项目进行竣工环境保护验收调查工作，根据现场踏勘情况，</w:t>
            </w:r>
            <w:r>
              <w:rPr>
                <w:rFonts w:hint="eastAsia" w:ascii="Times New Roman" w:hAnsi="Times New Roman" w:eastAsia="宋体" w:cs="Times New Roman"/>
                <w:color w:val="auto"/>
                <w:spacing w:val="0"/>
                <w:w w:val="100"/>
                <w:sz w:val="24"/>
                <w:szCs w:val="24"/>
                <w:highlight w:val="none"/>
                <w:lang w:val="en-US" w:eastAsia="zh-CN"/>
              </w:rPr>
              <w:t>JH55P2</w:t>
            </w:r>
            <w:r>
              <w:rPr>
                <w:rFonts w:hint="default" w:ascii="Times New Roman" w:hAnsi="Times New Roman" w:eastAsia="宋体" w:cs="Times New Roman"/>
                <w:color w:val="auto"/>
                <w:spacing w:val="0"/>
                <w:w w:val="100"/>
                <w:sz w:val="24"/>
                <w:szCs w:val="24"/>
                <w:highlight w:val="none"/>
                <w:lang w:val="en-US" w:eastAsia="zh-CN"/>
              </w:rPr>
              <w:t>井场有经济利用价值，临时关井，待转产，临时占地现已恢复平整并进行了植被恢复。具备验收、调查条件。</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default" w:ascii="Times New Roman" w:hAnsi="Times New Roman" w:eastAsia="宋体" w:cs="Times New Roman"/>
                <w:color w:val="auto"/>
                <w:spacing w:val="0"/>
                <w:w w:val="100"/>
                <w:sz w:val="24"/>
                <w:szCs w:val="24"/>
                <w:highlight w:val="none"/>
                <w:lang w:val="en-US" w:eastAsia="zh-CN"/>
              </w:rPr>
              <w:t>2025年3月</w:t>
            </w:r>
            <w:r>
              <w:rPr>
                <w:rFonts w:hint="eastAsia" w:ascii="Times New Roman" w:hAnsi="Times New Roman" w:eastAsia="宋体" w:cs="Times New Roman"/>
                <w:color w:val="auto"/>
                <w:spacing w:val="0"/>
                <w:w w:val="100"/>
                <w:sz w:val="24"/>
                <w:szCs w:val="24"/>
                <w:highlight w:val="none"/>
                <w:lang w:val="en-US" w:eastAsia="zh-CN"/>
              </w:rPr>
              <w:t>24</w:t>
            </w:r>
            <w:r>
              <w:rPr>
                <w:rFonts w:hint="default" w:ascii="Times New Roman" w:hAnsi="Times New Roman" w:eastAsia="宋体" w:cs="Times New Roman"/>
                <w:color w:val="auto"/>
                <w:spacing w:val="0"/>
                <w:w w:val="100"/>
                <w:sz w:val="24"/>
                <w:szCs w:val="24"/>
                <w:highlight w:val="none"/>
                <w:lang w:val="en-US" w:eastAsia="zh-CN"/>
              </w:rPr>
              <w:t>日，甘肃卉昕朋环保科技有限公司</w:t>
            </w:r>
            <w:r>
              <w:rPr>
                <w:rFonts w:hint="default"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w:t>
            </w:r>
            <w:r>
              <w:rPr>
                <w:rFonts w:hint="default" w:ascii="Times New Roman" w:hAnsi="Times New Roman" w:eastAsia="宋体" w:cs="Times New Roman"/>
                <w:b w:val="0"/>
                <w:color w:val="FF0000"/>
                <w:spacing w:val="0"/>
                <w:w w:val="100"/>
                <w:sz w:val="24"/>
                <w:szCs w:val="24"/>
                <w:highlight w:val="none"/>
                <w:lang w:val="en-US" w:eastAsia="zh-CN" w:bidi="ar-SA"/>
              </w:rPr>
              <w:t>、外</w:t>
            </w:r>
            <w:r>
              <w:rPr>
                <w:rFonts w:hint="default" w:ascii="Times New Roman" w:hAnsi="Times New Roman" w:eastAsia="宋体" w:cs="Times New Roman"/>
                <w:b w:val="0"/>
                <w:color w:val="auto"/>
                <w:spacing w:val="0"/>
                <w:w w:val="100"/>
                <w:sz w:val="24"/>
                <w:szCs w:val="24"/>
                <w:highlight w:val="none"/>
                <w:lang w:val="en-US" w:eastAsia="zh-CN" w:bidi="ar-SA"/>
              </w:rPr>
              <w:t>土壤环境进行了调查与监测。在此基础上</w:t>
            </w:r>
            <w:r>
              <w:rPr>
                <w:rFonts w:hint="default" w:ascii="Times New Roman" w:hAnsi="Times New Roman" w:eastAsia="宋体" w:cs="Times New Roman"/>
                <w:color w:val="auto"/>
                <w:spacing w:val="0"/>
                <w:w w:val="100"/>
                <w:sz w:val="24"/>
                <w:szCs w:val="24"/>
                <w:highlight w:val="none"/>
                <w:lang w:val="en-US" w:eastAsia="zh-CN"/>
              </w:rPr>
              <w:t>，编写完成了《华北油气分公司采油一厂JH55P2等3宗评价井建设项目（JH55P2）</w:t>
            </w:r>
            <w:r>
              <w:rPr>
                <w:rFonts w:hint="default" w:ascii="Times New Roman" w:hAnsi="Times New Roman" w:eastAsia="宋体" w:cs="Times New Roman"/>
                <w:color w:val="auto"/>
                <w:spacing w:val="0"/>
                <w:w w:val="100"/>
                <w:sz w:val="24"/>
                <w:szCs w:val="24"/>
                <w:highlight w:val="none"/>
                <w:lang w:eastAsia="zh-CN"/>
              </w:rPr>
              <w:t>竣工环境保护验收调查表</w:t>
            </w:r>
            <w:r>
              <w:rPr>
                <w:rFonts w:hint="default" w:ascii="Times New Roman" w:hAnsi="Times New Roman" w:eastAsia="宋体" w:cs="Times New Roman"/>
                <w:color w:val="auto"/>
                <w:spacing w:val="0"/>
                <w:w w:val="100"/>
                <w:sz w:val="24"/>
                <w:szCs w:val="24"/>
                <w:highlight w:val="none"/>
                <w:lang w:val="en-US" w:eastAsia="zh-CN"/>
              </w:rPr>
              <w:t>》。</w:t>
            </w:r>
          </w:p>
        </w:tc>
      </w:tr>
      <w:tr w14:paraId="15080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70" w:type="pct"/>
            <w:noWrap w:val="0"/>
            <w:vAlign w:val="center"/>
          </w:tcPr>
          <w:p w14:paraId="57A642E4">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default" w:ascii="Times New Roman" w:hAnsi="Times New Roman" w:cs="Times New Roman"/>
                <w:b/>
                <w:bCs/>
                <w:color w:val="auto"/>
                <w:spacing w:val="0"/>
                <w:w w:val="100"/>
                <w:kern w:val="0"/>
                <w:sz w:val="24"/>
                <w:highlight w:val="none"/>
                <w:lang w:val="en-US" w:eastAsia="zh-CN"/>
              </w:rPr>
              <w:t>调查依据</w:t>
            </w:r>
          </w:p>
        </w:tc>
        <w:tc>
          <w:tcPr>
            <w:tcW w:w="3929" w:type="pct"/>
            <w:gridSpan w:val="12"/>
            <w:noWrap w:val="0"/>
            <w:vAlign w:val="center"/>
          </w:tcPr>
          <w:p w14:paraId="15E4A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（1）《中华人民共和国环境保护法》，2015年1月1日； </w:t>
            </w:r>
          </w:p>
          <w:p w14:paraId="51E4D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（2）《中华人民共和国环境影响评价法》，2018年12月29日； </w:t>
            </w:r>
          </w:p>
          <w:p w14:paraId="10BB4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（3）《中华人民共和国大气污染防治法》，2018年10月26日； </w:t>
            </w:r>
          </w:p>
          <w:p w14:paraId="4EBC6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（4）《中华人民共和国水污染防治法》，2018年1月1日； </w:t>
            </w:r>
          </w:p>
          <w:p w14:paraId="14FA3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（5）《中华人民共和国噪声污染防治法》，2022年6月5日； </w:t>
            </w:r>
          </w:p>
          <w:p w14:paraId="7049F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（6）《中华人民共和国固体废物污染环境防治法》，2020年9 月1日； </w:t>
            </w:r>
          </w:p>
          <w:p w14:paraId="4B0EE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（7）《中华人民共和国土壤污染防治法》，2019年1月1日； </w:t>
            </w:r>
          </w:p>
          <w:p w14:paraId="57117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（8）《建设项目竣工环境保护验收暂行办法》，国环规环评〔2017〕4号， 2017年 11月22日； </w:t>
            </w:r>
          </w:p>
          <w:p w14:paraId="063DA9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（9）《建设项目竣工环境保护验收技术规范-生态影响类》（HJ/T 394-2007）； </w:t>
            </w:r>
          </w:p>
          <w:p w14:paraId="2BF8DD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（10）《建设项目竣工环境保护验收技术规范-石油天然气开采》 </w:t>
            </w:r>
          </w:p>
          <w:p w14:paraId="3BB84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HJ612-2011； </w:t>
            </w:r>
          </w:p>
          <w:p w14:paraId="6D8AA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（11）《关于印发环评管理中部分行业建设项目重大变动清单的通知》环境保护部办公厅文件（环办〔2015〕52 号）； </w:t>
            </w:r>
          </w:p>
          <w:p w14:paraId="045CD3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（12）《生态环境部办公厅关于印发〈污染影响类建设项目重大变动清单（试行）〉的通知》环办环评函〔2020〕688 号； </w:t>
            </w:r>
          </w:p>
          <w:p w14:paraId="7B195A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（13）《关于进一步加强石油天然气行业环境影响评价管理的通知》（环办环评函〔2019〕910号）；</w:t>
            </w:r>
          </w:p>
          <w:p w14:paraId="0A4058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（14）《</w:t>
            </w:r>
            <w:r>
              <w:rPr>
                <w:rFonts w:hint="eastAsia" w:ascii="Times New Roman" w:hAnsi="Times New Roman" w:eastAsia="宋体" w:cs="Times New Roman"/>
                <w:color w:val="auto"/>
                <w:spacing w:val="0"/>
                <w:w w:val="100"/>
                <w:sz w:val="24"/>
                <w:szCs w:val="24"/>
                <w:highlight w:val="none"/>
                <w:lang w:val="en-US" w:eastAsia="zh-CN"/>
              </w:rPr>
              <w:t>华北油气分公司采油一厂JH55P2等3宗评价井建设项目</w:t>
            </w:r>
            <w:r>
              <w:rPr>
                <w:rFonts w:hint="default" w:ascii="Times New Roman" w:hAnsi="Times New Roman" w:eastAsia="宋体" w:cs="Times New Roman"/>
                <w:color w:val="auto"/>
                <w:spacing w:val="0"/>
                <w:w w:val="100"/>
                <w:sz w:val="24"/>
                <w:szCs w:val="24"/>
                <w:highlight w:val="none"/>
                <w:lang w:val="en-US" w:eastAsia="zh-CN"/>
              </w:rPr>
              <w:t>环境影响报告表》（甘肃卉昕朋环保科技有限公司，</w:t>
            </w:r>
            <w:r>
              <w:rPr>
                <w:rFonts w:hint="default" w:ascii="Times New Roman" w:hAnsi="Times New Roman" w:eastAsia="宋体" w:cs="Times New Roman"/>
                <w:color w:val="FF0000"/>
                <w:spacing w:val="0"/>
                <w:w w:val="100"/>
                <w:sz w:val="24"/>
                <w:szCs w:val="24"/>
                <w:highlight w:val="none"/>
                <w:lang w:val="en-US" w:eastAsia="zh-CN"/>
              </w:rPr>
              <w:t>20</w:t>
            </w:r>
            <w:r>
              <w:rPr>
                <w:rFonts w:hint="eastAsia" w:ascii="Times New Roman" w:hAnsi="Times New Roman" w:eastAsia="宋体" w:cs="Times New Roman"/>
                <w:color w:val="FF0000"/>
                <w:spacing w:val="0"/>
                <w:w w:val="100"/>
                <w:sz w:val="24"/>
                <w:szCs w:val="24"/>
                <w:highlight w:val="none"/>
                <w:lang w:val="en-US" w:eastAsia="zh-CN"/>
              </w:rPr>
              <w:t>23</w:t>
            </w:r>
            <w:r>
              <w:rPr>
                <w:rFonts w:hint="default" w:ascii="Times New Roman" w:hAnsi="Times New Roman" w:eastAsia="宋体" w:cs="Times New Roman"/>
                <w:color w:val="FF0000"/>
                <w:spacing w:val="0"/>
                <w:w w:val="100"/>
                <w:sz w:val="24"/>
                <w:szCs w:val="24"/>
                <w:highlight w:val="none"/>
                <w:lang w:val="en-US" w:eastAsia="zh-CN"/>
              </w:rPr>
              <w:t>年</w:t>
            </w:r>
            <w:r>
              <w:rPr>
                <w:rFonts w:hint="eastAsia" w:ascii="Times New Roman" w:hAnsi="Times New Roman" w:eastAsia="宋体" w:cs="Times New Roman"/>
                <w:color w:val="FF0000"/>
                <w:spacing w:val="0"/>
                <w:w w:val="100"/>
                <w:sz w:val="24"/>
                <w:szCs w:val="24"/>
                <w:highlight w:val="none"/>
                <w:lang w:val="en-US" w:eastAsia="zh-CN"/>
              </w:rPr>
              <w:t>9</w:t>
            </w:r>
            <w:r>
              <w:rPr>
                <w:rFonts w:hint="default" w:ascii="Times New Roman" w:hAnsi="Times New Roman" w:eastAsia="宋体" w:cs="Times New Roman"/>
                <w:color w:val="FF0000"/>
                <w:spacing w:val="0"/>
                <w:w w:val="100"/>
                <w:sz w:val="24"/>
                <w:szCs w:val="24"/>
                <w:highlight w:val="none"/>
                <w:lang w:val="en-US" w:eastAsia="zh-CN"/>
              </w:rPr>
              <w:t>月</w:t>
            </w:r>
            <w:r>
              <w:rPr>
                <w:rFonts w:hint="default" w:ascii="Times New Roman" w:hAnsi="Times New Roman" w:eastAsia="宋体" w:cs="Times New Roman"/>
                <w:color w:val="auto"/>
                <w:spacing w:val="0"/>
                <w:w w:val="100"/>
                <w:sz w:val="24"/>
                <w:szCs w:val="24"/>
                <w:highlight w:val="none"/>
                <w:lang w:val="en-US" w:eastAsia="zh-CN"/>
              </w:rPr>
              <w:t>）；</w:t>
            </w:r>
          </w:p>
          <w:p w14:paraId="2D548D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（15）《关于&lt;</w:t>
            </w:r>
            <w:r>
              <w:rPr>
                <w:rFonts w:hint="eastAsia" w:ascii="Times New Roman" w:hAnsi="Times New Roman" w:eastAsia="宋体" w:cs="Times New Roman"/>
                <w:color w:val="auto"/>
                <w:spacing w:val="0"/>
                <w:w w:val="100"/>
                <w:sz w:val="24"/>
                <w:szCs w:val="24"/>
                <w:highlight w:val="none"/>
                <w:lang w:val="en-US" w:eastAsia="zh-CN"/>
              </w:rPr>
              <w:t>华北油气分公司采油一厂JH55P2等3宗评价井建设项目</w:t>
            </w:r>
            <w:r>
              <w:rPr>
                <w:rFonts w:hint="default" w:ascii="Times New Roman" w:hAnsi="Times New Roman" w:eastAsia="宋体" w:cs="Times New Roman"/>
                <w:color w:val="auto"/>
                <w:spacing w:val="0"/>
                <w:w w:val="100"/>
                <w:sz w:val="24"/>
                <w:szCs w:val="24"/>
                <w:highlight w:val="none"/>
                <w:lang w:val="en-US" w:eastAsia="zh-CN"/>
              </w:rPr>
              <w:t>环境影响报告表&gt;的审批意见》（庆环评表字</w:t>
            </w:r>
            <w:r>
              <w:rPr>
                <w:rFonts w:hint="eastAsia" w:ascii="Times New Roman" w:hAnsi="Times New Roman" w:eastAsia="宋体" w:cs="Times New Roman"/>
                <w:color w:val="auto"/>
                <w:spacing w:val="0"/>
                <w:w w:val="100"/>
                <w:sz w:val="24"/>
                <w:szCs w:val="24"/>
                <w:highlight w:val="none"/>
                <w:lang w:val="en-US" w:eastAsia="zh-CN"/>
              </w:rPr>
              <w:t>〔2023〕153号</w:t>
            </w:r>
            <w:r>
              <w:rPr>
                <w:rFonts w:hint="default" w:ascii="Times New Roman" w:hAnsi="Times New Roman" w:eastAsia="宋体" w:cs="Times New Roman"/>
                <w:color w:val="auto"/>
                <w:spacing w:val="0"/>
                <w:w w:val="100"/>
                <w:sz w:val="24"/>
                <w:szCs w:val="24"/>
                <w:highlight w:val="none"/>
                <w:lang w:val="en-US" w:eastAsia="zh-CN"/>
              </w:rPr>
              <w:t>）（庆阳市生态环境局，</w:t>
            </w:r>
            <w:r>
              <w:rPr>
                <w:rFonts w:hint="eastAsia" w:ascii="Times New Roman" w:hAnsi="Times New Roman" w:eastAsia="宋体" w:cs="Times New Roman"/>
                <w:color w:val="auto"/>
                <w:spacing w:val="0"/>
                <w:w w:val="100"/>
                <w:sz w:val="24"/>
                <w:szCs w:val="24"/>
                <w:highlight w:val="none"/>
                <w:lang w:val="en-US" w:eastAsia="zh-CN"/>
              </w:rPr>
              <w:t>2023年10月10日</w:t>
            </w:r>
            <w:r>
              <w:rPr>
                <w:rFonts w:hint="default" w:ascii="Times New Roman" w:hAnsi="Times New Roman" w:eastAsia="宋体" w:cs="Times New Roman"/>
                <w:color w:val="auto"/>
                <w:spacing w:val="0"/>
                <w:w w:val="100"/>
                <w:sz w:val="24"/>
                <w:szCs w:val="24"/>
                <w:highlight w:val="none"/>
                <w:lang w:val="en-US" w:eastAsia="zh-CN"/>
              </w:rPr>
              <w:t>）。</w:t>
            </w:r>
          </w:p>
          <w:p w14:paraId="13787A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212E1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0A549E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64D30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40FE6821">
            <w:pPr>
              <w:pStyle w:val="5"/>
              <w:widowControl/>
              <w:suppressLineNumbers w:val="0"/>
              <w:spacing w:before="0"/>
              <w:ind w:left="0" w:right="0"/>
              <w:rPr>
                <w:rFonts w:hint="default" w:ascii="Times New Roman" w:hAnsi="Times New Roman" w:eastAsia="宋体" w:cs="Times New Roman"/>
                <w:color w:val="auto"/>
                <w:spacing w:val="0"/>
                <w:w w:val="100"/>
                <w:sz w:val="24"/>
                <w:szCs w:val="24"/>
                <w:highlight w:val="none"/>
                <w:lang w:val="en-US" w:eastAsia="zh-CN"/>
              </w:rPr>
            </w:pPr>
          </w:p>
          <w:p w14:paraId="209574AA">
            <w:pPr>
              <w:keepNext w:val="0"/>
              <w:keepLines w:val="0"/>
              <w:widowControl/>
              <w:suppressLineNumbers w:val="0"/>
              <w:spacing w:before="0" w:beforeAutospacing="0" w:afterAutospacing="0"/>
              <w:ind w:left="0" w:right="0"/>
              <w:rPr>
                <w:rFonts w:hint="default" w:ascii="Times New Roman" w:hAnsi="Times New Roman" w:eastAsia="宋体" w:cs="Times New Roman"/>
                <w:color w:val="auto"/>
                <w:spacing w:val="0"/>
                <w:w w:val="100"/>
                <w:sz w:val="24"/>
                <w:szCs w:val="24"/>
                <w:highlight w:val="none"/>
                <w:lang w:val="en-US" w:eastAsia="zh-CN"/>
              </w:rPr>
            </w:pPr>
          </w:p>
          <w:p w14:paraId="46F0A474">
            <w:pPr>
              <w:pStyle w:val="5"/>
              <w:widowControl/>
              <w:suppressLineNumbers w:val="0"/>
              <w:spacing w:before="0"/>
              <w:ind w:left="0" w:right="0"/>
              <w:rPr>
                <w:rFonts w:hint="default" w:ascii="Times New Roman" w:hAnsi="Times New Roman" w:eastAsia="宋体" w:cs="Times New Roman"/>
                <w:color w:val="auto"/>
                <w:spacing w:val="0"/>
                <w:w w:val="100"/>
                <w:sz w:val="24"/>
                <w:szCs w:val="24"/>
                <w:highlight w:val="none"/>
                <w:lang w:val="en-US" w:eastAsia="zh-CN"/>
              </w:rPr>
            </w:pPr>
          </w:p>
          <w:p w14:paraId="1F53ACE7">
            <w:pPr>
              <w:keepNext w:val="0"/>
              <w:keepLines w:val="0"/>
              <w:widowControl/>
              <w:suppressLineNumbers w:val="0"/>
              <w:spacing w:before="0" w:beforeAutospacing="0" w:afterAutospacing="0"/>
              <w:ind w:left="0" w:right="0"/>
              <w:rPr>
                <w:rFonts w:hint="default" w:ascii="Times New Roman" w:hAnsi="Times New Roman" w:eastAsia="宋体" w:cs="Times New Roman"/>
                <w:color w:val="auto"/>
                <w:spacing w:val="0"/>
                <w:w w:val="100"/>
                <w:sz w:val="24"/>
                <w:szCs w:val="24"/>
                <w:highlight w:val="none"/>
                <w:lang w:val="en-US" w:eastAsia="zh-CN"/>
              </w:rPr>
            </w:pPr>
          </w:p>
          <w:p w14:paraId="1E747804">
            <w:pPr>
              <w:pStyle w:val="5"/>
              <w:widowControl/>
              <w:suppressLineNumbers w:val="0"/>
              <w:spacing w:before="0"/>
              <w:ind w:left="0" w:right="0"/>
              <w:rPr>
                <w:rFonts w:hint="default" w:ascii="Times New Roman" w:hAnsi="Times New Roman" w:eastAsia="宋体" w:cs="Times New Roman"/>
                <w:color w:val="auto"/>
                <w:spacing w:val="0"/>
                <w:w w:val="100"/>
                <w:sz w:val="24"/>
                <w:szCs w:val="24"/>
                <w:highlight w:val="none"/>
                <w:lang w:val="en-US" w:eastAsia="zh-CN"/>
              </w:rPr>
            </w:pPr>
          </w:p>
          <w:p w14:paraId="15BA4375">
            <w:pPr>
              <w:keepNext w:val="0"/>
              <w:keepLines w:val="0"/>
              <w:widowControl/>
              <w:suppressLineNumbers w:val="0"/>
              <w:spacing w:before="0" w:beforeAutospacing="0" w:afterAutospacing="0"/>
              <w:ind w:left="0" w:right="0"/>
              <w:rPr>
                <w:rFonts w:hint="default" w:ascii="Times New Roman" w:hAnsi="Times New Roman" w:eastAsia="宋体" w:cs="Times New Roman"/>
                <w:color w:val="auto"/>
                <w:spacing w:val="0"/>
                <w:w w:val="100"/>
                <w:sz w:val="24"/>
                <w:szCs w:val="24"/>
                <w:highlight w:val="none"/>
                <w:lang w:val="en-US" w:eastAsia="zh-CN"/>
              </w:rPr>
            </w:pPr>
          </w:p>
          <w:p w14:paraId="274A559B">
            <w:pPr>
              <w:pStyle w:val="5"/>
              <w:widowControl/>
              <w:suppressLineNumbers w:val="0"/>
              <w:spacing w:before="0"/>
              <w:ind w:left="0" w:right="0"/>
              <w:rPr>
                <w:rFonts w:hint="default" w:ascii="Times New Roman" w:hAnsi="Times New Roman" w:eastAsia="宋体" w:cs="Times New Roman"/>
                <w:color w:val="auto"/>
                <w:spacing w:val="0"/>
                <w:w w:val="100"/>
                <w:sz w:val="24"/>
                <w:szCs w:val="24"/>
                <w:highlight w:val="none"/>
                <w:lang w:val="en-US" w:eastAsia="zh-CN"/>
              </w:rPr>
            </w:pPr>
          </w:p>
          <w:p w14:paraId="56E488BF">
            <w:pPr>
              <w:keepNext w:val="0"/>
              <w:keepLines w:val="0"/>
              <w:widowControl/>
              <w:suppressLineNumbers w:val="0"/>
              <w:spacing w:before="0" w:beforeAutospacing="0" w:afterAutospacing="0"/>
              <w:ind w:left="0" w:right="0"/>
              <w:rPr>
                <w:rFonts w:hint="default" w:ascii="Times New Roman" w:hAnsi="Times New Roman" w:eastAsia="宋体" w:cs="Times New Roman"/>
                <w:color w:val="auto"/>
                <w:spacing w:val="0"/>
                <w:w w:val="100"/>
                <w:sz w:val="24"/>
                <w:szCs w:val="24"/>
                <w:highlight w:val="none"/>
                <w:lang w:val="en-US" w:eastAsia="zh-CN"/>
              </w:rPr>
            </w:pPr>
          </w:p>
          <w:p w14:paraId="50C9F786">
            <w:pPr>
              <w:pStyle w:val="5"/>
              <w:widowControl/>
              <w:suppressLineNumbers w:val="0"/>
              <w:spacing w:before="0"/>
              <w:ind w:left="0" w:right="0"/>
              <w:rPr>
                <w:rFonts w:hint="default" w:ascii="Times New Roman" w:hAnsi="Times New Roman" w:eastAsia="宋体" w:cs="Times New Roman"/>
                <w:color w:val="auto"/>
                <w:spacing w:val="0"/>
                <w:w w:val="100"/>
                <w:sz w:val="24"/>
                <w:szCs w:val="24"/>
                <w:highlight w:val="none"/>
                <w:lang w:val="en-US" w:eastAsia="zh-CN"/>
              </w:rPr>
            </w:pPr>
          </w:p>
          <w:p w14:paraId="372485C2">
            <w:pPr>
              <w:keepNext w:val="0"/>
              <w:keepLines w:val="0"/>
              <w:widowControl/>
              <w:suppressLineNumbers w:val="0"/>
              <w:spacing w:before="0" w:beforeAutospacing="0" w:afterAutospacing="0"/>
              <w:ind w:left="0" w:right="0"/>
              <w:rPr>
                <w:rFonts w:hint="default" w:ascii="Times New Roman" w:hAnsi="Times New Roman" w:eastAsia="宋体" w:cs="Times New Roman"/>
                <w:color w:val="auto"/>
                <w:spacing w:val="0"/>
                <w:w w:val="100"/>
                <w:sz w:val="24"/>
                <w:szCs w:val="24"/>
                <w:highlight w:val="none"/>
                <w:lang w:val="en-US" w:eastAsia="zh-CN"/>
              </w:rPr>
            </w:pPr>
          </w:p>
          <w:p w14:paraId="1D76F157">
            <w:pPr>
              <w:pStyle w:val="5"/>
              <w:widowControl/>
              <w:suppressLineNumbers w:val="0"/>
              <w:spacing w:before="0"/>
              <w:ind w:left="0" w:right="0"/>
              <w:rPr>
                <w:rFonts w:hint="default" w:ascii="Times New Roman" w:hAnsi="Times New Roman" w:eastAsia="宋体" w:cs="Times New Roman"/>
                <w:color w:val="auto"/>
                <w:spacing w:val="0"/>
                <w:w w:val="100"/>
                <w:sz w:val="24"/>
                <w:szCs w:val="24"/>
                <w:highlight w:val="none"/>
                <w:lang w:val="en-US" w:eastAsia="zh-CN"/>
              </w:rPr>
            </w:pPr>
          </w:p>
          <w:p w14:paraId="4895BDEB">
            <w:pPr>
              <w:keepNext w:val="0"/>
              <w:keepLines w:val="0"/>
              <w:widowControl/>
              <w:suppressLineNumbers w:val="0"/>
              <w:spacing w:before="0" w:beforeAutospacing="0" w:afterAutospacing="0"/>
              <w:ind w:left="0" w:right="0"/>
              <w:rPr>
                <w:rFonts w:hint="default" w:ascii="Times New Roman" w:hAnsi="Times New Roman" w:eastAsia="宋体" w:cs="Times New Roman"/>
                <w:color w:val="auto"/>
                <w:spacing w:val="0"/>
                <w:w w:val="100"/>
                <w:sz w:val="24"/>
                <w:szCs w:val="24"/>
                <w:highlight w:val="none"/>
                <w:lang w:val="en-US" w:eastAsia="zh-CN"/>
              </w:rPr>
            </w:pPr>
          </w:p>
          <w:p w14:paraId="31D06EC6">
            <w:pPr>
              <w:pStyle w:val="5"/>
              <w:widowControl/>
              <w:suppressLineNumbers w:val="0"/>
              <w:spacing w:before="0"/>
              <w:ind w:left="0" w:right="0"/>
              <w:rPr>
                <w:rFonts w:hint="default" w:ascii="Times New Roman" w:hAnsi="Times New Roman" w:eastAsia="宋体" w:cs="Times New Roman"/>
                <w:color w:val="auto"/>
                <w:spacing w:val="0"/>
                <w:w w:val="100"/>
                <w:sz w:val="24"/>
                <w:szCs w:val="24"/>
                <w:highlight w:val="none"/>
                <w:lang w:val="en-US" w:eastAsia="zh-CN"/>
              </w:rPr>
            </w:pPr>
          </w:p>
          <w:p w14:paraId="39DDE2A0">
            <w:pPr>
              <w:keepNext w:val="0"/>
              <w:keepLines w:val="0"/>
              <w:widowControl/>
              <w:suppressLineNumbers w:val="0"/>
              <w:spacing w:before="0" w:beforeAutospacing="0" w:afterAutospacing="0"/>
              <w:ind w:left="0" w:right="0"/>
              <w:rPr>
                <w:rFonts w:hint="default" w:ascii="Times New Roman" w:hAnsi="Times New Roman" w:cs="Times New Roman"/>
                <w:lang w:val="en-US" w:eastAsia="zh-CN"/>
              </w:rPr>
            </w:pPr>
          </w:p>
          <w:p w14:paraId="20121E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642C5F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593471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60ECF3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071393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3F2E99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16218A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p w14:paraId="51E67B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240" w:lineRule="auto"/>
              <w:ind w:left="0" w:leftChars="0" w:right="0" w:firstLine="0" w:firstLineChars="0"/>
              <w:jc w:val="left"/>
              <w:textAlignment w:val="auto"/>
              <w:rPr>
                <w:rFonts w:hint="default" w:ascii="Times New Roman" w:hAnsi="Times New Roman" w:eastAsia="宋体" w:cs="Times New Roman"/>
                <w:color w:val="auto"/>
                <w:spacing w:val="0"/>
                <w:w w:val="100"/>
                <w:sz w:val="21"/>
                <w:szCs w:val="21"/>
                <w:highlight w:val="none"/>
              </w:rPr>
            </w:pPr>
          </w:p>
        </w:tc>
      </w:tr>
    </w:tbl>
    <w:p w14:paraId="2CC7199F">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1" w:name="_Toc20993"/>
      <w:r>
        <w:rPr>
          <w:rFonts w:hint="eastAsia" w:ascii="Times New Roman" w:hAnsi="Times New Roman" w:eastAsia="宋体" w:cs="Times New Roman"/>
          <w:b/>
          <w:kern w:val="2"/>
          <w:sz w:val="32"/>
          <w:szCs w:val="24"/>
          <w:lang w:val="en-US" w:eastAsia="zh-CN"/>
        </w:rPr>
        <w:t>2.</w:t>
      </w:r>
      <w:r>
        <w:rPr>
          <w:rFonts w:hint="default" w:ascii="Times New Roman" w:hAnsi="Times New Roman" w:eastAsia="宋体" w:cs="Times New Roman"/>
          <w:b/>
          <w:kern w:val="2"/>
          <w:sz w:val="32"/>
          <w:szCs w:val="24"/>
          <w:lang w:val="en-US" w:eastAsia="zh-CN"/>
        </w:rPr>
        <w:t>调查范围、因子、目标、重点</w:t>
      </w:r>
      <w:bookmarkEnd w:id="1"/>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FF0000"/>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eastAsia"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5"/>
              <w:tblW w:w="78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7"/>
              <w:gridCol w:w="2000"/>
              <w:gridCol w:w="2164"/>
              <w:gridCol w:w="2163"/>
            </w:tblGrid>
            <w:tr w14:paraId="2324E6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278"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83"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382" w:type="pct"/>
                  <w:tcBorders>
                    <w:tl2br w:val="nil"/>
                    <w:tr2bl w:val="nil"/>
                  </w:tcBorders>
                  <w:shd w:val="clear" w:color="auto" w:fill="auto"/>
                  <w:noWrap w:val="0"/>
                  <w:vAlign w:val="center"/>
                </w:tcPr>
                <w:p w14:paraId="3D531E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是否一致</w:t>
                  </w:r>
                </w:p>
              </w:tc>
            </w:tr>
            <w:tr w14:paraId="18B413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278"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4" w:type="dxa"/>
                  <w:tcBorders>
                    <w:tl2br w:val="nil"/>
                    <w:tr2bl w:val="nil"/>
                  </w:tcBorders>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3" w:type="dxa"/>
                  <w:tcBorders>
                    <w:tl2br w:val="nil"/>
                    <w:tr2bl w:val="nil"/>
                  </w:tcBorders>
                  <w:shd w:val="clear" w:color="auto" w:fill="auto"/>
                  <w:noWrap w:val="0"/>
                  <w:vAlign w:val="center"/>
                </w:tcPr>
                <w:p w14:paraId="44B99D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21EE8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278"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3" w:type="pct"/>
                  <w:tcBorders>
                    <w:tl2br w:val="nil"/>
                    <w:tr2bl w:val="nil"/>
                  </w:tcBorders>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2" w:type="pct"/>
                  <w:tcBorders>
                    <w:tl2br w:val="nil"/>
                    <w:tr2bl w:val="nil"/>
                  </w:tcBorders>
                  <w:shd w:val="clear" w:color="auto" w:fill="auto"/>
                  <w:noWrap w:val="0"/>
                  <w:vAlign w:val="center"/>
                </w:tcPr>
                <w:p w14:paraId="35AACD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D4E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278"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3" w:type="pct"/>
                  <w:tcBorders>
                    <w:tl2br w:val="nil"/>
                    <w:tr2bl w:val="nil"/>
                  </w:tcBorders>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2" w:type="pct"/>
                  <w:tcBorders>
                    <w:tl2br w:val="nil"/>
                    <w:tr2bl w:val="nil"/>
                  </w:tcBorders>
                  <w:shd w:val="clear" w:color="auto" w:fill="auto"/>
                  <w:noWrap w:val="0"/>
                  <w:vAlign w:val="center"/>
                </w:tcPr>
                <w:p w14:paraId="4763E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21C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278"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3" w:type="pct"/>
                  <w:tcBorders>
                    <w:tl2br w:val="nil"/>
                    <w:tr2bl w:val="nil"/>
                  </w:tcBorders>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2" w:type="pct"/>
                  <w:tcBorders>
                    <w:tl2br w:val="nil"/>
                    <w:tr2bl w:val="nil"/>
                  </w:tcBorders>
                  <w:shd w:val="clear" w:color="auto" w:fill="auto"/>
                  <w:noWrap w:val="0"/>
                  <w:vAlign w:val="center"/>
                </w:tcPr>
                <w:p w14:paraId="18DCC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13652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2000" w:type="dxa"/>
                  <w:tcBorders>
                    <w:tl2br w:val="nil"/>
                    <w:tr2bl w:val="nil"/>
                  </w:tcBorders>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2164" w:type="dxa"/>
                  <w:tcBorders>
                    <w:tl2br w:val="nil"/>
                    <w:tr2bl w:val="nil"/>
                  </w:tcBorders>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82" w:type="pct"/>
                  <w:tcBorders>
                    <w:tl2br w:val="nil"/>
                    <w:tr2bl w:val="nil"/>
                  </w:tcBorders>
                  <w:shd w:val="clear" w:color="auto" w:fill="auto"/>
                  <w:noWrap w:val="0"/>
                  <w:vAlign w:val="center"/>
                </w:tcPr>
                <w:p w14:paraId="373CBD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5EBD2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278"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83" w:type="pct"/>
                  <w:tcBorders>
                    <w:tl2br w:val="nil"/>
                    <w:tr2bl w:val="nil"/>
                  </w:tcBorders>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382" w:type="pct"/>
                  <w:tcBorders>
                    <w:tl2br w:val="nil"/>
                    <w:tr2bl w:val="nil"/>
                  </w:tcBorders>
                  <w:shd w:val="clear" w:color="auto" w:fill="auto"/>
                  <w:noWrap w:val="0"/>
                  <w:vAlign w:val="center"/>
                </w:tcPr>
                <w:p w14:paraId="61D78F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bl>
          <w:p w14:paraId="5C9FBE7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w:t>
            </w:r>
            <w:r>
              <w:rPr>
                <w:rFonts w:hint="eastAsia" w:ascii="Times New Roman" w:hAnsi="Times New Roman" w:eastAsia="宋体" w:cs="Times New Roman"/>
                <w:color w:val="auto"/>
                <w:spacing w:val="0"/>
                <w:w w:val="100"/>
                <w:sz w:val="24"/>
                <w:szCs w:val="24"/>
                <w:highlight w:val="none"/>
                <w:lang w:val="en-US" w:eastAsia="zh-CN"/>
              </w:rPr>
              <w:t>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5"/>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调查内容</w:t>
                  </w:r>
                  <w:r>
                    <w:rPr>
                      <w:rFonts w:hint="default" w:ascii="Times New Roman" w:hAnsi="Times New Roman" w:eastAsia="宋体" w:cs="Times New Roman"/>
                      <w:color w:val="auto"/>
                      <w:spacing w:val="0"/>
                      <w:w w:val="100"/>
                      <w:sz w:val="21"/>
                      <w:szCs w:val="21"/>
                      <w:highlight w:val="none"/>
                      <w:lang w:val="en-US" w:eastAsia="zh-CN"/>
                    </w:rPr>
                    <w:t>/</w:t>
                  </w:r>
                  <w:r>
                    <w:rPr>
                      <w:rFonts w:hint="eastAsia" w:ascii="Times New Roman" w:hAnsi="Times New Roman" w:eastAsia="宋体" w:cs="Times New Roman"/>
                      <w:color w:val="auto"/>
                      <w:spacing w:val="0"/>
                      <w:w w:val="100"/>
                      <w:sz w:val="21"/>
                      <w:szCs w:val="21"/>
                      <w:highlight w:val="none"/>
                      <w:lang w:val="en-US" w:eastAsia="zh-CN"/>
                    </w:rPr>
                    <w:t>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铅、铜、铬(六价)、砷、汞、镍、镉、锌、pH、石油烃（C</w:t>
                  </w:r>
                  <w:r>
                    <w:rPr>
                      <w:rFonts w:hint="default" w:ascii="Times New Roman" w:hAnsi="Times New Roman" w:eastAsia="宋体" w:cs="Times New Roman"/>
                      <w:color w:val="auto"/>
                      <w:spacing w:val="0"/>
                      <w:w w:val="100"/>
                      <w:sz w:val="21"/>
                      <w:szCs w:val="21"/>
                      <w:highlight w:val="none"/>
                      <w:vertAlign w:val="subscript"/>
                      <w:lang w:val="en-US" w:eastAsia="zh-CN"/>
                    </w:rPr>
                    <w:t>6</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9</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10</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40</w:t>
                  </w:r>
                  <w:r>
                    <w:rPr>
                      <w:rFonts w:hint="default" w:ascii="Times New Roman" w:hAnsi="Times New Roman" w:eastAsia="宋体" w:cs="Times New Roman"/>
                      <w:color w:val="auto"/>
                      <w:spacing w:val="0"/>
                      <w:w w:val="100"/>
                      <w:sz w:val="21"/>
                      <w:szCs w:val="21"/>
                      <w:highlight w:val="none"/>
                      <w:lang w:val="en-US" w:eastAsia="zh-CN"/>
                    </w:rPr>
                    <w:t>）</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bl>
          <w:p w14:paraId="257D5A8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本</w:t>
            </w:r>
            <w:r>
              <w:rPr>
                <w:rFonts w:hint="eastAsia" w:ascii="Times New Roman" w:hAnsi="Times New Roman" w:eastAsia="宋体" w:cs="Times New Roman"/>
                <w:color w:val="auto"/>
                <w:spacing w:val="0"/>
                <w:w w:val="100"/>
                <w:sz w:val="24"/>
                <w:szCs w:val="24"/>
                <w:highlight w:val="none"/>
              </w:rPr>
              <w:t>次验收调查以环境影响评价文件</w:t>
            </w:r>
            <w:r>
              <w:rPr>
                <w:rFonts w:hint="eastAsia" w:ascii="Times New Roman" w:hAnsi="Times New Roman" w:eastAsia="宋体" w:cs="Times New Roman"/>
                <w:color w:val="auto"/>
                <w:spacing w:val="0"/>
                <w:w w:val="100"/>
                <w:sz w:val="24"/>
                <w:szCs w:val="24"/>
                <w:highlight w:val="none"/>
                <w:lang w:val="en-US" w:eastAsia="zh-CN"/>
              </w:rPr>
              <w:t>及批复文件</w:t>
            </w:r>
            <w:r>
              <w:rPr>
                <w:rFonts w:hint="eastAsia" w:ascii="Times New Roman" w:hAnsi="Times New Roman" w:eastAsia="宋体" w:cs="Times New Roman"/>
                <w:color w:val="auto"/>
                <w:spacing w:val="0"/>
                <w:w w:val="100"/>
                <w:sz w:val="24"/>
                <w:szCs w:val="24"/>
                <w:highlight w:val="none"/>
              </w:rPr>
              <w:t>为基础，通过资料收集及实地调查，工程评价范围内无自然保护区、</w:t>
            </w:r>
            <w:r>
              <w:rPr>
                <w:rFonts w:hint="eastAsia" w:ascii="Times New Roman" w:hAnsi="Times New Roman" w:eastAsia="宋体" w:cs="Times New Roman"/>
                <w:color w:val="auto"/>
                <w:spacing w:val="0"/>
                <w:w w:val="100"/>
                <w:sz w:val="24"/>
                <w:szCs w:val="24"/>
                <w:highlight w:val="none"/>
                <w:lang w:val="en-US" w:eastAsia="zh-CN"/>
              </w:rPr>
              <w:t>水源保护区、</w:t>
            </w:r>
            <w:r>
              <w:rPr>
                <w:rFonts w:hint="eastAsia" w:ascii="Times New Roman" w:hAnsi="Times New Roman" w:eastAsia="宋体" w:cs="Times New Roman"/>
                <w:color w:val="auto"/>
                <w:spacing w:val="0"/>
                <w:w w:val="100"/>
                <w:sz w:val="24"/>
                <w:szCs w:val="24"/>
                <w:highlight w:val="none"/>
              </w:rPr>
              <w:t>风景名胜区、文物古迹等需要特殊保护的环境敏感对象，不会因本项目的实施而改变区域环境现有功能。本次工作对环评阶段识别的环境敏感目标进行了校核，经调查，项目验收阶段环境敏感目标与环评阶段保持一致。</w:t>
            </w:r>
            <w:r>
              <w:rPr>
                <w:rFonts w:hint="eastAsia" w:ascii="Times New Roman" w:hAnsi="Times New Roman" w:eastAsia="宋体" w:cs="Times New Roman"/>
                <w:color w:val="auto"/>
                <w:spacing w:val="0"/>
                <w:w w:val="100"/>
                <w:sz w:val="24"/>
                <w:szCs w:val="24"/>
                <w:highlight w:val="none"/>
                <w:lang w:val="en-US" w:eastAsia="zh-CN"/>
              </w:rPr>
              <w:t>井场</w:t>
            </w:r>
            <w:r>
              <w:rPr>
                <w:rFonts w:hint="eastAsia" w:ascii="Times New Roman" w:hAnsi="Times New Roman" w:eastAsia="宋体" w:cs="Times New Roman"/>
                <w:color w:val="auto"/>
                <w:spacing w:val="0"/>
                <w:w w:val="100"/>
                <w:sz w:val="24"/>
                <w:szCs w:val="24"/>
                <w:highlight w:val="none"/>
              </w:rPr>
              <w:t>环境保护目标见下表</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5"/>
              <w:tblW w:w="5000"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058"/>
              <w:gridCol w:w="1067"/>
              <w:gridCol w:w="965"/>
              <w:gridCol w:w="1048"/>
              <w:gridCol w:w="417"/>
              <w:gridCol w:w="645"/>
              <w:gridCol w:w="950"/>
              <w:gridCol w:w="1097"/>
            </w:tblGrid>
            <w:tr w14:paraId="79CCE8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359" w:type="pct"/>
                  <w:vMerge w:val="restart"/>
                  <w:tcBorders>
                    <w:tl2br w:val="nil"/>
                    <w:tr2bl w:val="nil"/>
                  </w:tcBorders>
                  <w:noWrap w:val="0"/>
                  <w:vAlign w:val="center"/>
                </w:tcPr>
                <w:p w14:paraId="530A0C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名称</w:t>
                  </w:r>
                </w:p>
              </w:tc>
              <w:tc>
                <w:tcPr>
                  <w:tcW w:w="3938" w:type="pct"/>
                  <w:gridSpan w:val="7"/>
                  <w:tcBorders>
                    <w:tl2br w:val="nil"/>
                    <w:tr2bl w:val="nil"/>
                  </w:tcBorders>
                  <w:noWrap w:val="0"/>
                  <w:vAlign w:val="center"/>
                </w:tcPr>
                <w:p w14:paraId="0DB769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环评阶段</w:t>
                  </w:r>
                </w:p>
              </w:tc>
              <w:tc>
                <w:tcPr>
                  <w:tcW w:w="702" w:type="pct"/>
                  <w:vMerge w:val="restart"/>
                  <w:tcBorders>
                    <w:tl2br w:val="nil"/>
                    <w:tr2bl w:val="nil"/>
                  </w:tcBorders>
                  <w:noWrap w:val="0"/>
                  <w:vAlign w:val="center"/>
                </w:tcPr>
                <w:p w14:paraId="48EA04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实际建设阶段</w:t>
                  </w:r>
                </w:p>
              </w:tc>
            </w:tr>
            <w:tr w14:paraId="48A36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59" w:type="pct"/>
                  <w:vMerge w:val="continue"/>
                  <w:tcBorders>
                    <w:tl2br w:val="nil"/>
                    <w:tr2bl w:val="nil"/>
                  </w:tcBorders>
                  <w:noWrap w:val="0"/>
                  <w:vAlign w:val="center"/>
                </w:tcPr>
                <w:p w14:paraId="6CE0BE6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1360" w:type="pct"/>
                  <w:gridSpan w:val="2"/>
                  <w:tcBorders>
                    <w:tl2br w:val="nil"/>
                    <w:tr2bl w:val="nil"/>
                  </w:tcBorders>
                  <w:noWrap w:val="0"/>
                  <w:vAlign w:val="center"/>
                </w:tcPr>
                <w:p w14:paraId="0302BB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坐标</w:t>
                  </w:r>
                </w:p>
              </w:tc>
              <w:tc>
                <w:tcPr>
                  <w:tcW w:w="617" w:type="pct"/>
                  <w:vMerge w:val="restart"/>
                  <w:tcBorders>
                    <w:tl2br w:val="nil"/>
                    <w:tr2bl w:val="nil"/>
                  </w:tcBorders>
                  <w:noWrap w:val="0"/>
                  <w:vAlign w:val="center"/>
                </w:tcPr>
                <w:p w14:paraId="2B5277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保护对象</w:t>
                  </w:r>
                </w:p>
              </w:tc>
              <w:tc>
                <w:tcPr>
                  <w:tcW w:w="671" w:type="pct"/>
                  <w:vMerge w:val="restart"/>
                  <w:tcBorders>
                    <w:tl2br w:val="nil"/>
                    <w:tr2bl w:val="nil"/>
                  </w:tcBorders>
                  <w:noWrap w:val="0"/>
                  <w:vAlign w:val="center"/>
                </w:tcPr>
                <w:p w14:paraId="3E3D509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保护</w:t>
                  </w:r>
                </w:p>
                <w:p w14:paraId="2AED6A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内容</w:t>
                  </w:r>
                </w:p>
              </w:tc>
              <w:tc>
                <w:tcPr>
                  <w:tcW w:w="267" w:type="pct"/>
                  <w:vMerge w:val="restart"/>
                  <w:tcBorders>
                    <w:tl2br w:val="nil"/>
                    <w:tr2bl w:val="nil"/>
                  </w:tcBorders>
                  <w:noWrap w:val="0"/>
                  <w:vAlign w:val="center"/>
                </w:tcPr>
                <w:p w14:paraId="0D76EDD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环境功能区</w:t>
                  </w:r>
                </w:p>
              </w:tc>
              <w:tc>
                <w:tcPr>
                  <w:tcW w:w="413" w:type="pct"/>
                  <w:vMerge w:val="restart"/>
                  <w:tcBorders>
                    <w:tl2br w:val="nil"/>
                    <w:tr2bl w:val="nil"/>
                  </w:tcBorders>
                  <w:noWrap w:val="0"/>
                  <w:vAlign w:val="center"/>
                </w:tcPr>
                <w:p w14:paraId="642363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相对厂址方位</w:t>
                  </w:r>
                </w:p>
              </w:tc>
              <w:tc>
                <w:tcPr>
                  <w:tcW w:w="608" w:type="pct"/>
                  <w:vMerge w:val="restart"/>
                  <w:tcBorders>
                    <w:tl2br w:val="nil"/>
                    <w:tr2bl w:val="nil"/>
                  </w:tcBorders>
                  <w:noWrap w:val="0"/>
                  <w:vAlign w:val="center"/>
                </w:tcPr>
                <w:p w14:paraId="24916A3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相对厂界最近距离（m）</w:t>
                  </w:r>
                </w:p>
              </w:tc>
              <w:tc>
                <w:tcPr>
                  <w:tcW w:w="702" w:type="pct"/>
                  <w:vMerge w:val="continue"/>
                  <w:tcBorders>
                    <w:tl2br w:val="nil"/>
                    <w:tr2bl w:val="nil"/>
                  </w:tcBorders>
                  <w:noWrap w:val="0"/>
                  <w:vAlign w:val="center"/>
                </w:tcPr>
                <w:p w14:paraId="7A5A49C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2ADF5B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vMerge w:val="continue"/>
                  <w:tcBorders>
                    <w:tl2br w:val="nil"/>
                    <w:tr2bl w:val="nil"/>
                  </w:tcBorders>
                  <w:noWrap w:val="0"/>
                  <w:vAlign w:val="center"/>
                </w:tcPr>
                <w:p w14:paraId="74EDBA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noWrap w:val="0"/>
                  <w:vAlign w:val="center"/>
                </w:tcPr>
                <w:p w14:paraId="451D2DA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E</w:t>
                  </w:r>
                </w:p>
              </w:tc>
              <w:tc>
                <w:tcPr>
                  <w:tcW w:w="683" w:type="pct"/>
                  <w:tcBorders>
                    <w:tl2br w:val="nil"/>
                    <w:tr2bl w:val="nil"/>
                  </w:tcBorders>
                  <w:noWrap w:val="0"/>
                  <w:vAlign w:val="center"/>
                </w:tcPr>
                <w:p w14:paraId="07F940D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N</w:t>
                  </w:r>
                </w:p>
              </w:tc>
              <w:tc>
                <w:tcPr>
                  <w:tcW w:w="617" w:type="pct"/>
                  <w:vMerge w:val="continue"/>
                  <w:tcBorders>
                    <w:tl2br w:val="nil"/>
                    <w:tr2bl w:val="nil"/>
                  </w:tcBorders>
                  <w:noWrap w:val="0"/>
                  <w:vAlign w:val="center"/>
                </w:tcPr>
                <w:p w14:paraId="5A085DC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p>
              </w:tc>
              <w:tc>
                <w:tcPr>
                  <w:tcW w:w="671" w:type="pct"/>
                  <w:vMerge w:val="continue"/>
                  <w:tcBorders>
                    <w:tl2br w:val="nil"/>
                    <w:tr2bl w:val="nil"/>
                  </w:tcBorders>
                  <w:noWrap w:val="0"/>
                  <w:vAlign w:val="center"/>
                </w:tcPr>
                <w:p w14:paraId="78D53B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562FAF9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13" w:type="pct"/>
                  <w:vMerge w:val="continue"/>
                  <w:tcBorders>
                    <w:tl2br w:val="nil"/>
                    <w:tr2bl w:val="nil"/>
                  </w:tcBorders>
                  <w:noWrap w:val="0"/>
                  <w:vAlign w:val="center"/>
                </w:tcPr>
                <w:p w14:paraId="652E2D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08" w:type="pct"/>
                  <w:vMerge w:val="continue"/>
                  <w:tcBorders>
                    <w:tl2br w:val="nil"/>
                    <w:tr2bl w:val="nil"/>
                  </w:tcBorders>
                  <w:noWrap w:val="0"/>
                  <w:vAlign w:val="center"/>
                </w:tcPr>
                <w:p w14:paraId="61313C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702" w:type="pct"/>
                  <w:vMerge w:val="continue"/>
                  <w:tcBorders>
                    <w:tl2br w:val="nil"/>
                    <w:tr2bl w:val="nil"/>
                  </w:tcBorders>
                  <w:noWrap w:val="0"/>
                  <w:vAlign w:val="center"/>
                </w:tcPr>
                <w:p w14:paraId="39A41AB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6CD0F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59" w:type="pct"/>
                  <w:vMerge w:val="restart"/>
                  <w:tcBorders>
                    <w:tl2br w:val="nil"/>
                    <w:tr2bl w:val="nil"/>
                  </w:tcBorders>
                  <w:shd w:val="clear" w:color="auto" w:fill="auto"/>
                  <w:noWrap w:val="0"/>
                  <w:vAlign w:val="center"/>
                </w:tcPr>
                <w:p w14:paraId="7B275031">
                  <w:pPr>
                    <w:keepNext w:val="0"/>
                    <w:keepLines w:val="0"/>
                    <w:widowControl/>
                    <w:suppressLineNumbers w:val="0"/>
                    <w:autoSpaceDE w:val="0"/>
                    <w:autoSpaceDN w:val="0"/>
                    <w:adjustRightInd w:val="0"/>
                    <w:spacing w:before="0" w:beforeAutospacing="0" w:afterAutospacing="0"/>
                    <w:ind w:left="0" w:right="0"/>
                    <w:jc w:val="center"/>
                    <w:rPr>
                      <w:rFonts w:hint="default" w:ascii="Times New Roman" w:hAnsi="Times New Roman" w:eastAsia="宋体" w:cs="Times New Roman"/>
                      <w:color w:val="auto"/>
                      <w:sz w:val="22"/>
                      <w:szCs w:val="21"/>
                      <w:lang w:val="en-US" w:eastAsia="zh-CN" w:bidi="ar-SA"/>
                    </w:rPr>
                  </w:pPr>
                  <w:r>
                    <w:rPr>
                      <w:rFonts w:hint="eastAsia" w:ascii="Times New Roman" w:hAnsi="Times New Roman" w:eastAsia="宋体" w:cs="Times New Roman"/>
                      <w:color w:val="auto"/>
                      <w:sz w:val="21"/>
                      <w:szCs w:val="21"/>
                      <w:lang w:val="en-US" w:eastAsia="zh-CN"/>
                    </w:rPr>
                    <w:t>JH55P2</w:t>
                  </w:r>
                </w:p>
              </w:tc>
              <w:tc>
                <w:tcPr>
                  <w:tcW w:w="677" w:type="pct"/>
                  <w:tcBorders>
                    <w:tl2br w:val="nil"/>
                    <w:tr2bl w:val="nil"/>
                  </w:tcBorders>
                  <w:shd w:val="clear" w:color="auto" w:fill="auto"/>
                  <w:noWrap w:val="0"/>
                  <w:vAlign w:val="center"/>
                </w:tcPr>
                <w:p w14:paraId="2FB81199">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108°</w:t>
                  </w:r>
                  <w:r>
                    <w:rPr>
                      <w:rFonts w:hint="eastAsia" w:ascii="Times New Roman" w:hAnsi="Times New Roman" w:cs="Times New Roman"/>
                      <w:szCs w:val="21"/>
                      <w:lang w:val="en-US" w:eastAsia="zh-CN"/>
                    </w:rPr>
                    <w:t>0</w:t>
                  </w:r>
                  <w:r>
                    <w:rPr>
                      <w:rFonts w:hint="default" w:ascii="Times New Roman" w:hAnsi="Times New Roman" w:cs="Times New Roman"/>
                      <w:szCs w:val="21"/>
                    </w:rPr>
                    <w:t>9′52.691″</w:t>
                  </w:r>
                </w:p>
              </w:tc>
              <w:tc>
                <w:tcPr>
                  <w:tcW w:w="683" w:type="pct"/>
                  <w:tcBorders>
                    <w:tl2br w:val="nil"/>
                    <w:tr2bl w:val="nil"/>
                  </w:tcBorders>
                  <w:shd w:val="clear" w:color="auto" w:fill="auto"/>
                  <w:noWrap w:val="0"/>
                  <w:vAlign w:val="center"/>
                </w:tcPr>
                <w:p w14:paraId="307C6D1E">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35°26′10.656″</w:t>
                  </w:r>
                </w:p>
              </w:tc>
              <w:tc>
                <w:tcPr>
                  <w:tcW w:w="617" w:type="pct"/>
                  <w:tcBorders>
                    <w:tl2br w:val="nil"/>
                    <w:tr2bl w:val="nil"/>
                  </w:tcBorders>
                  <w:shd w:val="clear" w:color="auto" w:fill="auto"/>
                  <w:noWrap w:val="0"/>
                  <w:vAlign w:val="center"/>
                </w:tcPr>
                <w:p w14:paraId="330A6BF2">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w:t>
                  </w:r>
                  <w:r>
                    <w:rPr>
                      <w:rFonts w:hint="default" w:ascii="Times New Roman" w:hAnsi="Times New Roman" w:eastAsia="宋体" w:cs="Times New Roman"/>
                      <w:szCs w:val="21"/>
                      <w:lang w:val="en-US" w:eastAsia="zh-CN"/>
                    </w:rPr>
                    <w:t>户村民/</w:t>
                  </w: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lang w:val="en-US" w:eastAsia="zh-CN"/>
                    </w:rPr>
                    <w:t>人</w:t>
                  </w:r>
                </w:p>
              </w:tc>
              <w:tc>
                <w:tcPr>
                  <w:tcW w:w="671" w:type="pct"/>
                  <w:vMerge w:val="restart"/>
                  <w:tcBorders>
                    <w:tl2br w:val="nil"/>
                    <w:tr2bl w:val="nil"/>
                  </w:tcBorders>
                  <w:noWrap w:val="0"/>
                  <w:vAlign w:val="center"/>
                </w:tcPr>
                <w:p w14:paraId="314A14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p w14:paraId="17DEC1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声环境</w:t>
                  </w:r>
                  <w:r>
                    <w:rPr>
                      <w:rFonts w:hint="eastAsia" w:ascii="Times New Roman" w:hAnsi="Times New Roman" w:eastAsia="宋体" w:cs="Times New Roman"/>
                      <w:bCs/>
                      <w:color w:val="auto"/>
                      <w:sz w:val="21"/>
                      <w:szCs w:val="21"/>
                      <w:lang w:val="en-US" w:eastAsia="zh-CN"/>
                    </w:rPr>
                    <w:t>、环境空气</w:t>
                  </w:r>
                </w:p>
              </w:tc>
              <w:tc>
                <w:tcPr>
                  <w:tcW w:w="267" w:type="pct"/>
                  <w:vMerge w:val="restart"/>
                  <w:tcBorders>
                    <w:tl2br w:val="nil"/>
                    <w:tr2bl w:val="nil"/>
                  </w:tcBorders>
                  <w:noWrap w:val="0"/>
                  <w:vAlign w:val="center"/>
                </w:tcPr>
                <w:p w14:paraId="15A24D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二类</w:t>
                  </w:r>
                </w:p>
              </w:tc>
              <w:tc>
                <w:tcPr>
                  <w:tcW w:w="413" w:type="pct"/>
                  <w:tcBorders>
                    <w:tl2br w:val="nil"/>
                    <w:tr2bl w:val="nil"/>
                  </w:tcBorders>
                  <w:shd w:val="clear" w:color="auto" w:fill="auto"/>
                  <w:noWrap w:val="0"/>
                  <w:vAlign w:val="center"/>
                </w:tcPr>
                <w:p w14:paraId="0821F7F6">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 w:val="22"/>
                      <w:szCs w:val="21"/>
                      <w:lang w:val="en-US" w:eastAsia="zh-CN" w:bidi="ar-SA"/>
                    </w:rPr>
                  </w:pPr>
                  <w:r>
                    <w:rPr>
                      <w:rFonts w:hint="eastAsia" w:ascii="Times New Roman" w:hAnsi="Times New Roman" w:cs="Times New Roman"/>
                      <w:szCs w:val="21"/>
                      <w:lang w:val="en-US" w:eastAsia="zh-CN"/>
                    </w:rPr>
                    <w:t>E</w:t>
                  </w:r>
                </w:p>
              </w:tc>
              <w:tc>
                <w:tcPr>
                  <w:tcW w:w="608" w:type="pct"/>
                  <w:tcBorders>
                    <w:tl2br w:val="nil"/>
                    <w:tr2bl w:val="nil"/>
                  </w:tcBorders>
                  <w:shd w:val="clear" w:color="auto" w:fill="auto"/>
                  <w:noWrap w:val="0"/>
                  <w:vAlign w:val="center"/>
                </w:tcPr>
                <w:p w14:paraId="0F5A4A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 w:val="22"/>
                      <w:szCs w:val="21"/>
                      <w:lang w:val="en-US" w:eastAsia="zh-CN" w:bidi="ar-SA"/>
                    </w:rPr>
                  </w:pPr>
                  <w:r>
                    <w:rPr>
                      <w:rFonts w:hint="eastAsia" w:ascii="Times New Roman" w:hAnsi="Times New Roman" w:eastAsia="宋体" w:cs="Times New Roman"/>
                      <w:szCs w:val="21"/>
                      <w:lang w:val="en-US" w:eastAsia="zh-CN"/>
                    </w:rPr>
                    <w:t>112</w:t>
                  </w:r>
                </w:p>
              </w:tc>
              <w:tc>
                <w:tcPr>
                  <w:tcW w:w="702" w:type="pct"/>
                  <w:vMerge w:val="restart"/>
                  <w:tcBorders>
                    <w:tl2br w:val="nil"/>
                    <w:tr2bl w:val="nil"/>
                  </w:tcBorders>
                  <w:noWrap w:val="0"/>
                  <w:vAlign w:val="center"/>
                </w:tcPr>
                <w:p w14:paraId="0EC67CC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2C30E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59" w:type="pct"/>
                  <w:vMerge w:val="continue"/>
                  <w:tcBorders>
                    <w:tl2br w:val="nil"/>
                    <w:tr2bl w:val="nil"/>
                  </w:tcBorders>
                  <w:shd w:val="clear" w:color="auto" w:fill="auto"/>
                  <w:noWrap w:val="0"/>
                  <w:vAlign w:val="center"/>
                </w:tcPr>
                <w:p w14:paraId="377E8947">
                  <w:pPr>
                    <w:keepNext w:val="0"/>
                    <w:keepLines w:val="0"/>
                    <w:widowControl/>
                    <w:suppressLineNumbers w:val="0"/>
                    <w:autoSpaceDE w:val="0"/>
                    <w:autoSpaceDN w:val="0"/>
                    <w:adjustRightInd w:val="0"/>
                    <w:spacing w:before="0" w:beforeAutospacing="0" w:afterAutospacing="0"/>
                    <w:ind w:left="0" w:right="0"/>
                    <w:jc w:val="center"/>
                    <w:rPr>
                      <w:rFonts w:hint="eastAsia" w:ascii="Times New Roman" w:hAnsi="Times New Roman" w:eastAsia="宋体" w:cs="Times New Roman"/>
                      <w:color w:val="auto"/>
                      <w:sz w:val="21"/>
                      <w:szCs w:val="21"/>
                      <w:lang w:val="en-US" w:eastAsia="zh-CN"/>
                    </w:rPr>
                  </w:pPr>
                </w:p>
              </w:tc>
              <w:tc>
                <w:tcPr>
                  <w:tcW w:w="677" w:type="pct"/>
                  <w:tcBorders>
                    <w:tl2br w:val="nil"/>
                    <w:tr2bl w:val="nil"/>
                  </w:tcBorders>
                  <w:shd w:val="clear" w:color="auto" w:fill="auto"/>
                  <w:noWrap w:val="0"/>
                  <w:vAlign w:val="center"/>
                </w:tcPr>
                <w:p w14:paraId="5A9333E5">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108°9′49.118″</w:t>
                  </w:r>
                </w:p>
              </w:tc>
              <w:tc>
                <w:tcPr>
                  <w:tcW w:w="683" w:type="pct"/>
                  <w:tcBorders>
                    <w:tl2br w:val="nil"/>
                    <w:tr2bl w:val="nil"/>
                  </w:tcBorders>
                  <w:shd w:val="clear" w:color="auto" w:fill="auto"/>
                  <w:noWrap w:val="0"/>
                  <w:vAlign w:val="center"/>
                </w:tcPr>
                <w:p w14:paraId="1B9D9BC2">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35°26′12.625″</w:t>
                  </w:r>
                </w:p>
              </w:tc>
              <w:tc>
                <w:tcPr>
                  <w:tcW w:w="617" w:type="pct"/>
                  <w:tcBorders>
                    <w:tl2br w:val="nil"/>
                    <w:tr2bl w:val="nil"/>
                  </w:tcBorders>
                  <w:shd w:val="clear" w:color="auto" w:fill="auto"/>
                  <w:noWrap w:val="0"/>
                  <w:vAlign w:val="center"/>
                </w:tcPr>
                <w:p w14:paraId="2DAB2F7C">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28</w:t>
                  </w:r>
                  <w:r>
                    <w:rPr>
                      <w:rFonts w:hint="default" w:ascii="Times New Roman" w:hAnsi="Times New Roman" w:eastAsia="宋体" w:cs="Times New Roman"/>
                      <w:szCs w:val="21"/>
                      <w:lang w:val="en-US" w:eastAsia="zh-CN"/>
                    </w:rPr>
                    <w:t>户村民/</w:t>
                  </w:r>
                  <w:r>
                    <w:rPr>
                      <w:rFonts w:hint="eastAsia" w:ascii="Times New Roman" w:hAnsi="Times New Roman" w:eastAsia="宋体" w:cs="Times New Roman"/>
                      <w:szCs w:val="21"/>
                      <w:lang w:val="en-US" w:eastAsia="zh-CN"/>
                    </w:rPr>
                    <w:t>112</w:t>
                  </w:r>
                  <w:r>
                    <w:rPr>
                      <w:rFonts w:hint="default" w:ascii="Times New Roman" w:hAnsi="Times New Roman" w:eastAsia="宋体" w:cs="Times New Roman"/>
                      <w:szCs w:val="21"/>
                      <w:lang w:val="en-US" w:eastAsia="zh-CN"/>
                    </w:rPr>
                    <w:t>人</w:t>
                  </w:r>
                </w:p>
              </w:tc>
              <w:tc>
                <w:tcPr>
                  <w:tcW w:w="671" w:type="pct"/>
                  <w:vMerge w:val="continue"/>
                  <w:tcBorders>
                    <w:tl2br w:val="nil"/>
                    <w:tr2bl w:val="nil"/>
                  </w:tcBorders>
                  <w:noWrap w:val="0"/>
                  <w:vAlign w:val="center"/>
                </w:tcPr>
                <w:p w14:paraId="4E48607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7ED73AC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1"/>
                      <w:lang w:val="en-US" w:eastAsia="zh-CN"/>
                    </w:rPr>
                  </w:pPr>
                </w:p>
              </w:tc>
              <w:tc>
                <w:tcPr>
                  <w:tcW w:w="413" w:type="pct"/>
                  <w:tcBorders>
                    <w:tl2br w:val="nil"/>
                    <w:tr2bl w:val="nil"/>
                  </w:tcBorders>
                  <w:shd w:val="clear" w:color="auto" w:fill="auto"/>
                  <w:noWrap w:val="0"/>
                  <w:vAlign w:val="center"/>
                </w:tcPr>
                <w:p w14:paraId="3C884A27">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eastAsia" w:ascii="Times New Roman" w:hAnsi="Times New Roman" w:cs="Times New Roman"/>
                      <w:szCs w:val="21"/>
                      <w:lang w:val="en-US" w:eastAsia="zh-CN"/>
                    </w:rPr>
                    <w:t>NE</w:t>
                  </w:r>
                </w:p>
              </w:tc>
              <w:tc>
                <w:tcPr>
                  <w:tcW w:w="608" w:type="pct"/>
                  <w:tcBorders>
                    <w:tl2br w:val="nil"/>
                    <w:tr2bl w:val="nil"/>
                  </w:tcBorders>
                  <w:shd w:val="clear" w:color="auto" w:fill="auto"/>
                  <w:noWrap w:val="0"/>
                  <w:vAlign w:val="center"/>
                </w:tcPr>
                <w:p w14:paraId="199B9C55">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eastAsia" w:ascii="Times New Roman" w:hAnsi="Times New Roman" w:eastAsia="宋体" w:cs="Times New Roman"/>
                      <w:szCs w:val="21"/>
                      <w:lang w:val="en-US" w:eastAsia="zh-CN"/>
                    </w:rPr>
                    <w:t>71-200</w:t>
                  </w:r>
                </w:p>
              </w:tc>
              <w:tc>
                <w:tcPr>
                  <w:tcW w:w="702" w:type="pct"/>
                  <w:vMerge w:val="continue"/>
                  <w:tcBorders>
                    <w:tl2br w:val="nil"/>
                    <w:tr2bl w:val="nil"/>
                  </w:tcBorders>
                  <w:noWrap w:val="0"/>
                  <w:vAlign w:val="center"/>
                </w:tcPr>
                <w:p w14:paraId="728E46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2F0C6D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59" w:type="pct"/>
                  <w:vMerge w:val="continue"/>
                  <w:tcBorders>
                    <w:tl2br w:val="nil"/>
                    <w:tr2bl w:val="nil"/>
                  </w:tcBorders>
                  <w:shd w:val="clear" w:color="auto" w:fill="auto"/>
                  <w:noWrap w:val="0"/>
                  <w:vAlign w:val="center"/>
                </w:tcPr>
                <w:p w14:paraId="31B43409">
                  <w:pPr>
                    <w:keepNext w:val="0"/>
                    <w:keepLines w:val="0"/>
                    <w:widowControl/>
                    <w:suppressLineNumbers w:val="0"/>
                    <w:autoSpaceDE w:val="0"/>
                    <w:autoSpaceDN w:val="0"/>
                    <w:adjustRightInd w:val="0"/>
                    <w:spacing w:before="0" w:beforeAutospacing="0" w:afterAutospacing="0"/>
                    <w:ind w:left="0" w:right="0"/>
                    <w:jc w:val="center"/>
                    <w:rPr>
                      <w:rFonts w:hint="eastAsia" w:ascii="Times New Roman" w:hAnsi="Times New Roman" w:eastAsia="宋体" w:cs="Times New Roman"/>
                      <w:color w:val="auto"/>
                      <w:sz w:val="21"/>
                      <w:szCs w:val="21"/>
                      <w:lang w:val="en-US" w:eastAsia="zh-CN"/>
                    </w:rPr>
                  </w:pPr>
                </w:p>
              </w:tc>
              <w:tc>
                <w:tcPr>
                  <w:tcW w:w="677" w:type="pct"/>
                  <w:tcBorders>
                    <w:tl2br w:val="nil"/>
                    <w:tr2bl w:val="nil"/>
                  </w:tcBorders>
                  <w:shd w:val="clear" w:color="auto" w:fill="auto"/>
                  <w:noWrap w:val="0"/>
                  <w:vAlign w:val="center"/>
                </w:tcPr>
                <w:p w14:paraId="433EEDC8">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108°9′45.043″</w:t>
                  </w:r>
                </w:p>
              </w:tc>
              <w:tc>
                <w:tcPr>
                  <w:tcW w:w="683" w:type="pct"/>
                  <w:tcBorders>
                    <w:tl2br w:val="nil"/>
                    <w:tr2bl w:val="nil"/>
                  </w:tcBorders>
                  <w:shd w:val="clear" w:color="auto" w:fill="auto"/>
                  <w:noWrap w:val="0"/>
                  <w:vAlign w:val="center"/>
                </w:tcPr>
                <w:p w14:paraId="203DBA7A">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35°26′14.055″</w:t>
                  </w:r>
                </w:p>
              </w:tc>
              <w:tc>
                <w:tcPr>
                  <w:tcW w:w="617" w:type="pct"/>
                  <w:tcBorders>
                    <w:tl2br w:val="nil"/>
                    <w:tr2bl w:val="nil"/>
                  </w:tcBorders>
                  <w:shd w:val="clear" w:color="auto" w:fill="auto"/>
                  <w:noWrap w:val="0"/>
                  <w:vAlign w:val="center"/>
                </w:tcPr>
                <w:p w14:paraId="7319FB30">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r>
                    <w:rPr>
                      <w:rFonts w:hint="default" w:ascii="Times New Roman" w:hAnsi="Times New Roman" w:eastAsia="宋体" w:cs="Times New Roman"/>
                      <w:szCs w:val="21"/>
                      <w:lang w:val="en-US" w:eastAsia="zh-CN"/>
                    </w:rPr>
                    <w:t>户村民/</w:t>
                  </w:r>
                  <w:r>
                    <w:rPr>
                      <w:rFonts w:hint="eastAsia" w:ascii="Times New Roman" w:hAnsi="Times New Roman" w:eastAsia="宋体" w:cs="Times New Roman"/>
                      <w:szCs w:val="21"/>
                      <w:lang w:val="en-US" w:eastAsia="zh-CN"/>
                    </w:rPr>
                    <w:t>20</w:t>
                  </w:r>
                  <w:r>
                    <w:rPr>
                      <w:rFonts w:hint="default" w:ascii="Times New Roman" w:hAnsi="Times New Roman" w:eastAsia="宋体" w:cs="Times New Roman"/>
                      <w:szCs w:val="21"/>
                      <w:lang w:val="en-US" w:eastAsia="zh-CN"/>
                    </w:rPr>
                    <w:t>人</w:t>
                  </w:r>
                </w:p>
              </w:tc>
              <w:tc>
                <w:tcPr>
                  <w:tcW w:w="671" w:type="pct"/>
                  <w:vMerge w:val="continue"/>
                  <w:tcBorders>
                    <w:tl2br w:val="nil"/>
                    <w:tr2bl w:val="nil"/>
                  </w:tcBorders>
                  <w:noWrap w:val="0"/>
                  <w:vAlign w:val="center"/>
                </w:tcPr>
                <w:p w14:paraId="4B231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2D998FB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1"/>
                      <w:lang w:val="en-US" w:eastAsia="zh-CN"/>
                    </w:rPr>
                  </w:pPr>
                </w:p>
              </w:tc>
              <w:tc>
                <w:tcPr>
                  <w:tcW w:w="413" w:type="pct"/>
                  <w:tcBorders>
                    <w:tl2br w:val="nil"/>
                    <w:tr2bl w:val="nil"/>
                  </w:tcBorders>
                  <w:shd w:val="clear" w:color="auto" w:fill="auto"/>
                  <w:noWrap w:val="0"/>
                  <w:vAlign w:val="center"/>
                </w:tcPr>
                <w:p w14:paraId="6EA64B0B">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eastAsia" w:ascii="Times New Roman" w:hAnsi="Times New Roman" w:cs="Times New Roman"/>
                      <w:szCs w:val="21"/>
                      <w:lang w:val="en-US" w:eastAsia="zh-CN"/>
                    </w:rPr>
                    <w:t>N</w:t>
                  </w:r>
                </w:p>
              </w:tc>
              <w:tc>
                <w:tcPr>
                  <w:tcW w:w="608" w:type="pct"/>
                  <w:tcBorders>
                    <w:tl2br w:val="nil"/>
                    <w:tr2bl w:val="nil"/>
                  </w:tcBorders>
                  <w:shd w:val="clear" w:color="auto" w:fill="auto"/>
                  <w:noWrap w:val="0"/>
                  <w:vAlign w:val="center"/>
                </w:tcPr>
                <w:p w14:paraId="5E57F0C2">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eastAsia" w:ascii="Times New Roman" w:hAnsi="Times New Roman" w:eastAsia="宋体" w:cs="Times New Roman"/>
                      <w:szCs w:val="21"/>
                      <w:lang w:val="en-US" w:eastAsia="zh-CN"/>
                    </w:rPr>
                    <w:t>82</w:t>
                  </w:r>
                </w:p>
              </w:tc>
              <w:tc>
                <w:tcPr>
                  <w:tcW w:w="702" w:type="pct"/>
                  <w:vMerge w:val="continue"/>
                  <w:tcBorders>
                    <w:tl2br w:val="nil"/>
                    <w:tr2bl w:val="nil"/>
                  </w:tcBorders>
                  <w:noWrap w:val="0"/>
                  <w:vAlign w:val="center"/>
                </w:tcPr>
                <w:p w14:paraId="3B6BEC7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7B486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59" w:type="pct"/>
                  <w:vMerge w:val="continue"/>
                  <w:tcBorders>
                    <w:tl2br w:val="nil"/>
                    <w:tr2bl w:val="nil"/>
                  </w:tcBorders>
                  <w:shd w:val="clear" w:color="auto" w:fill="auto"/>
                  <w:noWrap w:val="0"/>
                  <w:vAlign w:val="center"/>
                </w:tcPr>
                <w:p w14:paraId="54AA697C">
                  <w:pPr>
                    <w:keepNext w:val="0"/>
                    <w:keepLines w:val="0"/>
                    <w:widowControl/>
                    <w:suppressLineNumbers w:val="0"/>
                    <w:autoSpaceDE w:val="0"/>
                    <w:autoSpaceDN w:val="0"/>
                    <w:adjustRightInd w:val="0"/>
                    <w:spacing w:before="0" w:beforeAutospacing="0" w:afterAutospacing="0"/>
                    <w:ind w:left="0" w:right="0"/>
                    <w:jc w:val="center"/>
                    <w:rPr>
                      <w:rFonts w:hint="eastAsia" w:ascii="Times New Roman" w:hAnsi="Times New Roman" w:eastAsia="宋体" w:cs="Times New Roman"/>
                      <w:color w:val="auto"/>
                      <w:sz w:val="21"/>
                      <w:szCs w:val="21"/>
                      <w:lang w:val="en-US" w:eastAsia="zh-CN"/>
                    </w:rPr>
                  </w:pPr>
                </w:p>
              </w:tc>
              <w:tc>
                <w:tcPr>
                  <w:tcW w:w="677" w:type="pct"/>
                  <w:tcBorders>
                    <w:tl2br w:val="nil"/>
                    <w:tr2bl w:val="nil"/>
                  </w:tcBorders>
                  <w:shd w:val="clear" w:color="auto" w:fill="auto"/>
                  <w:noWrap w:val="0"/>
                  <w:vAlign w:val="center"/>
                </w:tcPr>
                <w:p w14:paraId="56A1C6E6">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108°9′39.501″</w:t>
                  </w:r>
                </w:p>
              </w:tc>
              <w:tc>
                <w:tcPr>
                  <w:tcW w:w="683" w:type="pct"/>
                  <w:tcBorders>
                    <w:tl2br w:val="nil"/>
                    <w:tr2bl w:val="nil"/>
                  </w:tcBorders>
                  <w:shd w:val="clear" w:color="auto" w:fill="auto"/>
                  <w:noWrap w:val="0"/>
                  <w:vAlign w:val="center"/>
                </w:tcPr>
                <w:p w14:paraId="12A4573A">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35°26′11.544″</w:t>
                  </w:r>
                </w:p>
              </w:tc>
              <w:tc>
                <w:tcPr>
                  <w:tcW w:w="617" w:type="pct"/>
                  <w:tcBorders>
                    <w:tl2br w:val="nil"/>
                    <w:tr2bl w:val="nil"/>
                  </w:tcBorders>
                  <w:shd w:val="clear" w:color="auto" w:fill="auto"/>
                  <w:noWrap w:val="0"/>
                  <w:vAlign w:val="center"/>
                </w:tcPr>
                <w:p w14:paraId="0AA12D19">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w:t>
                  </w:r>
                  <w:r>
                    <w:rPr>
                      <w:rFonts w:hint="default" w:ascii="Times New Roman" w:hAnsi="Times New Roman" w:eastAsia="宋体" w:cs="Times New Roman"/>
                      <w:szCs w:val="21"/>
                      <w:lang w:val="en-US" w:eastAsia="zh-CN"/>
                    </w:rPr>
                    <w:t>户村民/</w:t>
                  </w:r>
                  <w:r>
                    <w:rPr>
                      <w:rFonts w:hint="eastAsia" w:ascii="Times New Roman" w:hAnsi="Times New Roman" w:eastAsia="宋体" w:cs="Times New Roman"/>
                      <w:szCs w:val="21"/>
                      <w:lang w:val="en-US" w:eastAsia="zh-CN"/>
                    </w:rPr>
                    <w:t>16</w:t>
                  </w:r>
                  <w:r>
                    <w:rPr>
                      <w:rFonts w:hint="default" w:ascii="Times New Roman" w:hAnsi="Times New Roman" w:eastAsia="宋体" w:cs="Times New Roman"/>
                      <w:szCs w:val="21"/>
                      <w:lang w:val="en-US" w:eastAsia="zh-CN"/>
                    </w:rPr>
                    <w:t>人</w:t>
                  </w:r>
                </w:p>
              </w:tc>
              <w:tc>
                <w:tcPr>
                  <w:tcW w:w="671" w:type="pct"/>
                  <w:vMerge w:val="continue"/>
                  <w:tcBorders>
                    <w:tl2br w:val="nil"/>
                    <w:tr2bl w:val="nil"/>
                  </w:tcBorders>
                  <w:noWrap w:val="0"/>
                  <w:vAlign w:val="center"/>
                </w:tcPr>
                <w:p w14:paraId="0A12A6E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27142AB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1"/>
                      <w:lang w:val="en-US" w:eastAsia="zh-CN"/>
                    </w:rPr>
                  </w:pPr>
                </w:p>
              </w:tc>
              <w:tc>
                <w:tcPr>
                  <w:tcW w:w="413" w:type="pct"/>
                  <w:tcBorders>
                    <w:tl2br w:val="nil"/>
                    <w:tr2bl w:val="nil"/>
                  </w:tcBorders>
                  <w:shd w:val="clear" w:color="auto" w:fill="auto"/>
                  <w:noWrap w:val="0"/>
                  <w:vAlign w:val="center"/>
                </w:tcPr>
                <w:p w14:paraId="7695DC49">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eastAsia" w:ascii="Times New Roman" w:hAnsi="Times New Roman" w:cs="Times New Roman"/>
                      <w:szCs w:val="21"/>
                      <w:lang w:val="en-US" w:eastAsia="zh-CN"/>
                    </w:rPr>
                    <w:t>NW</w:t>
                  </w:r>
                </w:p>
              </w:tc>
              <w:tc>
                <w:tcPr>
                  <w:tcW w:w="608" w:type="pct"/>
                  <w:tcBorders>
                    <w:tl2br w:val="nil"/>
                    <w:tr2bl w:val="nil"/>
                  </w:tcBorders>
                  <w:shd w:val="clear" w:color="auto" w:fill="auto"/>
                  <w:noWrap w:val="0"/>
                  <w:vAlign w:val="center"/>
                </w:tcPr>
                <w:p w14:paraId="627B4A9F">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eastAsia" w:ascii="Times New Roman" w:hAnsi="Times New Roman" w:eastAsia="宋体" w:cs="Times New Roman"/>
                      <w:szCs w:val="21"/>
                      <w:lang w:val="en-US" w:eastAsia="zh-CN"/>
                    </w:rPr>
                    <w:t>139</w:t>
                  </w:r>
                </w:p>
              </w:tc>
              <w:tc>
                <w:tcPr>
                  <w:tcW w:w="702" w:type="pct"/>
                  <w:vMerge w:val="continue"/>
                  <w:tcBorders>
                    <w:tl2br w:val="nil"/>
                    <w:tr2bl w:val="nil"/>
                  </w:tcBorders>
                  <w:noWrap w:val="0"/>
                  <w:vAlign w:val="center"/>
                </w:tcPr>
                <w:p w14:paraId="3110BC1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B927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6744CAE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w:t>
                  </w:r>
                </w:p>
                <w:p w14:paraId="2A4A93B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5567D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井场及井场周边</w:t>
                  </w:r>
                </w:p>
              </w:tc>
              <w:tc>
                <w:tcPr>
                  <w:tcW w:w="671" w:type="pct"/>
                  <w:tcBorders>
                    <w:tl2br w:val="nil"/>
                    <w:tr2bl w:val="nil"/>
                  </w:tcBorders>
                  <w:noWrap w:val="0"/>
                  <w:vAlign w:val="center"/>
                </w:tcPr>
                <w:p w14:paraId="6577922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土壤环境质量</w:t>
                  </w:r>
                </w:p>
              </w:tc>
              <w:tc>
                <w:tcPr>
                  <w:tcW w:w="1288" w:type="pct"/>
                  <w:gridSpan w:val="3"/>
                  <w:tcBorders>
                    <w:tl2br w:val="nil"/>
                    <w:tr2bl w:val="nil"/>
                  </w:tcBorders>
                  <w:noWrap w:val="0"/>
                  <w:vAlign w:val="center"/>
                </w:tcPr>
                <w:p w14:paraId="0EE1BC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农用地</w:t>
                  </w:r>
                </w:p>
              </w:tc>
              <w:tc>
                <w:tcPr>
                  <w:tcW w:w="702" w:type="pct"/>
                  <w:tcBorders>
                    <w:tl2br w:val="nil"/>
                    <w:tr2bl w:val="nil"/>
                  </w:tcBorders>
                  <w:noWrap w:val="0"/>
                  <w:vAlign w:val="center"/>
                </w:tcPr>
                <w:p w14:paraId="41989AB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84CD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51D4355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生态</w:t>
                  </w:r>
                </w:p>
                <w:p w14:paraId="27C6501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13CF841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井场周围1km以内、道路两侧300m范围</w:t>
                  </w:r>
                </w:p>
              </w:tc>
              <w:tc>
                <w:tcPr>
                  <w:tcW w:w="671" w:type="pct"/>
                  <w:tcBorders>
                    <w:tl2br w:val="nil"/>
                    <w:tr2bl w:val="nil"/>
                  </w:tcBorders>
                  <w:noWrap w:val="0"/>
                  <w:vAlign w:val="center"/>
                </w:tcPr>
                <w:p w14:paraId="1CD85B6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动植物物种、种群、生物群落及生态空间等</w:t>
                  </w:r>
                </w:p>
              </w:tc>
              <w:tc>
                <w:tcPr>
                  <w:tcW w:w="1288" w:type="pct"/>
                  <w:gridSpan w:val="3"/>
                  <w:tcBorders>
                    <w:tl2br w:val="nil"/>
                    <w:tr2bl w:val="nil"/>
                  </w:tcBorders>
                  <w:noWrap w:val="0"/>
                  <w:vAlign w:val="center"/>
                </w:tcPr>
                <w:p w14:paraId="35F39E8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严格控制破坏压占土地范围，施工后及时恢复</w:t>
                  </w:r>
                </w:p>
              </w:tc>
              <w:tc>
                <w:tcPr>
                  <w:tcW w:w="702" w:type="pct"/>
                  <w:tcBorders>
                    <w:tl2br w:val="nil"/>
                    <w:tr2bl w:val="nil"/>
                  </w:tcBorders>
                  <w:noWrap w:val="0"/>
                  <w:vAlign w:val="center"/>
                </w:tcPr>
                <w:p w14:paraId="67D714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bl>
          <w:p w14:paraId="52EA96AC">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79"/>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29"/>
                <w:rFonts w:hint="eastAsia" w:ascii="Times New Roman" w:hAnsi="Times New Roman" w:eastAsia="宋体" w:cs="Times New Roman"/>
                <w:i w:val="0"/>
                <w:iCs w:val="0"/>
                <w:color w:val="000000" w:themeColor="text1"/>
                <w:lang w:eastAsia="zh-CN"/>
                <w14:textFill>
                  <w14:solidFill>
                    <w14:schemeClr w14:val="tx1"/>
                  </w14:solidFill>
                </w14:textFill>
              </w:rPr>
            </w:pPr>
            <w:r>
              <w:rPr>
                <w:rStyle w:val="29"/>
                <w:rFonts w:hint="default" w:ascii="Times New Roman" w:hAnsi="Times New Roman" w:eastAsia="宋体" w:cs="Times New Roman"/>
                <w:i w:val="0"/>
                <w:iCs w:val="0"/>
                <w:color w:val="000000" w:themeColor="text1"/>
                <w14:textFill>
                  <w14:solidFill>
                    <w14:schemeClr w14:val="tx1"/>
                  </w14:solidFill>
                </w14:textFill>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29"/>
                <w:rFonts w:hint="default" w:ascii="Times New Roman" w:hAnsi="Times New Roman" w:eastAsia="宋体" w:cs="Times New Roman"/>
                <w:i w:val="0"/>
                <w:iCs w:val="0"/>
                <w:color w:val="000000" w:themeColor="text1"/>
                <w:lang w:eastAsia="zh-CN"/>
                <w14:textFill>
                  <w14:solidFill>
                    <w14:schemeClr w14:val="tx1"/>
                  </w14:solidFill>
                </w14:textFill>
              </w:rPr>
              <w:t>表</w:t>
            </w:r>
            <w:r>
              <w:rPr>
                <w:rStyle w:val="29"/>
                <w:rFonts w:hint="default" w:ascii="Times New Roman" w:hAnsi="Times New Roman" w:eastAsia="宋体" w:cs="Times New Roman"/>
                <w:i w:val="0"/>
                <w:iCs w:val="0"/>
                <w:color w:val="000000" w:themeColor="text1"/>
                <w14:textFill>
                  <w14:solidFill>
                    <w14:schemeClr w14:val="tx1"/>
                  </w14:solidFill>
                </w14:textFill>
              </w:rPr>
              <w:t>和环评批复的环保要求及环境影响评价的主要结论，确定本项目的调查重点</w:t>
            </w:r>
            <w:r>
              <w:rPr>
                <w:rStyle w:val="29"/>
                <w:rFonts w:hint="eastAsia" w:eastAsia="宋体" w:cs="Times New Roman"/>
                <w:i w:val="0"/>
                <w:iCs w:val="0"/>
                <w:color w:val="000000" w:themeColor="text1"/>
                <w:lang w:eastAsia="zh-CN"/>
                <w14:textFill>
                  <w14:solidFill>
                    <w14:schemeClr w14:val="tx1"/>
                  </w14:solidFill>
                </w14:textFill>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29"/>
                <w:rFonts w:hint="default" w:ascii="Times New Roman" w:hAnsi="Times New Roman" w:eastAsia="宋体" w:cs="Times New Roman"/>
                <w:i w:val="0"/>
                <w:iCs w:val="0"/>
                <w:color w:val="000000" w:themeColor="text1"/>
                <w14:textFill>
                  <w14:solidFill>
                    <w14:schemeClr w14:val="tx1"/>
                  </w14:solidFill>
                </w14:textFill>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）调查环境风险防范和应急措施的落实及有效性。</w:t>
            </w:r>
          </w:p>
          <w:p w14:paraId="4E93F670">
            <w:pPr>
              <w:pStyle w:val="9"/>
              <w:keepNext w:val="0"/>
              <w:keepLines w:val="0"/>
              <w:widowControl w:val="0"/>
              <w:suppressLineNumbers w:val="0"/>
              <w:spacing w:before="0" w:beforeAutospacing="0" w:afterAutospacing="0"/>
              <w:ind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7065B77E">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8AA5647">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DCFBF9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596BF4DE">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09B5FA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91536F3">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42664AB">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888FA95">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5CC0CC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71918CF">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FCCC879">
            <w:pPr>
              <w:keepNext w:val="0"/>
              <w:keepLines w:val="0"/>
              <w:widowControl w:val="0"/>
              <w:suppressLineNumbers w:val="0"/>
              <w:spacing w:before="0" w:beforeAutospacing="0" w:afterAutospacing="0"/>
              <w:ind w:left="0" w:right="0"/>
              <w:jc w:val="both"/>
              <w:rPr>
                <w:rFonts w:hint="default"/>
              </w:rPr>
            </w:pPr>
          </w:p>
          <w:p w14:paraId="6AE32FA7">
            <w:pPr>
              <w:pStyle w:val="79"/>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41185C40">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2" w:name="_Toc2466"/>
      <w:r>
        <w:rPr>
          <w:rFonts w:hint="eastAsia" w:ascii="Times New Roman" w:hAnsi="Times New Roman" w:eastAsia="宋体" w:cs="Times New Roman"/>
          <w:b/>
          <w:kern w:val="2"/>
          <w:sz w:val="32"/>
          <w:szCs w:val="24"/>
          <w:lang w:val="en-US" w:eastAsia="zh-CN"/>
        </w:rPr>
        <w:t>3.</w:t>
      </w:r>
      <w:r>
        <w:rPr>
          <w:rFonts w:hint="default" w:ascii="Times New Roman" w:hAnsi="Times New Roman" w:eastAsia="宋体" w:cs="Times New Roman"/>
          <w:b/>
          <w:kern w:val="2"/>
          <w:sz w:val="32"/>
          <w:szCs w:val="24"/>
          <w:lang w:val="en-US" w:eastAsia="zh-CN"/>
        </w:rPr>
        <w:t>验收执行标准</w:t>
      </w:r>
      <w:bookmarkEnd w:id="2"/>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393E52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25CD61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eastAsia"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eastAsia"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eastAsia" w:ascii="Times New Roman" w:hAnsi="Times New Roman" w:eastAsia="宋体" w:cs="Times New Roman"/>
                <w:b/>
                <w:bCs/>
                <w:color w:val="auto"/>
                <w:spacing w:val="0"/>
                <w:w w:val="100"/>
                <w:sz w:val="24"/>
                <w:szCs w:val="24"/>
                <w:highlight w:val="none"/>
                <w:lang w:eastAsia="zh-CN"/>
              </w:rPr>
              <w:t>（</w:t>
            </w:r>
            <w:r>
              <w:rPr>
                <w:rFonts w:hint="eastAsia" w:ascii="Times New Roman" w:hAnsi="Times New Roman" w:eastAsia="宋体" w:cs="Times New Roman"/>
                <w:b/>
                <w:bCs/>
                <w:color w:val="auto"/>
                <w:spacing w:val="0"/>
                <w:w w:val="100"/>
                <w:sz w:val="24"/>
                <w:szCs w:val="24"/>
                <w:highlight w:val="none"/>
                <w:lang w:val="en-US" w:eastAsia="zh-CN"/>
              </w:rPr>
              <w:t>1</w:t>
            </w:r>
            <w:r>
              <w:rPr>
                <w:rFonts w:hint="eastAsia"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000000" w:themeColor="text1"/>
                <w:sz w:val="24"/>
                <w:szCs w:val="24"/>
                <w14:textFill>
                  <w14:solidFill>
                    <w14:schemeClr w14:val="tx1"/>
                  </w14:solidFill>
                </w14:textFill>
              </w:rPr>
              <w:t>环境空气质量按《环境空气质量标准》（GB3095-2012）中的二级标准验收，并按《环境空气质量标准》（GB3095-2012）二级标准校核，非甲烷总烃小时值执行《大气污染物综合排放标准》详解中的2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w:t>
            </w:r>
            <w:r>
              <w:rPr>
                <w:rFonts w:hint="default" w:ascii="Times New Roman" w:hAnsi="Times New Roman" w:eastAsia="宋体" w:cs="Times New Roman"/>
                <w:color w:val="000000" w:themeColor="text1"/>
                <w:sz w:val="24"/>
                <w:szCs w:val="24"/>
                <w14:textFill>
                  <w14:solidFill>
                    <w14:schemeClr w14:val="tx1"/>
                  </w14:solidFill>
                </w14:textFill>
              </w:rPr>
              <w:t>mg/m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3</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7BD2D89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类别</w:t>
                  </w:r>
                </w:p>
              </w:tc>
              <w:tc>
                <w:tcPr>
                  <w:tcW w:w="1445" w:type="pct"/>
                  <w:vMerge w:val="restart"/>
                  <w:tcBorders>
                    <w:tl2br w:val="nil"/>
                    <w:tr2bl w:val="nil"/>
                  </w:tcBorders>
                  <w:vAlign w:val="center"/>
                </w:tcPr>
                <w:p w14:paraId="1F8042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标准名称及级(类)别</w:t>
                  </w:r>
                </w:p>
              </w:tc>
              <w:tc>
                <w:tcPr>
                  <w:tcW w:w="816" w:type="pct"/>
                  <w:vMerge w:val="restart"/>
                  <w:tcBorders>
                    <w:tl2br w:val="nil"/>
                    <w:tr2bl w:val="nil"/>
                  </w:tcBorders>
                  <w:vAlign w:val="center"/>
                </w:tcPr>
                <w:p w14:paraId="2938F6D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污染因子</w:t>
                  </w:r>
                </w:p>
              </w:tc>
              <w:tc>
                <w:tcPr>
                  <w:tcW w:w="2465" w:type="pct"/>
                  <w:gridSpan w:val="3"/>
                  <w:tcBorders>
                    <w:tl2br w:val="nil"/>
                    <w:tr2bl w:val="nil"/>
                  </w:tcBorders>
                  <w:vAlign w:val="center"/>
                </w:tcPr>
                <w:p w14:paraId="080F52C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9C4F1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CC4AF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688" w:type="pct"/>
                  <w:gridSpan w:val="2"/>
                  <w:tcBorders>
                    <w:tl2br w:val="nil"/>
                    <w:tr2bl w:val="nil"/>
                  </w:tcBorders>
                  <w:vAlign w:val="center"/>
                </w:tcPr>
                <w:p w14:paraId="580794A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单  位</w:t>
                  </w:r>
                </w:p>
              </w:tc>
              <w:tc>
                <w:tcPr>
                  <w:tcW w:w="777" w:type="pct"/>
                  <w:tcBorders>
                    <w:tl2br w:val="nil"/>
                    <w:tr2bl w:val="nil"/>
                  </w:tcBorders>
                  <w:vAlign w:val="center"/>
                </w:tcPr>
                <w:p w14:paraId="0E5C5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p w14:paraId="123637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w:t>
                  </w:r>
                </w:p>
                <w:p w14:paraId="3128058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境</w:t>
                  </w:r>
                </w:p>
                <w:p w14:paraId="0379EF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空</w:t>
                  </w:r>
                </w:p>
                <w:p w14:paraId="20A5F60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气</w:t>
                  </w:r>
                </w:p>
              </w:tc>
              <w:tc>
                <w:tcPr>
                  <w:tcW w:w="1445" w:type="pct"/>
                  <w:vMerge w:val="restart"/>
                  <w:tcBorders>
                    <w:tl2br w:val="nil"/>
                    <w:tr2bl w:val="nil"/>
                  </w:tcBorders>
                  <w:vAlign w:val="center"/>
                </w:tcPr>
                <w:p w14:paraId="237A14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《环境空气质量标准》（GB3095-2012）二级标准</w:t>
                  </w:r>
                </w:p>
              </w:tc>
              <w:tc>
                <w:tcPr>
                  <w:tcW w:w="816" w:type="pct"/>
                  <w:vMerge w:val="restart"/>
                  <w:tcBorders>
                    <w:tl2br w:val="nil"/>
                    <w:tr2bl w:val="nil"/>
                  </w:tcBorders>
                  <w:vAlign w:val="center"/>
                </w:tcPr>
                <w:p w14:paraId="7F52989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SO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3036F6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restart"/>
                  <w:tcBorders>
                    <w:tl2br w:val="nil"/>
                    <w:tr2bl w:val="nil"/>
                  </w:tcBorders>
                  <w:vAlign w:val="center"/>
                </w:tcPr>
                <w:p w14:paraId="78B2328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7C8DB8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4733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AFACA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66B8343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577F4B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45E5B2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E5D7AE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817687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13D3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4991E2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D1E87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01657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1CBDD7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NO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6B7AD14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0F604BD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919FD9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0B72C7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B68D0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0F9E9B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AAD25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7E7A80D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59D0EEA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EBCE57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AD83B1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85FE29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015E315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24ABB8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59A9AB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CO</w:t>
                  </w:r>
                </w:p>
              </w:tc>
              <w:tc>
                <w:tcPr>
                  <w:tcW w:w="1057" w:type="pct"/>
                  <w:tcBorders>
                    <w:tl2br w:val="nil"/>
                    <w:tr2bl w:val="nil"/>
                  </w:tcBorders>
                </w:tcPr>
                <w:p w14:paraId="700CBDA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restart"/>
                  <w:tcBorders>
                    <w:tl2br w:val="nil"/>
                    <w:tr2bl w:val="nil"/>
                  </w:tcBorders>
                  <w:vAlign w:val="center"/>
                </w:tcPr>
                <w:p w14:paraId="611D6FE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8678E8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4539604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5ABE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0B879B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27C929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317BC68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CD56A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tcBorders>
                    <w:tl2br w:val="nil"/>
                    <w:tr2bl w:val="nil"/>
                  </w:tcBorders>
                  <w:vAlign w:val="center"/>
                </w:tcPr>
                <w:p w14:paraId="665197C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O</w:t>
                  </w:r>
                  <w:r>
                    <w:rPr>
                      <w:rFonts w:hint="default" w:ascii="Times New Roman" w:hAnsi="Times New Roman" w:eastAsia="宋体" w:cs="Times New Roman"/>
                      <w:color w:val="000000" w:themeColor="text1"/>
                      <w:sz w:val="21"/>
                      <w:szCs w:val="21"/>
                      <w:vertAlign w:val="subscript"/>
                      <w14:textFill>
                        <w14:solidFill>
                          <w14:schemeClr w14:val="tx1"/>
                        </w14:solidFill>
                      </w14:textFill>
                    </w:rPr>
                    <w:t>3</w:t>
                  </w:r>
                </w:p>
              </w:tc>
              <w:tc>
                <w:tcPr>
                  <w:tcW w:w="1057" w:type="pct"/>
                  <w:tcBorders>
                    <w:tl2br w:val="nil"/>
                    <w:tr2bl w:val="nil"/>
                  </w:tcBorders>
                </w:tcPr>
                <w:p w14:paraId="48B01E4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日最大8小时平均</w:t>
                  </w:r>
                </w:p>
              </w:tc>
              <w:tc>
                <w:tcPr>
                  <w:tcW w:w="631" w:type="pct"/>
                  <w:vMerge w:val="restart"/>
                  <w:tcBorders>
                    <w:tl2br w:val="nil"/>
                    <w:tr2bl w:val="nil"/>
                  </w:tcBorders>
                  <w:vAlign w:val="center"/>
                </w:tcPr>
                <w:p w14:paraId="3B00AF8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6AFAE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31FD17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28CF7E0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10</w:t>
                  </w:r>
                </w:p>
              </w:tc>
              <w:tc>
                <w:tcPr>
                  <w:tcW w:w="1057" w:type="pct"/>
                  <w:tcBorders>
                    <w:tl2br w:val="nil"/>
                    <w:tr2bl w:val="nil"/>
                  </w:tcBorders>
                </w:tcPr>
                <w:p w14:paraId="7664306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01FC847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8412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EBD3F4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01BD25E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73AAA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4D85AFF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64C750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0D98D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4C4EF00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2.5</w:t>
                  </w:r>
                </w:p>
              </w:tc>
              <w:tc>
                <w:tcPr>
                  <w:tcW w:w="1057" w:type="pct"/>
                  <w:tcBorders>
                    <w:tl2br w:val="nil"/>
                    <w:tr2bl w:val="nil"/>
                  </w:tcBorders>
                </w:tcPr>
                <w:p w14:paraId="351FC27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00DE10B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B8A30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C62561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6C55B1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2459C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1B3DABE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CBC86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tcBorders>
                    <w:tl2br w:val="nil"/>
                    <w:tr2bl w:val="nil"/>
                  </w:tcBorders>
                  <w:vAlign w:val="center"/>
                </w:tcPr>
                <w:p w14:paraId="7501B30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《大气污染物综合排放标准》详解</w:t>
                  </w:r>
                </w:p>
              </w:tc>
              <w:tc>
                <w:tcPr>
                  <w:tcW w:w="816" w:type="pct"/>
                  <w:tcBorders>
                    <w:tl2br w:val="nil"/>
                    <w:tr2bl w:val="nil"/>
                  </w:tcBorders>
                  <w:vAlign w:val="center"/>
                </w:tcPr>
                <w:p w14:paraId="3B709F4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非甲烷总烃</w:t>
                  </w:r>
                </w:p>
              </w:tc>
              <w:tc>
                <w:tcPr>
                  <w:tcW w:w="1057" w:type="pct"/>
                  <w:tcBorders>
                    <w:tl2br w:val="nil"/>
                    <w:tr2bl w:val="nil"/>
                  </w:tcBorders>
                  <w:vAlign w:val="center"/>
                </w:tcPr>
                <w:p w14:paraId="4F959E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小时值</w:t>
                  </w:r>
                </w:p>
              </w:tc>
              <w:tc>
                <w:tcPr>
                  <w:tcW w:w="631" w:type="pct"/>
                  <w:tcBorders>
                    <w:tl2br w:val="nil"/>
                    <w:tr2bl w:val="nil"/>
                  </w:tcBorders>
                  <w:vAlign w:val="center"/>
                </w:tcPr>
                <w:p w14:paraId="2E7E71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5087849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w:t>
                  </w:r>
                </w:p>
              </w:tc>
            </w:tr>
          </w:tbl>
          <w:p w14:paraId="4A90DD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eastAsia" w:ascii="Times New Roman" w:hAnsi="Times New Roman" w:eastAsia="宋体" w:cs="Times New Roman"/>
                <w:color w:val="auto"/>
                <w:spacing w:val="0"/>
                <w:w w:val="100"/>
                <w:sz w:val="24"/>
                <w:szCs w:val="24"/>
                <w:highlight w:val="none"/>
                <w:lang w:eastAsia="zh-CN"/>
              </w:rPr>
              <w:t>见表</w:t>
            </w:r>
            <w:r>
              <w:rPr>
                <w:rFonts w:hint="eastAsia"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w:t>
            </w:r>
            <w:r>
              <w:rPr>
                <w:rFonts w:hint="eastAsia" w:ascii="Times New Roman" w:hAnsi="Times New Roman" w:eastAsia="宋体" w:cs="Times New Roman"/>
                <w:b/>
                <w:bCs/>
                <w:color w:val="auto"/>
                <w:spacing w:val="0"/>
                <w:sz w:val="21"/>
                <w:szCs w:val="21"/>
                <w:highlight w:val="none"/>
                <w:lang w:val="en-US" w:eastAsia="zh-CN"/>
              </w:rPr>
              <w:t>2</w:t>
            </w:r>
            <w:r>
              <w:rPr>
                <w:rFonts w:hint="default" w:ascii="Times New Roman" w:hAnsi="Times New Roman" w:eastAsia="宋体" w:cs="Times New Roman"/>
                <w:b/>
                <w:bCs/>
                <w:color w:val="auto"/>
                <w:spacing w:val="0"/>
                <w:sz w:val="21"/>
                <w:szCs w:val="21"/>
                <w:highlight w:val="none"/>
                <w:lang w:val="en-US" w:eastAsia="zh-CN"/>
              </w:rPr>
              <w:t xml:space="preserve">  声环境质量标准2类标准限值    单位：dB（A）</w:t>
            </w:r>
          </w:p>
          <w:tbl>
            <w:tblPr>
              <w:tblStyle w:val="25"/>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eastAsia"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50</w:t>
                  </w:r>
                </w:p>
              </w:tc>
            </w:tr>
          </w:tbl>
          <w:p w14:paraId="7603DA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2579481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E4C3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79B9FC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E7AA9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4CE607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90B81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0E00E1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7F754B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1C3C3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53375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053A6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78936A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1D626A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51F16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C802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4BF90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3AD479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598E5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FA349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2BFA15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5F8A1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DE9E5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1D04F8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79DADE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1280BF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35899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377C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6FF32F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4EE5E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B977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6A8D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4134EE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B708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160A8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1ED73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3B9B5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6E67E0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3FF27C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87E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29C505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322749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127A1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07A6B7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A1906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3C18A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42A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39D819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674BA8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2A85D5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0C8A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33B1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2C941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108728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DFB4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7CEB54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7C081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12C86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236C9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59DE27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778DC8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19FCC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1EA6B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4302BE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787C9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69445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DA73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19050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67BECC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68B604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254BBF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12CAF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0E951739">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698C577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自本项目取得环评批复以来，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w:t>
            </w:r>
            <w:r>
              <w:rPr>
                <w:rFonts w:hint="default" w:ascii="Times New Roman" w:hAnsi="Times New Roman" w:eastAsia="宋体" w:cs="Times New Roman"/>
                <w:b/>
                <w:bCs/>
                <w:color w:val="auto"/>
                <w:sz w:val="24"/>
                <w:szCs w:val="24"/>
                <w:highlight w:val="none"/>
                <w:lang w:val="en-US" w:eastAsia="zh-CN" w:bidi="ar-SA"/>
              </w:rPr>
              <w:t>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 2020 年修改单中第三阶段的标准限值；施工期扬尘执行《大气污染物综合排放标准》（GB16297-1996）表 2 中无组织排放监控浓度限值；非甲烷总烃无组织</w:t>
            </w:r>
            <w:r>
              <w:rPr>
                <w:rFonts w:hint="default" w:ascii="Times New Roman" w:hAnsi="Times New Roman" w:eastAsia="宋体" w:cs="Times New Roman"/>
                <w:b w:val="0"/>
                <w:bCs w:val="0"/>
                <w:color w:val="auto"/>
                <w:sz w:val="24"/>
                <w:szCs w:val="24"/>
                <w:highlight w:val="none"/>
                <w:lang w:val="en-US" w:eastAsia="zh-CN" w:bidi="ar-SA"/>
              </w:rPr>
              <w:t>排放执行</w:t>
            </w:r>
            <w:r>
              <w:rPr>
                <w:rFonts w:hint="eastAsia" w:ascii="Times New Roman" w:hAnsi="Times New Roman" w:eastAsia="宋体" w:cs="Times New Roman"/>
                <w:b w:val="0"/>
                <w:bCs w:val="0"/>
                <w:color w:val="auto"/>
                <w:sz w:val="24"/>
                <w:szCs w:val="24"/>
                <w:highlight w:val="none"/>
                <w:lang w:val="en-US" w:eastAsia="zh-CN" w:bidi="ar-SA"/>
              </w:rPr>
              <w:t>《陆上石油石油开采工业大气污染物排放标准》（GB39728-2020）。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auto"/>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eastAsia"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施工期厂界噪声执行《建筑施工场界环境噪声排放标准》（GB12523-2011）中的限值，具体标准见表3-5。</w:t>
            </w:r>
          </w:p>
          <w:p w14:paraId="580E1EEF">
            <w:pPr>
              <w:pStyle w:val="83"/>
              <w:keepNext w:val="0"/>
              <w:keepLines w:val="0"/>
              <w:suppressLineNumbers w:val="0"/>
              <w:spacing w:before="0" w:beforeAutospacing="0" w:after="0" w:afterAutospacing="0" w:line="240" w:lineRule="auto"/>
              <w:ind w:left="0" w:right="0" w:firstLine="0" w:firstLineChars="0"/>
              <w:rPr>
                <w:rFonts w:hint="default" w:eastAsia="宋体"/>
                <w:b/>
                <w:bCs/>
                <w:snapToGrid/>
                <w:color w:val="auto"/>
                <w:kern w:val="2"/>
                <w:sz w:val="21"/>
                <w:szCs w:val="21"/>
              </w:rPr>
            </w:pPr>
            <w:r>
              <w:rPr>
                <w:rFonts w:hint="default" w:eastAsia="宋体"/>
                <w:b/>
                <w:bCs/>
                <w:snapToGrid/>
                <w:color w:val="auto"/>
                <w:kern w:val="2"/>
                <w:sz w:val="21"/>
                <w:szCs w:val="21"/>
              </w:rPr>
              <w:t>表</w:t>
            </w:r>
            <w:r>
              <w:rPr>
                <w:rFonts w:hint="eastAsia" w:eastAsia="宋体"/>
                <w:b/>
                <w:bCs/>
                <w:snapToGrid/>
                <w:color w:val="auto"/>
                <w:kern w:val="2"/>
                <w:sz w:val="21"/>
                <w:szCs w:val="21"/>
                <w:lang w:val="en-US" w:eastAsia="zh-CN"/>
              </w:rPr>
              <w:t>3-5</w:t>
            </w:r>
            <w:r>
              <w:rPr>
                <w:rFonts w:hint="default" w:eastAsia="宋体"/>
                <w:b/>
                <w:bCs/>
                <w:snapToGrid/>
                <w:color w:val="auto"/>
                <w:kern w:val="2"/>
                <w:sz w:val="21"/>
                <w:szCs w:val="21"/>
              </w:rPr>
              <w:t xml:space="preserve">  建筑施工场界环境噪声排放标准</w:t>
            </w:r>
          </w:p>
          <w:tbl>
            <w:tblPr>
              <w:tblStyle w:val="25"/>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D7F248">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昼间dB（A）</w:t>
                  </w:r>
                </w:p>
              </w:tc>
              <w:tc>
                <w:tcPr>
                  <w:tcW w:w="2499" w:type="pct"/>
                  <w:tcBorders>
                    <w:tl2br w:val="nil"/>
                    <w:tr2bl w:val="nil"/>
                  </w:tcBorders>
                  <w:noWrap w:val="0"/>
                  <w:vAlign w:val="center"/>
                </w:tcPr>
                <w:p w14:paraId="5CB100DC">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70</w:t>
                  </w:r>
                </w:p>
              </w:tc>
              <w:tc>
                <w:tcPr>
                  <w:tcW w:w="2499" w:type="pct"/>
                  <w:tcBorders>
                    <w:tl2br w:val="nil"/>
                    <w:tr2bl w:val="nil"/>
                  </w:tcBorders>
                  <w:noWrap w:val="0"/>
                  <w:vAlign w:val="center"/>
                </w:tcPr>
                <w:p w14:paraId="2ED45DF7">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本项目废水拉运至泾河8撬装式水净化站处理达标后回注油层，</w:t>
            </w:r>
            <w:r>
              <w:rPr>
                <w:rFonts w:hint="default" w:ascii="Times New Roman" w:hAnsi="Times New Roman" w:eastAsia="宋体" w:cs="Times New Roman"/>
                <w:color w:val="auto"/>
                <w:kern w:val="0"/>
                <w:sz w:val="24"/>
                <w:lang w:val="en-US" w:eastAsia="zh-CN"/>
              </w:rPr>
              <w:t>不外排</w:t>
            </w:r>
            <w:r>
              <w:rPr>
                <w:rFonts w:hint="eastAsia" w:ascii="Times New Roman" w:hAnsi="Times New Roman" w:eastAsia="宋体" w:cs="Times New Roman"/>
                <w:color w:val="auto"/>
                <w:kern w:val="0"/>
                <w:sz w:val="24"/>
                <w:lang w:val="en-US" w:eastAsia="zh-CN"/>
              </w:rPr>
              <w:t>。该站执行《碎屑岩油藏注水水质指标技术要求及分析方法》（SY-T5329－2022）中相关回注标准要求。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eastAsia"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w:t>
            </w:r>
            <w:r>
              <w:rPr>
                <w:rFonts w:hint="eastAsia" w:ascii="Times New Roman" w:hAnsi="Times New Roman" w:eastAsia="宋体" w:cs="Times New Roman"/>
                <w:color w:val="auto"/>
                <w:kern w:val="0"/>
                <w:sz w:val="24"/>
                <w:lang w:val="en-US" w:eastAsia="zh-CN"/>
              </w:rPr>
              <w:t>一般工业固体废物贮存和填埋污染控制标准</w:t>
            </w:r>
            <w:r>
              <w:rPr>
                <w:rFonts w:hint="default" w:ascii="Times New Roman" w:hAnsi="Times New Roman" w:eastAsia="宋体" w:cs="Times New Roman"/>
                <w:color w:val="auto"/>
                <w:kern w:val="0"/>
                <w:sz w:val="24"/>
                <w:lang w:val="en-US" w:eastAsia="zh-CN"/>
              </w:rPr>
              <w:t>》（GB18599-2020）；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eastAsia" w:ascii="Times New Roman" w:hAnsi="Times New Roman" w:eastAsia="宋体" w:cs="Times New Roman"/>
                <w:color w:val="auto"/>
                <w:kern w:val="0"/>
                <w:sz w:val="24"/>
                <w:lang w:val="en-US" w:eastAsia="zh-CN"/>
              </w:rPr>
              <w:t>危险废物执行《危险废物贮存污染控制标准》（GB18597-2023）中有关规定</w:t>
            </w:r>
            <w:r>
              <w:rPr>
                <w:rFonts w:hint="default" w:ascii="Times New Roman" w:hAnsi="Times New Roman" w:eastAsia="宋体" w:cs="Times New Roman"/>
                <w:color w:val="auto"/>
                <w:kern w:val="0"/>
                <w:sz w:val="24"/>
                <w:lang w:val="en-US" w:eastAsia="zh-CN"/>
              </w:rPr>
              <w:t>。</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33998A6D">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default"/>
                <w:lang w:val="en-US" w:eastAsia="zh-CN"/>
              </w:rPr>
            </w:pPr>
            <w:r>
              <w:rPr>
                <w:rFonts w:hint="eastAsia" w:ascii="Times New Roman" w:hAnsi="Times New Roman" w:eastAsia="宋体" w:cs="Times New Roman"/>
                <w:b w:val="0"/>
                <w:color w:val="auto"/>
                <w:kern w:val="0"/>
                <w:sz w:val="24"/>
                <w:szCs w:val="22"/>
                <w:lang w:val="en-US" w:eastAsia="zh-CN" w:bidi="ar-SA"/>
              </w:rPr>
              <w:t>本项目为</w:t>
            </w:r>
            <w:r>
              <w:rPr>
                <w:rFonts w:hint="eastAsia" w:cs="Times New Roman"/>
                <w:b w:val="0"/>
                <w:color w:val="auto"/>
                <w:kern w:val="0"/>
                <w:sz w:val="24"/>
                <w:szCs w:val="22"/>
                <w:lang w:val="en-US" w:eastAsia="zh-CN" w:bidi="ar-SA"/>
              </w:rPr>
              <w:t>石油勘探</w:t>
            </w:r>
            <w:r>
              <w:rPr>
                <w:rFonts w:hint="eastAsia" w:ascii="Times New Roman" w:hAnsi="Times New Roman" w:eastAsia="宋体" w:cs="Times New Roman"/>
                <w:b w:val="0"/>
                <w:color w:val="auto"/>
                <w:kern w:val="0"/>
                <w:sz w:val="24"/>
                <w:szCs w:val="22"/>
                <w:lang w:val="en-US" w:eastAsia="zh-CN" w:bidi="ar-SA"/>
              </w:rPr>
              <w:t>项目，勘探钻井试</w:t>
            </w:r>
            <w:r>
              <w:rPr>
                <w:rFonts w:hint="eastAsia" w:cs="Times New Roman"/>
                <w:b w:val="0"/>
                <w:color w:val="auto"/>
                <w:kern w:val="0"/>
                <w:sz w:val="24"/>
                <w:szCs w:val="22"/>
                <w:lang w:val="en-US" w:eastAsia="zh-CN" w:bidi="ar-SA"/>
              </w:rPr>
              <w:t>油</w:t>
            </w:r>
            <w:r>
              <w:rPr>
                <w:rFonts w:hint="eastAsia" w:ascii="Times New Roman" w:hAnsi="Times New Roman" w:eastAsia="宋体" w:cs="Times New Roman"/>
                <w:b w:val="0"/>
                <w:color w:val="auto"/>
                <w:kern w:val="0"/>
                <w:sz w:val="24"/>
                <w:szCs w:val="22"/>
                <w:lang w:val="en-US" w:eastAsia="zh-CN" w:bidi="ar-SA"/>
              </w:rPr>
              <w:t>完成后即停止产污，无废水产生，无废气产生，同时依据环评及批复文件，项目不涉及总</w:t>
            </w:r>
            <w:r>
              <w:rPr>
                <w:rFonts w:hint="eastAsia" w:ascii="Times New Roman" w:hAnsi="Times New Roman" w:eastAsia="宋体" w:cs="Times New Roman"/>
                <w:b w:val="0"/>
                <w:bCs w:val="0"/>
                <w:color w:val="auto"/>
                <w:kern w:val="0"/>
                <w:sz w:val="24"/>
                <w:szCs w:val="22"/>
                <w:lang w:val="en-US" w:eastAsia="zh-CN" w:bidi="ar-SA"/>
              </w:rPr>
              <w:t>量控制指标申</w:t>
            </w:r>
            <w:r>
              <w:rPr>
                <w:rFonts w:hint="eastAsia" w:ascii="宋体" w:hAnsi="宋体" w:eastAsia="宋体" w:cs="宋体"/>
                <w:b w:val="0"/>
                <w:bCs w:val="0"/>
                <w:color w:val="000000"/>
                <w:kern w:val="0"/>
                <w:sz w:val="24"/>
                <w:szCs w:val="24"/>
                <w:lang w:val="en-US" w:eastAsia="zh-CN" w:bidi="ar"/>
              </w:rPr>
              <w:t>请</w:t>
            </w:r>
            <w:r>
              <w:rPr>
                <w:rFonts w:hint="eastAsia" w:ascii="Times New Roman" w:hAnsi="Times New Roman" w:eastAsia="宋体" w:cs="Times New Roman"/>
                <w:b w:val="0"/>
                <w:color w:val="auto"/>
                <w:kern w:val="0"/>
                <w:sz w:val="24"/>
                <w:szCs w:val="22"/>
                <w:lang w:val="en-US" w:eastAsia="zh-CN" w:bidi="ar-SA"/>
              </w:rPr>
              <w:t>。</w:t>
            </w:r>
          </w:p>
        </w:tc>
      </w:tr>
    </w:tbl>
    <w:p w14:paraId="0234B8B4">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2"/>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3"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3"/>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6854"/>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eastAsia" w:ascii="Times New Roman" w:hAnsi="Times New Roman" w:eastAsia="宋体" w:cs="Times New Roman"/>
                <w:color w:val="auto"/>
                <w:spacing w:val="0"/>
                <w:w w:val="100"/>
                <w:sz w:val="24"/>
                <w:szCs w:val="24"/>
                <w:highlight w:val="none"/>
                <w:lang w:eastAsia="zh-CN"/>
              </w:rPr>
              <w:t>华北油气分公司采油一厂JH55P2等3宗评价井建设项目（JH55P2）</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6927EF00">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cs="Times New Roman"/>
                <w:color w:val="auto"/>
                <w:spacing w:val="0"/>
                <w:w w:val="100"/>
                <w:sz w:val="24"/>
                <w:szCs w:val="24"/>
                <w:highlight w:val="none"/>
                <w:lang w:val="en-US" w:eastAsia="zh-CN"/>
              </w:rPr>
              <w:t>宁县平子镇平子村十一组</w:t>
            </w:r>
            <w:r>
              <w:rPr>
                <w:rFonts w:hint="default" w:ascii="Times New Roman" w:hAnsi="Times New Roman" w:cs="Times New Roman"/>
                <w:color w:val="auto"/>
                <w:spacing w:val="0"/>
                <w:w w:val="100"/>
                <w:sz w:val="24"/>
                <w:szCs w:val="24"/>
                <w:highlight w:val="none"/>
                <w:lang w:val="en-US" w:eastAsia="zh-CN"/>
              </w:rPr>
              <w:t>，坐标E</w:t>
            </w:r>
            <w:r>
              <w:rPr>
                <w:rFonts w:hint="eastAsia" w:cs="Times New Roman"/>
                <w:color w:val="auto"/>
                <w:spacing w:val="0"/>
                <w:w w:val="100"/>
                <w:sz w:val="24"/>
                <w:szCs w:val="24"/>
                <w:highlight w:val="none"/>
                <w:lang w:val="en-US" w:eastAsia="zh-CN"/>
              </w:rPr>
              <w:t>108°09′46.218″，N35°26′08.602″</w:t>
            </w:r>
            <w:r>
              <w:rPr>
                <w:rFonts w:hint="default" w:ascii="Times New Roman" w:hAnsi="Times New Roman" w:eastAsia="宋体" w:cs="Times New Roman"/>
                <w:color w:val="auto"/>
                <w:spacing w:val="0"/>
                <w:w w:val="100"/>
                <w:sz w:val="24"/>
                <w:szCs w:val="24"/>
                <w:highlight w:val="none"/>
                <w:lang w:val="en-US" w:eastAsia="zh-CN"/>
              </w:rPr>
              <w:t>。</w:t>
            </w:r>
          </w:p>
          <w:p w14:paraId="235CE52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0" w:firstLineChars="0"/>
              <w:jc w:val="both"/>
              <w:textAlignment w:val="auto"/>
              <w:rPr>
                <w:rFonts w:hint="default" w:ascii="Times New Roman" w:hAnsi="Times New Roman" w:cs="Times New Roman"/>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本项目为石油勘探井的钻试工程，只有钻井过程和试油期，不涉及运行期和闭井期。验收范围</w:t>
            </w:r>
            <w:r>
              <w:rPr>
                <w:rFonts w:hint="default" w:ascii="Times New Roman" w:hAnsi="Times New Roman" w:cs="Times New Roman"/>
                <w:color w:val="auto"/>
                <w:sz w:val="24"/>
                <w:szCs w:val="24"/>
                <w:lang w:val="en-US" w:eastAsia="zh-CN"/>
              </w:rPr>
              <w:t>井场</w:t>
            </w:r>
            <w:r>
              <w:rPr>
                <w:rFonts w:hint="default" w:ascii="Times New Roman" w:hAnsi="Times New Roman" w:eastAsia="宋体" w:cs="Times New Roman"/>
                <w:color w:val="auto"/>
                <w:sz w:val="24"/>
                <w:szCs w:val="24"/>
                <w:lang w:val="en-US" w:eastAsia="zh-CN"/>
              </w:rPr>
              <w:t>钻井与试油工程进行验收</w:t>
            </w:r>
            <w:r>
              <w:rPr>
                <w:rFonts w:hint="default" w:ascii="Times New Roman" w:hAnsi="Times New Roman"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en-US" w:eastAsia="zh-CN" w:bidi="ar-SA"/>
              </w:rPr>
              <w:t>表 4-1 工程实施及现状情况一览表</w:t>
            </w:r>
          </w:p>
          <w:tbl>
            <w:tblPr>
              <w:tblStyle w:val="26"/>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444"/>
              <w:gridCol w:w="1005"/>
              <w:gridCol w:w="1911"/>
              <w:gridCol w:w="2277"/>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实际井深</w:t>
                  </w:r>
                </w:p>
              </w:tc>
              <w:tc>
                <w:tcPr>
                  <w:tcW w:w="1005"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井型</w:t>
                  </w:r>
                </w:p>
              </w:tc>
              <w:tc>
                <w:tcPr>
                  <w:tcW w:w="1911"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是否具备工业油流</w:t>
                  </w:r>
                </w:p>
              </w:tc>
              <w:tc>
                <w:tcPr>
                  <w:tcW w:w="2277"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目前现状</w:t>
                  </w:r>
                </w:p>
              </w:tc>
            </w:tr>
            <w:tr w14:paraId="1E55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1322D4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JH55P2</w:t>
                  </w:r>
                </w:p>
              </w:tc>
              <w:tc>
                <w:tcPr>
                  <w:tcW w:w="1444" w:type="dxa"/>
                  <w:tcBorders>
                    <w:tl2br w:val="nil"/>
                    <w:tr2bl w:val="nil"/>
                  </w:tcBorders>
                  <w:shd w:val="clear" w:color="auto" w:fill="auto"/>
                  <w:vAlign w:val="center"/>
                </w:tcPr>
                <w:p w14:paraId="210B1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2012m</w:t>
                  </w:r>
                </w:p>
              </w:tc>
              <w:tc>
                <w:tcPr>
                  <w:tcW w:w="1005" w:type="dxa"/>
                  <w:tcBorders>
                    <w:tl2br w:val="nil"/>
                    <w:tr2bl w:val="nil"/>
                  </w:tcBorders>
                  <w:vAlign w:val="center"/>
                </w:tcPr>
                <w:p w14:paraId="1C94E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水平井</w:t>
                  </w:r>
                </w:p>
              </w:tc>
              <w:tc>
                <w:tcPr>
                  <w:tcW w:w="1911" w:type="dxa"/>
                  <w:tcBorders>
                    <w:tl2br w:val="nil"/>
                    <w:tr2bl w:val="nil"/>
                  </w:tcBorders>
                  <w:vAlign w:val="center"/>
                </w:tcPr>
                <w:p w14:paraId="6A2A3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w:t>
                  </w:r>
                </w:p>
              </w:tc>
              <w:tc>
                <w:tcPr>
                  <w:tcW w:w="2277" w:type="dxa"/>
                  <w:tcBorders>
                    <w:tl2br w:val="nil"/>
                    <w:tr2bl w:val="nil"/>
                  </w:tcBorders>
                  <w:vAlign w:val="center"/>
                </w:tcPr>
                <w:p w14:paraId="7D7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临时关井，待转产</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 xml:space="preserve">4-2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5"/>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57" w:type="dxa"/>
                <w:left w:w="108" w:type="dxa"/>
                <w:bottom w:w="57" w:type="dxa"/>
                <w:right w:w="108" w:type="dxa"/>
              </w:tblCellMar>
            </w:tblPr>
            <w:tblGrid>
              <w:gridCol w:w="427"/>
              <w:gridCol w:w="672"/>
              <w:gridCol w:w="2620"/>
              <w:gridCol w:w="2342"/>
              <w:gridCol w:w="715"/>
              <w:gridCol w:w="1492"/>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tblHeader/>
                <w:jc w:val="center"/>
              </w:trPr>
              <w:tc>
                <w:tcPr>
                  <w:tcW w:w="258" w:type="pct"/>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406"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584"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416"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432"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902"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5255B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tcBorders>
                    <w:tl2br w:val="nil"/>
                    <w:tr2bl w:val="nil"/>
                  </w:tcBorders>
                  <w:noWrap w:val="0"/>
                  <w:vAlign w:val="center"/>
                </w:tcPr>
                <w:p w14:paraId="426CC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4D1F9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406" w:type="pct"/>
                  <w:tcBorders>
                    <w:tl2br w:val="nil"/>
                    <w:tr2bl w:val="nil"/>
                  </w:tcBorders>
                  <w:noWrap w:val="0"/>
                  <w:vAlign w:val="center"/>
                </w:tcPr>
                <w:p w14:paraId="30D7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井场</w:t>
                  </w:r>
                  <w:r>
                    <w:rPr>
                      <w:rFonts w:hint="default" w:ascii="Times New Roman" w:hAnsi="Times New Roman" w:eastAsia="宋体" w:cs="Times New Roman"/>
                      <w:color w:val="auto"/>
                      <w:spacing w:val="0"/>
                      <w:sz w:val="21"/>
                      <w:szCs w:val="21"/>
                      <w:highlight w:val="none"/>
                    </w:rPr>
                    <w:t>工程</w:t>
                  </w:r>
                </w:p>
              </w:tc>
              <w:tc>
                <w:tcPr>
                  <w:tcW w:w="1584" w:type="pct"/>
                  <w:tcBorders>
                    <w:tl2br w:val="nil"/>
                    <w:tr2bl w:val="nil"/>
                  </w:tcBorders>
                  <w:shd w:val="clear" w:color="auto" w:fill="auto"/>
                  <w:noWrap w:val="0"/>
                  <w:vAlign w:val="center"/>
                </w:tcPr>
                <w:p w14:paraId="29BD6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本项目共包括3宗油探井</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均为水平井</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设计平均钻井进尺为2</w:t>
                  </w:r>
                  <w:r>
                    <w:rPr>
                      <w:rFonts w:hint="default" w:ascii="Times New Roman" w:hAnsi="Times New Roman" w:eastAsia="宋体" w:cs="Times New Roman"/>
                      <w:color w:val="auto"/>
                      <w:spacing w:val="0"/>
                      <w:sz w:val="21"/>
                      <w:szCs w:val="21"/>
                      <w:highlight w:val="none"/>
                      <w:lang w:val="en-US" w:eastAsia="zh-CN"/>
                    </w:rPr>
                    <w:t>666</w:t>
                  </w:r>
                  <w:r>
                    <w:rPr>
                      <w:rFonts w:hint="default" w:ascii="Times New Roman" w:hAnsi="Times New Roman" w:eastAsia="宋体" w:cs="Times New Roman"/>
                      <w:color w:val="auto"/>
                      <w:spacing w:val="0"/>
                      <w:sz w:val="21"/>
                      <w:szCs w:val="21"/>
                      <w:highlight w:val="none"/>
                    </w:rPr>
                    <w:t>m</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钻机型号为ZJ-40</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工程包括钻井成套设备搬运、安装、调试、钻进、录井、测井、固井等环节。</w:t>
                  </w:r>
                </w:p>
              </w:tc>
              <w:tc>
                <w:tcPr>
                  <w:tcW w:w="1416" w:type="pct"/>
                  <w:tcBorders>
                    <w:tl2br w:val="nil"/>
                    <w:tr2bl w:val="nil"/>
                  </w:tcBorders>
                  <w:noWrap w:val="0"/>
                  <w:vAlign w:val="center"/>
                </w:tcPr>
                <w:p w14:paraId="7CE37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JH55P2</w:t>
                  </w:r>
                  <w:r>
                    <w:rPr>
                      <w:rFonts w:hint="default" w:ascii="Times New Roman" w:hAnsi="Times New Roman" w:eastAsia="宋体" w:cs="Times New Roman"/>
                      <w:color w:val="auto"/>
                      <w:spacing w:val="0"/>
                      <w:sz w:val="21"/>
                      <w:szCs w:val="21"/>
                      <w:highlight w:val="none"/>
                      <w:lang w:val="en-US" w:eastAsia="zh-CN"/>
                    </w:rPr>
                    <w:t>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分别为：</w:t>
                  </w:r>
                  <w:r>
                    <w:rPr>
                      <w:rFonts w:hint="eastAsia" w:ascii="Times New Roman" w:hAnsi="Times New Roman" w:eastAsia="宋体" w:cs="Times New Roman"/>
                      <w:color w:val="auto"/>
                      <w:spacing w:val="-4"/>
                      <w:kern w:val="21"/>
                      <w:sz w:val="21"/>
                      <w:szCs w:val="21"/>
                      <w:highlight w:val="none"/>
                      <w:lang w:val="en-US" w:eastAsia="zh-CN"/>
                    </w:rPr>
                    <w:t>2012m</w:t>
                  </w:r>
                  <w:r>
                    <w:rPr>
                      <w:rFonts w:hint="default" w:ascii="Times New Roman" w:hAnsi="Times New Roman" w:eastAsia="宋体" w:cs="Times New Roman"/>
                      <w:color w:val="auto"/>
                      <w:spacing w:val="0"/>
                      <w:sz w:val="21"/>
                      <w:szCs w:val="21"/>
                      <w:highlight w:val="none"/>
                    </w:rPr>
                    <w:t>，均为</w:t>
                  </w:r>
                  <w:r>
                    <w:rPr>
                      <w:rFonts w:hint="eastAsia" w:ascii="Times New Roman" w:hAnsi="Times New Roman" w:eastAsia="宋体" w:cs="Times New Roman"/>
                      <w:color w:val="auto"/>
                      <w:spacing w:val="0"/>
                      <w:sz w:val="21"/>
                      <w:szCs w:val="21"/>
                      <w:highlight w:val="none"/>
                      <w:lang w:val="en-US" w:eastAsia="zh-CN"/>
                    </w:rPr>
                    <w:t>水平</w:t>
                  </w:r>
                  <w:r>
                    <w:rPr>
                      <w:rFonts w:hint="default" w:ascii="Times New Roman" w:hAnsi="Times New Roman" w:eastAsia="宋体" w:cs="Times New Roman"/>
                      <w:color w:val="auto"/>
                      <w:spacing w:val="0"/>
                      <w:sz w:val="21"/>
                      <w:szCs w:val="21"/>
                      <w:highlight w:val="none"/>
                    </w:rPr>
                    <w:t>井，钻机型号为ZJ-40，</w:t>
                  </w:r>
                  <w:r>
                    <w:rPr>
                      <w:rFonts w:hint="default" w:ascii="Times New Roman" w:hAnsi="Times New Roman" w:eastAsia="宋体" w:cs="Times New Roman"/>
                      <w:color w:val="FF0000"/>
                      <w:spacing w:val="0"/>
                      <w:sz w:val="21"/>
                      <w:szCs w:val="21"/>
                      <w:highlight w:val="none"/>
                      <w:lang w:val="en-US" w:eastAsia="zh-CN"/>
                    </w:rPr>
                    <w:t>目的层位为长6、长7</w:t>
                  </w:r>
                  <w:r>
                    <w:rPr>
                      <w:rFonts w:hint="eastAsia" w:ascii="Times New Roman" w:hAnsi="Times New Roman" w:eastAsia="宋体" w:cs="Times New Roman"/>
                      <w:color w:val="FF0000"/>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工程包括钻井成套设备搬运、安装、调试、钻进、录井、测井、固井等环节。</w:t>
                  </w:r>
                </w:p>
              </w:tc>
              <w:tc>
                <w:tcPr>
                  <w:tcW w:w="432" w:type="pct"/>
                  <w:tcBorders>
                    <w:tl2br w:val="nil"/>
                    <w:tr2bl w:val="nil"/>
                  </w:tcBorders>
                  <w:noWrap w:val="0"/>
                  <w:vAlign w:val="center"/>
                </w:tcPr>
                <w:p w14:paraId="2EC9E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基本一致</w:t>
                  </w:r>
                </w:p>
              </w:tc>
              <w:tc>
                <w:tcPr>
                  <w:tcW w:w="902" w:type="pct"/>
                  <w:tcBorders>
                    <w:tl2br w:val="nil"/>
                    <w:tr2bl w:val="nil"/>
                  </w:tcBorders>
                  <w:noWrap w:val="0"/>
                  <w:vAlign w:val="center"/>
                </w:tcPr>
                <w:p w14:paraId="3B179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本次验收只针对环评批复中涉及的</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口井，勘探深度变浅，根据项目场址处实际地层情况，对钻井深度进行了微调，钻井目的层未发生改变</w:t>
                  </w:r>
                </w:p>
              </w:tc>
            </w:tr>
            <w:tr w14:paraId="16DBE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5CF93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配套工程</w:t>
                  </w:r>
                </w:p>
              </w:tc>
              <w:tc>
                <w:tcPr>
                  <w:tcW w:w="406" w:type="pct"/>
                  <w:vMerge w:val="restart"/>
                  <w:tcBorders>
                    <w:tl2br w:val="nil"/>
                    <w:tr2bl w:val="nil"/>
                  </w:tcBorders>
                  <w:noWrap w:val="0"/>
                  <w:vAlign w:val="center"/>
                </w:tcPr>
                <w:p w14:paraId="7BAD22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钻前工程</w:t>
                  </w:r>
                </w:p>
              </w:tc>
              <w:tc>
                <w:tcPr>
                  <w:tcW w:w="1584" w:type="pct"/>
                  <w:tcBorders>
                    <w:tl2br w:val="nil"/>
                    <w:tr2bl w:val="nil"/>
                  </w:tcBorders>
                  <w:shd w:val="clear" w:color="auto" w:fill="auto"/>
                  <w:noWrap w:val="0"/>
                  <w:vAlign w:val="center"/>
                </w:tcPr>
                <w:p w14:paraId="762E50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钻前准备工作</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包括表土剥离</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局部井场平整及硬化</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修建临时道路</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修建设备基础、降排水（污）措施等。井场配套布置安装泥浆不落地设备、生活区、发电室等</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井场设置表土堆放场。</w:t>
                  </w:r>
                </w:p>
              </w:tc>
              <w:tc>
                <w:tcPr>
                  <w:tcW w:w="1416" w:type="pct"/>
                  <w:tcBorders>
                    <w:tl2br w:val="nil"/>
                    <w:tr2bl w:val="nil"/>
                  </w:tcBorders>
                  <w:shd w:val="clear" w:color="auto" w:fill="auto"/>
                  <w:noWrap w:val="0"/>
                  <w:vAlign w:val="center"/>
                </w:tcPr>
                <w:p w14:paraId="769B5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钻前准备工作，包括局部井场平整及硬化，修建临时道路，修建设备基础、降排水（污）措施、泥浆罐等。井场配套布置安装泥浆设备、发电室等，</w:t>
                  </w:r>
                  <w:r>
                    <w:rPr>
                      <w:rFonts w:hint="default" w:ascii="Times New Roman" w:hAnsi="Times New Roman" w:eastAsia="宋体" w:cs="Times New Roman"/>
                      <w:color w:val="auto"/>
                      <w:spacing w:val="0"/>
                      <w:sz w:val="21"/>
                      <w:szCs w:val="21"/>
                      <w:highlight w:val="none"/>
                      <w:lang w:eastAsia="zh-CN"/>
                    </w:rPr>
                    <w:t>井场设置表土堆放场</w:t>
                  </w:r>
                </w:p>
              </w:tc>
              <w:tc>
                <w:tcPr>
                  <w:tcW w:w="432" w:type="pct"/>
                  <w:tcBorders>
                    <w:tl2br w:val="nil"/>
                    <w:tr2bl w:val="nil"/>
                  </w:tcBorders>
                  <w:noWrap w:val="0"/>
                  <w:vAlign w:val="center"/>
                </w:tcPr>
                <w:p w14:paraId="7280B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3599B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6B3E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7EDDF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7051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604690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需在钻井前进行场地平整等作业，每个井场各安装钻井基础设备1套。</w:t>
                  </w:r>
                </w:p>
              </w:tc>
              <w:tc>
                <w:tcPr>
                  <w:tcW w:w="1416" w:type="pct"/>
                  <w:tcBorders>
                    <w:tl2br w:val="nil"/>
                    <w:tr2bl w:val="nil"/>
                  </w:tcBorders>
                  <w:shd w:val="clear" w:color="auto" w:fill="auto"/>
                  <w:noWrap w:val="0"/>
                  <w:vAlign w:val="center"/>
                </w:tcPr>
                <w:p w14:paraId="0E2E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需在钻井前进行场地平整等作业，每个井场各安装钻井基础设备1套。</w:t>
                  </w:r>
                </w:p>
              </w:tc>
              <w:tc>
                <w:tcPr>
                  <w:tcW w:w="432" w:type="pct"/>
                  <w:tcBorders>
                    <w:tl2br w:val="nil"/>
                    <w:tr2bl w:val="nil"/>
                  </w:tcBorders>
                  <w:noWrap w:val="0"/>
                  <w:vAlign w:val="center"/>
                </w:tcPr>
                <w:p w14:paraId="4C9E0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1455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243F0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A62B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18EC5E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39005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井场井口位于井场中部，占地面积约3</w:t>
                  </w:r>
                  <w:r>
                    <w:rPr>
                      <w:rFonts w:hint="default" w:ascii="Times New Roman" w:hAnsi="Times New Roman" w:eastAsia="宋体" w:cs="Times New Roman"/>
                      <w:color w:val="auto"/>
                      <w:spacing w:val="0"/>
                      <w:sz w:val="21"/>
                      <w:szCs w:val="21"/>
                      <w:highlight w:val="none"/>
                      <w:lang w:val="en-US" w:eastAsia="zh-CN"/>
                    </w:rPr>
                    <w:t>0</w:t>
                  </w:r>
                  <w:r>
                    <w:rPr>
                      <w:rFonts w:hint="default" w:ascii="Times New Roman" w:hAnsi="Times New Roman" w:eastAsia="宋体" w:cs="Times New Roman"/>
                      <w:color w:val="auto"/>
                      <w:spacing w:val="0"/>
                      <w:sz w:val="21"/>
                      <w:szCs w:val="21"/>
                      <w:highlight w:val="none"/>
                      <w:lang w:eastAsia="zh-CN"/>
                    </w:rPr>
                    <w:t>0m</w:t>
                  </w:r>
                  <w:r>
                    <w:rPr>
                      <w:rFonts w:hint="default" w:ascii="Times New Roman" w:hAnsi="Times New Roman" w:eastAsia="宋体" w:cs="Times New Roman"/>
                      <w:color w:val="auto"/>
                      <w:spacing w:val="0"/>
                      <w:sz w:val="21"/>
                      <w:szCs w:val="21"/>
                      <w:highlight w:val="none"/>
                      <w:vertAlign w:val="superscript"/>
                      <w:lang w:eastAsia="zh-CN"/>
                    </w:rPr>
                    <w:t>2</w:t>
                  </w:r>
                  <w:r>
                    <w:rPr>
                      <w:rFonts w:hint="default" w:ascii="Times New Roman" w:hAnsi="Times New Roman" w:eastAsia="宋体" w:cs="Times New Roman"/>
                      <w:color w:val="auto"/>
                      <w:spacing w:val="0"/>
                      <w:sz w:val="21"/>
                      <w:szCs w:val="21"/>
                      <w:highlight w:val="none"/>
                      <w:lang w:eastAsia="zh-CN"/>
                    </w:rPr>
                    <w:t>，钻机设备安装基础。</w:t>
                  </w:r>
                </w:p>
              </w:tc>
              <w:tc>
                <w:tcPr>
                  <w:tcW w:w="1416" w:type="pct"/>
                  <w:tcBorders>
                    <w:tl2br w:val="nil"/>
                    <w:tr2bl w:val="nil"/>
                  </w:tcBorders>
                  <w:shd w:val="clear" w:color="auto" w:fill="auto"/>
                  <w:noWrap w:val="0"/>
                  <w:vAlign w:val="center"/>
                </w:tcPr>
                <w:p w14:paraId="002EAC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井场井口位于井场中部，占地面积约300m</w:t>
                  </w:r>
                  <w:r>
                    <w:rPr>
                      <w:rFonts w:hint="default" w:ascii="Times New Roman" w:hAnsi="Times New Roman" w:eastAsia="宋体" w:cs="Times New Roman"/>
                      <w:color w:val="auto"/>
                      <w:spacing w:val="-4"/>
                      <w:kern w:val="21"/>
                      <w:sz w:val="21"/>
                      <w:szCs w:val="21"/>
                      <w:highlight w:val="none"/>
                      <w:vertAlign w:val="superscript"/>
                      <w:lang w:val="en-US" w:eastAsia="zh-CN"/>
                    </w:rPr>
                    <w:t>2</w:t>
                  </w:r>
                  <w:r>
                    <w:rPr>
                      <w:rFonts w:hint="default" w:ascii="Times New Roman" w:hAnsi="Times New Roman" w:eastAsia="宋体" w:cs="Times New Roman"/>
                      <w:color w:val="auto"/>
                      <w:spacing w:val="-4"/>
                      <w:kern w:val="21"/>
                      <w:sz w:val="21"/>
                      <w:szCs w:val="21"/>
                      <w:highlight w:val="none"/>
                      <w:lang w:val="en-US" w:eastAsia="zh-CN"/>
                    </w:rPr>
                    <w:t>，钻机设备安装基础。</w:t>
                  </w:r>
                </w:p>
              </w:tc>
              <w:tc>
                <w:tcPr>
                  <w:tcW w:w="432" w:type="pct"/>
                  <w:tcBorders>
                    <w:tl2br w:val="nil"/>
                    <w:tr2bl w:val="nil"/>
                  </w:tcBorders>
                  <w:noWrap w:val="0"/>
                  <w:vAlign w:val="center"/>
                </w:tcPr>
                <w:p w14:paraId="7E02E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1219D6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A86F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F3E8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9DCD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7940B4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井架基础采用钢木结构活动基础（2m×4m×0.2m），承载能力不小于0.15MPa，使用完后拉至下一井场继续使用。</w:t>
                  </w:r>
                </w:p>
              </w:tc>
              <w:tc>
                <w:tcPr>
                  <w:tcW w:w="1416" w:type="pct"/>
                  <w:tcBorders>
                    <w:tl2br w:val="nil"/>
                    <w:tr2bl w:val="nil"/>
                  </w:tcBorders>
                  <w:shd w:val="clear" w:color="auto" w:fill="auto"/>
                  <w:noWrap w:val="0"/>
                  <w:vAlign w:val="center"/>
                </w:tcPr>
                <w:p w14:paraId="3519E7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井架基础采用钢木结构活动基础（2m×4m×0.2m），承载能力不小于0.15MPa，使用完后拉至下一井场继续使用。</w:t>
                  </w:r>
                </w:p>
              </w:tc>
              <w:tc>
                <w:tcPr>
                  <w:tcW w:w="432" w:type="pct"/>
                  <w:tcBorders>
                    <w:tl2br w:val="nil"/>
                    <w:tr2bl w:val="nil"/>
                  </w:tcBorders>
                  <w:noWrap w:val="0"/>
                  <w:vAlign w:val="center"/>
                </w:tcPr>
                <w:p w14:paraId="1E4BD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9BEFA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14E24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F9A9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058A00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完井测试</w:t>
                  </w:r>
                </w:p>
              </w:tc>
              <w:tc>
                <w:tcPr>
                  <w:tcW w:w="1584" w:type="pct"/>
                  <w:tcBorders>
                    <w:tl2br w:val="nil"/>
                    <w:tr2bl w:val="nil"/>
                  </w:tcBorders>
                  <w:shd w:val="clear" w:color="auto" w:fill="auto"/>
                  <w:noWrap w:val="0"/>
                  <w:vAlign w:val="center"/>
                </w:tcPr>
                <w:p w14:paraId="2BA0D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w:t>
                  </w:r>
                  <w:r>
                    <w:rPr>
                      <w:rFonts w:hint="default" w:ascii="Times New Roman" w:hAnsi="Times New Roman" w:eastAsia="宋体" w:cs="Times New Roman"/>
                      <w:color w:val="auto"/>
                      <w:spacing w:val="0"/>
                      <w:sz w:val="21"/>
                      <w:szCs w:val="21"/>
                      <w:highlight w:val="none"/>
                      <w:lang w:val="en-US" w:eastAsia="zh-CN"/>
                    </w:rPr>
                    <w:t>气</w:t>
                  </w:r>
                  <w:r>
                    <w:rPr>
                      <w:rFonts w:hint="default" w:ascii="Times New Roman" w:hAnsi="Times New Roman" w:eastAsia="宋体" w:cs="Times New Roman"/>
                      <w:color w:val="auto"/>
                      <w:spacing w:val="0"/>
                      <w:sz w:val="21"/>
                      <w:szCs w:val="21"/>
                      <w:highlight w:val="none"/>
                      <w:lang w:eastAsia="zh-CN"/>
                    </w:rPr>
                    <w:t>）等过程。</w:t>
                  </w:r>
                </w:p>
              </w:tc>
              <w:tc>
                <w:tcPr>
                  <w:tcW w:w="1416" w:type="pct"/>
                  <w:tcBorders>
                    <w:tl2br w:val="nil"/>
                    <w:tr2bl w:val="nil"/>
                  </w:tcBorders>
                  <w:shd w:val="clear" w:color="auto" w:fill="auto"/>
                  <w:noWrap w:val="0"/>
                  <w:vAlign w:val="center"/>
                </w:tcPr>
                <w:p w14:paraId="1B97C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当钻至目的层后，对钻井进行完井测试，以取得施工段流体性质、测试产能、底层压力等详细工程资料。完井作业包括洗井、射孔、压裂、试油等过程。</w:t>
                  </w:r>
                </w:p>
              </w:tc>
              <w:tc>
                <w:tcPr>
                  <w:tcW w:w="432" w:type="pct"/>
                  <w:tcBorders>
                    <w:tl2br w:val="nil"/>
                    <w:tr2bl w:val="nil"/>
                  </w:tcBorders>
                  <w:shd w:val="clear" w:color="auto" w:fill="auto"/>
                  <w:noWrap w:val="0"/>
                  <w:vAlign w:val="center"/>
                </w:tcPr>
                <w:p w14:paraId="6F15DB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CA2C9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9999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7AFA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1CC8DD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封井作业</w:t>
                  </w:r>
                </w:p>
              </w:tc>
              <w:tc>
                <w:tcPr>
                  <w:tcW w:w="1584" w:type="pct"/>
                  <w:tcBorders>
                    <w:tl2br w:val="nil"/>
                    <w:tr2bl w:val="nil"/>
                  </w:tcBorders>
                  <w:shd w:val="clear" w:color="auto" w:fill="auto"/>
                  <w:noWrap w:val="0"/>
                  <w:vAlign w:val="center"/>
                </w:tcPr>
                <w:p w14:paraId="21F3E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单井完成测井、录井、井下资料收集后，根据勘探结果，不具备开采价值的井口进行永久封井，并进行站场恢复；具有开采价值的井口暂停开采，</w:t>
                  </w:r>
                  <w:r>
                    <w:rPr>
                      <w:rFonts w:hint="eastAsia" w:ascii="Times New Roman" w:hAnsi="Times New Roman" w:eastAsia="宋体" w:cs="Times New Roman"/>
                      <w:color w:val="000000" w:themeColor="text1"/>
                      <w:spacing w:val="0"/>
                      <w:sz w:val="21"/>
                      <w:szCs w:val="21"/>
                      <w:highlight w:val="none"/>
                      <w:lang w:eastAsia="zh-CN"/>
                      <w14:textFill>
                        <w14:solidFill>
                          <w14:schemeClr w14:val="tx1"/>
                        </w14:solidFill>
                      </w14:textFill>
                    </w:rPr>
                    <w:t>临时关井</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，作为储备井待今后开发，移交</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井所在井场</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的区域</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进行管理，后期若利用</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井转生产井，需另行履行环保手续。</w:t>
                  </w:r>
                </w:p>
              </w:tc>
              <w:tc>
                <w:tcPr>
                  <w:tcW w:w="1416" w:type="pct"/>
                  <w:tcBorders>
                    <w:tl2br w:val="nil"/>
                    <w:tr2bl w:val="nil"/>
                  </w:tcBorders>
                  <w:noWrap w:val="0"/>
                  <w:vAlign w:val="center"/>
                </w:tcPr>
                <w:p w14:paraId="78F375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w:t>
                  </w:r>
                  <w:r>
                    <w:rPr>
                      <w:rFonts w:hint="eastAsia" w:ascii="Times New Roman" w:hAnsi="Times New Roman" w:eastAsia="宋体" w:cs="Times New Roman"/>
                      <w:color w:val="000000" w:themeColor="text1"/>
                      <w:sz w:val="21"/>
                      <w:szCs w:val="21"/>
                      <w:lang w:eastAsia="zh-CN"/>
                      <w14:textFill>
                        <w14:solidFill>
                          <w14:schemeClr w14:val="tx1"/>
                        </w14:solidFill>
                      </w14:textFill>
                    </w:rPr>
                    <w:t>JH55P2</w:t>
                  </w:r>
                  <w:r>
                    <w:rPr>
                      <w:rFonts w:hint="default" w:ascii="Times New Roman" w:hAnsi="Times New Roman" w:eastAsia="宋体" w:cs="Times New Roman"/>
                      <w:color w:val="000000" w:themeColor="text1"/>
                      <w:sz w:val="21"/>
                      <w:szCs w:val="21"/>
                      <w14:textFill>
                        <w14:solidFill>
                          <w14:schemeClr w14:val="tx1"/>
                        </w14:solidFill>
                      </w14:textFill>
                    </w:rPr>
                    <w:t>具有开采价值，</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已</w:t>
                  </w:r>
                  <w:r>
                    <w:rPr>
                      <w:rFonts w:hint="default" w:ascii="Times New Roman" w:hAnsi="Times New Roman" w:eastAsia="宋体" w:cs="Times New Roman"/>
                      <w:color w:val="000000" w:themeColor="text1"/>
                      <w:sz w:val="21"/>
                      <w:szCs w:val="21"/>
                      <w14:textFill>
                        <w14:solidFill>
                          <w14:schemeClr w14:val="tx1"/>
                        </w14:solidFill>
                      </w14:textFill>
                    </w:rPr>
                    <w:t>临时</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关</w:t>
                  </w:r>
                  <w:r>
                    <w:rPr>
                      <w:rFonts w:hint="default" w:ascii="Times New Roman" w:hAnsi="Times New Roman" w:eastAsia="宋体" w:cs="Times New Roman"/>
                      <w:color w:val="000000" w:themeColor="text1"/>
                      <w:sz w:val="21"/>
                      <w:szCs w:val="21"/>
                      <w14:textFill>
                        <w14:solidFill>
                          <w14:schemeClr w14:val="tx1"/>
                        </w14:solidFill>
                      </w14:textFill>
                    </w:rPr>
                    <w:t>井，作为储备井待今后开发，后期利用勘探井转生产井，</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移交</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井所在井场</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的区域</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进行管理，</w:t>
                  </w:r>
                  <w:r>
                    <w:rPr>
                      <w:rFonts w:hint="default" w:ascii="Times New Roman" w:hAnsi="Times New Roman" w:eastAsia="宋体" w:cs="Times New Roman"/>
                      <w:color w:val="000000" w:themeColor="text1"/>
                      <w:sz w:val="21"/>
                      <w:szCs w:val="21"/>
                      <w14:textFill>
                        <w14:solidFill>
                          <w14:schemeClr w14:val="tx1"/>
                        </w14:solidFill>
                      </w14:textFill>
                    </w:rPr>
                    <w:t>需另行履行环保手续。</w:t>
                  </w:r>
                </w:p>
              </w:tc>
              <w:tc>
                <w:tcPr>
                  <w:tcW w:w="432" w:type="pct"/>
                  <w:tcBorders>
                    <w:tl2br w:val="nil"/>
                    <w:tr2bl w:val="nil"/>
                  </w:tcBorders>
                  <w:shd w:val="clear" w:color="auto" w:fill="auto"/>
                  <w:noWrap w:val="0"/>
                  <w:vAlign w:val="center"/>
                </w:tcPr>
                <w:p w14:paraId="6679E3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FD93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shd w:val="clear" w:color="auto" w:fill="auto"/>
                  <w:noWrap w:val="0"/>
                  <w:vAlign w:val="center"/>
                </w:tcPr>
                <w:p w14:paraId="4B1EA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辅助工程和储运工程</w:t>
                  </w:r>
                </w:p>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柴油罐</w:t>
                  </w:r>
                </w:p>
              </w:tc>
              <w:tc>
                <w:tcPr>
                  <w:tcW w:w="1584" w:type="pct"/>
                  <w:tcBorders>
                    <w:tl2br w:val="nil"/>
                    <w:tr2bl w:val="nil"/>
                  </w:tcBorders>
                  <w:shd w:val="clear" w:color="auto" w:fill="auto"/>
                  <w:noWrap w:val="0"/>
                  <w:vAlign w:val="center"/>
                </w:tcPr>
                <w:p w14:paraId="7A240D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3具/探井，地上罐，单罐有效容积60m³，用于储存柴油，底部采用重点防渗处理，并设围堰</w:t>
                  </w:r>
                </w:p>
              </w:tc>
              <w:tc>
                <w:tcPr>
                  <w:tcW w:w="1416"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3具/探井，地上罐，单罐容积60m³，用于储存柴油，底部采用重点防渗处理，</w:t>
                  </w:r>
                  <w:r>
                    <w:rPr>
                      <w:rFonts w:hint="default" w:ascii="Times New Roman" w:hAnsi="Times New Roman" w:eastAsia="宋体" w:cs="Times New Roman"/>
                      <w:color w:val="0000FF"/>
                      <w:spacing w:val="0"/>
                      <w:kern w:val="21"/>
                      <w:sz w:val="21"/>
                      <w:szCs w:val="21"/>
                      <w:highlight w:val="none"/>
                      <w:lang w:eastAsia="zh-CN"/>
                    </w:rPr>
                    <w:t>并设</w:t>
                  </w:r>
                  <w:r>
                    <w:rPr>
                      <w:rFonts w:hint="default" w:ascii="Times New Roman" w:hAnsi="Times New Roman" w:eastAsia="宋体" w:cs="Times New Roman"/>
                      <w:color w:val="0000FF"/>
                      <w:spacing w:val="0"/>
                      <w:kern w:val="21"/>
                      <w:sz w:val="21"/>
                      <w:szCs w:val="21"/>
                      <w:highlight w:val="none"/>
                      <w:lang w:val="en-US" w:eastAsia="zh-CN"/>
                    </w:rPr>
                    <w:t>20cm土</w:t>
                  </w:r>
                  <w:r>
                    <w:rPr>
                      <w:rFonts w:hint="default" w:ascii="Times New Roman" w:hAnsi="Times New Roman" w:eastAsia="宋体" w:cs="Times New Roman"/>
                      <w:color w:val="0000FF"/>
                      <w:spacing w:val="0"/>
                      <w:kern w:val="21"/>
                      <w:sz w:val="21"/>
                      <w:szCs w:val="21"/>
                      <w:highlight w:val="none"/>
                      <w:lang w:eastAsia="zh-CN"/>
                    </w:rPr>
                    <w:t>围堰</w:t>
                  </w:r>
                </w:p>
              </w:tc>
              <w:tc>
                <w:tcPr>
                  <w:tcW w:w="432"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C496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440A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5E90E5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清水罐</w:t>
                  </w:r>
                </w:p>
              </w:tc>
              <w:tc>
                <w:tcPr>
                  <w:tcW w:w="1584" w:type="pct"/>
                  <w:tcBorders>
                    <w:tl2br w:val="nil"/>
                    <w:tr2bl w:val="nil"/>
                  </w:tcBorders>
                  <w:shd w:val="clear" w:color="auto" w:fill="auto"/>
                  <w:noWrap w:val="0"/>
                  <w:vAlign w:val="center"/>
                </w:tcPr>
                <w:p w14:paraId="5CE859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1具/探井，单罐容积60m³，存储新鲜水</w:t>
                  </w:r>
                </w:p>
              </w:tc>
              <w:tc>
                <w:tcPr>
                  <w:tcW w:w="1416" w:type="pct"/>
                  <w:tcBorders>
                    <w:tl2br w:val="nil"/>
                    <w:tr2bl w:val="nil"/>
                  </w:tcBorders>
                  <w:shd w:val="clear" w:color="auto" w:fill="auto"/>
                  <w:noWrap w:val="0"/>
                  <w:vAlign w:val="center"/>
                </w:tcPr>
                <w:p w14:paraId="750E36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1具/探井，单罐容积60m³，存储新鲜水</w:t>
                  </w:r>
                </w:p>
              </w:tc>
              <w:tc>
                <w:tcPr>
                  <w:tcW w:w="432" w:type="pct"/>
                  <w:tcBorders>
                    <w:tl2br w:val="nil"/>
                    <w:tr2bl w:val="nil"/>
                  </w:tcBorders>
                  <w:noWrap w:val="0"/>
                  <w:vAlign w:val="center"/>
                </w:tcPr>
                <w:p w14:paraId="683E4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40C3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41A7A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5E997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21590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泥浆不落地装置</w:t>
                  </w:r>
                </w:p>
              </w:tc>
              <w:tc>
                <w:tcPr>
                  <w:tcW w:w="1584" w:type="pct"/>
                  <w:tcBorders>
                    <w:tl2br w:val="nil"/>
                    <w:tr2bl w:val="nil"/>
                  </w:tcBorders>
                  <w:shd w:val="clear" w:color="auto" w:fill="auto"/>
                  <w:noWrap w:val="0"/>
                  <w:vAlign w:val="center"/>
                </w:tcPr>
                <w:p w14:paraId="1D7E9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1套/探井，泥浆循环系统，储存钻井液、产生的废弃泥浆、钻井岩屑等</w:t>
                  </w:r>
                </w:p>
              </w:tc>
              <w:tc>
                <w:tcPr>
                  <w:tcW w:w="1416" w:type="pct"/>
                  <w:tcBorders>
                    <w:tl2br w:val="nil"/>
                    <w:tr2bl w:val="nil"/>
                  </w:tcBorders>
                  <w:shd w:val="clear" w:color="auto" w:fill="auto"/>
                  <w:noWrap w:val="0"/>
                  <w:vAlign w:val="center"/>
                </w:tcPr>
                <w:p w14:paraId="3DCE7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1套/探井，泥浆循环系统，储存钻井液、产生的废弃泥浆、钻井岩屑等</w:t>
                  </w:r>
                </w:p>
              </w:tc>
              <w:tc>
                <w:tcPr>
                  <w:tcW w:w="432" w:type="pct"/>
                  <w:tcBorders>
                    <w:tl2br w:val="nil"/>
                    <w:tr2bl w:val="nil"/>
                  </w:tcBorders>
                  <w:noWrap w:val="0"/>
                  <w:vAlign w:val="center"/>
                </w:tcPr>
                <w:p w14:paraId="30C2EC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5D01D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406"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供水</w:t>
                  </w:r>
                </w:p>
              </w:tc>
              <w:tc>
                <w:tcPr>
                  <w:tcW w:w="1584"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生产用水采用水罐车拉运</w:t>
                  </w:r>
                  <w:r>
                    <w:rPr>
                      <w:rFonts w:hint="default" w:ascii="Times New Roman" w:hAnsi="Times New Roman" w:eastAsia="宋体" w:cs="Times New Roman"/>
                      <w:color w:val="auto"/>
                      <w:spacing w:val="0"/>
                      <w:kern w:val="21"/>
                      <w:sz w:val="21"/>
                      <w:szCs w:val="21"/>
                      <w:highlight w:val="none"/>
                      <w:lang w:val="en-US" w:eastAsia="zh-CN"/>
                    </w:rPr>
                    <w:t>地表水</w:t>
                  </w:r>
                  <w:r>
                    <w:rPr>
                      <w:rFonts w:hint="default" w:ascii="Times New Roman" w:hAnsi="Times New Roman" w:eastAsia="宋体" w:cs="Times New Roman"/>
                      <w:color w:val="auto"/>
                      <w:spacing w:val="0"/>
                      <w:kern w:val="21"/>
                      <w:sz w:val="21"/>
                      <w:szCs w:val="21"/>
                      <w:highlight w:val="none"/>
                      <w:lang w:eastAsia="zh-CN"/>
                    </w:rPr>
                    <w:t>、生活用水采用桶装水</w:t>
                  </w:r>
                </w:p>
              </w:tc>
              <w:tc>
                <w:tcPr>
                  <w:tcW w:w="1416"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default"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附近地表水供给，生活用水采用桶装水</w:t>
                  </w:r>
                </w:p>
              </w:tc>
              <w:tc>
                <w:tcPr>
                  <w:tcW w:w="432"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258" w:type="pct"/>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排水</w:t>
                  </w:r>
                </w:p>
              </w:tc>
              <w:tc>
                <w:tcPr>
                  <w:tcW w:w="1584" w:type="pct"/>
                  <w:tcBorders>
                    <w:tl2br w:val="nil"/>
                    <w:tr2bl w:val="nil"/>
                  </w:tcBorders>
                  <w:shd w:val="clear" w:color="auto" w:fill="auto"/>
                  <w:noWrap w:val="0"/>
                  <w:vAlign w:val="center"/>
                </w:tcPr>
                <w:p w14:paraId="6854B5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施工期生活污水均排入移动式环保厕所，粪便定期清运，盥洗废水可就地泼洒用于施工场地抑尘</w:t>
                  </w:r>
                </w:p>
              </w:tc>
              <w:tc>
                <w:tcPr>
                  <w:tcW w:w="1416" w:type="pct"/>
                  <w:tcBorders>
                    <w:tl2br w:val="nil"/>
                    <w:tr2bl w:val="nil"/>
                  </w:tcBorders>
                  <w:noWrap w:val="0"/>
                  <w:vAlign w:val="center"/>
                </w:tcPr>
                <w:p w14:paraId="7AFD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场内设置</w:t>
                  </w:r>
                  <w:r>
                    <w:rPr>
                      <w:rFonts w:hint="default" w:ascii="Times New Roman" w:hAnsi="Times New Roman" w:eastAsia="宋体" w:cs="Times New Roman"/>
                      <w:color w:val="auto"/>
                      <w:spacing w:val="0"/>
                      <w:kern w:val="21"/>
                      <w:sz w:val="21"/>
                      <w:szCs w:val="21"/>
                      <w:highlight w:val="none"/>
                      <w:lang w:val="en-US" w:eastAsia="zh-CN"/>
                    </w:rPr>
                    <w:t>1座移动式环保厕所</w:t>
                  </w:r>
                  <w:r>
                    <w:rPr>
                      <w:rFonts w:hint="default" w:ascii="Times New Roman" w:hAnsi="Times New Roman" w:eastAsia="宋体" w:cs="Times New Roman"/>
                      <w:color w:val="auto"/>
                      <w:spacing w:val="0"/>
                      <w:kern w:val="21"/>
                      <w:sz w:val="21"/>
                      <w:szCs w:val="21"/>
                      <w:highlight w:val="none"/>
                      <w:lang w:eastAsia="zh-CN"/>
                    </w:rPr>
                    <w:t>，定期清掏，用于周边农田堆肥</w:t>
                  </w:r>
                </w:p>
              </w:tc>
              <w:tc>
                <w:tcPr>
                  <w:tcW w:w="432"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0704A8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F3B2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A3E0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供电</w:t>
                  </w:r>
                </w:p>
              </w:tc>
              <w:tc>
                <w:tcPr>
                  <w:tcW w:w="1584" w:type="pct"/>
                  <w:tcBorders>
                    <w:tl2br w:val="nil"/>
                    <w:tr2bl w:val="nil"/>
                  </w:tcBorders>
                  <w:shd w:val="clear" w:color="auto" w:fill="auto"/>
                  <w:noWrap w:val="0"/>
                  <w:vAlign w:val="center"/>
                </w:tcPr>
                <w:p w14:paraId="3352D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由自备柴油发电机组发电</w:t>
                  </w:r>
                  <w:r>
                    <w:rPr>
                      <w:rFonts w:hint="default" w:ascii="Times New Roman" w:hAnsi="Times New Roman" w:eastAsia="宋体" w:cs="Times New Roman"/>
                      <w:color w:val="auto"/>
                      <w:spacing w:val="0"/>
                      <w:kern w:val="21"/>
                      <w:sz w:val="21"/>
                      <w:szCs w:val="21"/>
                      <w:highlight w:val="none"/>
                      <w:lang w:val="en-US" w:eastAsia="zh-CN"/>
                    </w:rPr>
                    <w:t>2</w:t>
                  </w:r>
                  <w:r>
                    <w:rPr>
                      <w:rFonts w:hint="default" w:ascii="Times New Roman" w:hAnsi="Times New Roman" w:eastAsia="宋体" w:cs="Times New Roman"/>
                      <w:color w:val="auto"/>
                      <w:spacing w:val="0"/>
                      <w:kern w:val="21"/>
                      <w:sz w:val="21"/>
                      <w:szCs w:val="21"/>
                      <w:highlight w:val="none"/>
                      <w:lang w:eastAsia="zh-CN"/>
                    </w:rPr>
                    <w:t>套</w:t>
                  </w:r>
                </w:p>
              </w:tc>
              <w:tc>
                <w:tcPr>
                  <w:tcW w:w="1416" w:type="pct"/>
                  <w:tcBorders>
                    <w:tl2br w:val="nil"/>
                    <w:tr2bl w:val="nil"/>
                  </w:tcBorders>
                  <w:noWrap w:val="0"/>
                  <w:vAlign w:val="center"/>
                </w:tcPr>
                <w:p w14:paraId="49AD7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w:t>
                  </w:r>
                  <w:r>
                    <w:rPr>
                      <w:rFonts w:hint="default" w:ascii="Times New Roman" w:hAnsi="Times New Roman" w:eastAsia="宋体" w:cs="Times New Roman"/>
                      <w:color w:val="auto"/>
                      <w:spacing w:val="0"/>
                      <w:kern w:val="21"/>
                      <w:sz w:val="21"/>
                      <w:szCs w:val="21"/>
                      <w:highlight w:val="none"/>
                      <w:lang w:val="en-US" w:eastAsia="zh-CN"/>
                    </w:rPr>
                    <w:t>内设置2套</w:t>
                  </w:r>
                  <w:r>
                    <w:rPr>
                      <w:rFonts w:hint="default" w:ascii="Times New Roman" w:hAnsi="Times New Roman" w:eastAsia="宋体" w:cs="Times New Roman"/>
                      <w:color w:val="auto"/>
                      <w:spacing w:val="0"/>
                      <w:kern w:val="21"/>
                      <w:sz w:val="21"/>
                      <w:szCs w:val="21"/>
                      <w:highlight w:val="none"/>
                      <w:lang w:eastAsia="zh-CN"/>
                    </w:rPr>
                    <w:t>柴油发电机</w:t>
                  </w:r>
                </w:p>
              </w:tc>
              <w:tc>
                <w:tcPr>
                  <w:tcW w:w="432" w:type="pct"/>
                  <w:tcBorders>
                    <w:tl2br w:val="nil"/>
                    <w:tr2bl w:val="nil"/>
                  </w:tcBorders>
                  <w:noWrap w:val="0"/>
                  <w:vAlign w:val="center"/>
                </w:tcPr>
                <w:p w14:paraId="1AB6C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13C5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F4C8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3F06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544E7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道路</w:t>
                  </w:r>
                </w:p>
              </w:tc>
              <w:tc>
                <w:tcPr>
                  <w:tcW w:w="1584" w:type="pct"/>
                  <w:tcBorders>
                    <w:tl2br w:val="nil"/>
                    <w:tr2bl w:val="nil"/>
                  </w:tcBorders>
                  <w:shd w:val="clear" w:color="auto" w:fill="auto"/>
                  <w:noWrap w:val="0"/>
                  <w:vAlign w:val="center"/>
                </w:tcPr>
                <w:p w14:paraId="1BB10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井场外有乡村道路</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新建进场道路</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与乡村道路相连接；施工期配套建设临时道路。据统计</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探井临时道路长度360m。施工便道临时占地按6m宽设计</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采用砂石压实</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临时施工便道利与场外已有道路相通。</w:t>
                  </w:r>
                </w:p>
              </w:tc>
              <w:tc>
                <w:tcPr>
                  <w:tcW w:w="1416" w:type="pct"/>
                  <w:tcBorders>
                    <w:tl2br w:val="nil"/>
                    <w:tr2bl w:val="nil"/>
                  </w:tcBorders>
                  <w:noWrap w:val="0"/>
                  <w:vAlign w:val="center"/>
                </w:tcPr>
                <w:p w14:paraId="5E74D8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井场外有乡村道路，新建进场道路，与乡村道路相连接；施工期配套建设临时道路。据统计，探井临时道路长度</w:t>
                  </w:r>
                  <w:r>
                    <w:rPr>
                      <w:rFonts w:hint="eastAsia"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80</w:t>
                  </w:r>
                  <w:r>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m。施工便道临时占地6m宽，为砂石路，配备洒水车定期洒水抑尘。</w:t>
                  </w:r>
                </w:p>
              </w:tc>
              <w:tc>
                <w:tcPr>
                  <w:tcW w:w="432" w:type="pct"/>
                  <w:tcBorders>
                    <w:tl2br w:val="nil"/>
                    <w:tr2bl w:val="nil"/>
                  </w:tcBorders>
                  <w:noWrap w:val="0"/>
                  <w:vAlign w:val="center"/>
                </w:tcPr>
                <w:p w14:paraId="2FB583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7DCCF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120F24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依托</w:t>
                  </w:r>
                  <w:r>
                    <w:rPr>
                      <w:rFonts w:hint="default" w:ascii="Times New Roman" w:hAnsi="Times New Roman" w:eastAsia="宋体" w:cs="Times New Roman"/>
                      <w:color w:val="auto"/>
                      <w:spacing w:val="0"/>
                      <w:kern w:val="21"/>
                      <w:sz w:val="21"/>
                      <w:szCs w:val="21"/>
                      <w:highlight w:val="none"/>
                      <w:lang w:eastAsia="zh-CN"/>
                    </w:rPr>
                    <w:t>工程</w:t>
                  </w:r>
                </w:p>
              </w:tc>
              <w:tc>
                <w:tcPr>
                  <w:tcW w:w="406" w:type="pct"/>
                  <w:tcBorders>
                    <w:tl2br w:val="nil"/>
                    <w:tr2bl w:val="nil"/>
                  </w:tcBorders>
                  <w:noWrap w:val="0"/>
                  <w:vAlign w:val="center"/>
                </w:tcPr>
                <w:p w14:paraId="285CFD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废水</w:t>
                  </w:r>
                </w:p>
              </w:tc>
              <w:tc>
                <w:tcPr>
                  <w:tcW w:w="1584" w:type="pct"/>
                  <w:tcBorders>
                    <w:tl2br w:val="nil"/>
                    <w:tr2bl w:val="nil"/>
                  </w:tcBorders>
                  <w:shd w:val="clear" w:color="auto" w:fill="auto"/>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项目钻井各类废水拉运至</w:t>
                  </w:r>
                  <w:r>
                    <w:rPr>
                      <w:rFonts w:hint="eastAsia" w:ascii="Times New Roman" w:hAnsi="Times New Roman" w:eastAsia="宋体" w:cs="Times New Roman"/>
                      <w:color w:val="auto"/>
                      <w:spacing w:val="0"/>
                      <w:kern w:val="21"/>
                      <w:sz w:val="21"/>
                      <w:szCs w:val="21"/>
                      <w:highlight w:val="none"/>
                      <w:lang w:eastAsia="zh-CN"/>
                    </w:rPr>
                    <w:t>泾河8撬装式水净化站</w:t>
                  </w:r>
                  <w:r>
                    <w:rPr>
                      <w:rFonts w:hint="default" w:ascii="Times New Roman" w:hAnsi="Times New Roman" w:eastAsia="宋体" w:cs="Times New Roman"/>
                      <w:color w:val="auto"/>
                      <w:spacing w:val="0"/>
                      <w:kern w:val="21"/>
                      <w:sz w:val="21"/>
                      <w:szCs w:val="21"/>
                      <w:highlight w:val="none"/>
                      <w:lang w:eastAsia="zh-CN"/>
                    </w:rPr>
                    <w:t>处理达标后回注地层</w:t>
                  </w:r>
                </w:p>
              </w:tc>
              <w:tc>
                <w:tcPr>
                  <w:tcW w:w="1416"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项目钻井各类废水拉运至泾河8撬装式水净化站处理达标后回注地层，未外排</w:t>
                  </w:r>
                </w:p>
              </w:tc>
              <w:tc>
                <w:tcPr>
                  <w:tcW w:w="432"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固体废物</w:t>
                  </w:r>
                </w:p>
              </w:tc>
              <w:tc>
                <w:tcPr>
                  <w:tcW w:w="1584" w:type="pct"/>
                  <w:tcBorders>
                    <w:tl2br w:val="nil"/>
                    <w:tr2bl w:val="nil"/>
                  </w:tcBorders>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项目钻井泥浆及岩屑暂存后，清运至一般工业固废集中填埋场安全填埋处置或制作烧结砖资源化综合利用</w:t>
                  </w:r>
                </w:p>
              </w:tc>
              <w:tc>
                <w:tcPr>
                  <w:tcW w:w="1416"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p>
              </w:tc>
              <w:tc>
                <w:tcPr>
                  <w:tcW w:w="432"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506ED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3E5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初期雨水</w:t>
                  </w:r>
                </w:p>
              </w:tc>
              <w:tc>
                <w:tcPr>
                  <w:tcW w:w="1584" w:type="pct"/>
                  <w:tcBorders>
                    <w:tl2br w:val="nil"/>
                    <w:tr2bl w:val="nil"/>
                  </w:tcBorders>
                  <w:noWrap w:val="0"/>
                  <w:vAlign w:val="center"/>
                </w:tcPr>
                <w:p w14:paraId="56193A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初期雨水收集罐，井场四周设置不低于20cm的土围堰，且井场大门处修建挡土梁；初期雨水收集后和钻井废水运至泾河8撬装式水净化站处理达标后回注</w:t>
                  </w:r>
                  <w:r>
                    <w:rPr>
                      <w:rFonts w:hint="default"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eastAsia="zh-CN"/>
                    </w:rPr>
                    <w:t>不外排</w:t>
                  </w:r>
                </w:p>
              </w:tc>
              <w:tc>
                <w:tcPr>
                  <w:tcW w:w="1416" w:type="pct"/>
                  <w:tcBorders>
                    <w:tl2br w:val="nil"/>
                    <w:tr2bl w:val="nil"/>
                  </w:tcBorders>
                  <w:noWrap w:val="0"/>
                  <w:vAlign w:val="center"/>
                </w:tcPr>
                <w:p w14:paraId="234262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w:t>
                  </w:r>
                  <w:r>
                    <w:rPr>
                      <w:rFonts w:hint="eastAsia" w:ascii="Times New Roman" w:hAnsi="Times New Roman" w:eastAsia="宋体" w:cs="Times New Roman"/>
                      <w:color w:val="0000FF"/>
                      <w:sz w:val="21"/>
                      <w:szCs w:val="21"/>
                      <w:highlight w:val="none"/>
                      <w:lang w:val="en-US" w:eastAsia="zh-CN"/>
                    </w:rPr>
                    <w:t>JH55P2</w:t>
                  </w:r>
                  <w:r>
                    <w:rPr>
                      <w:rFonts w:hint="eastAsia" w:ascii="Times New Roman" w:hAnsi="Times New Roman" w:eastAsia="宋体" w:cs="Times New Roman"/>
                      <w:color w:val="0000FF"/>
                      <w:szCs w:val="21"/>
                      <w:lang w:val="en-US" w:eastAsia="zh-CN"/>
                    </w:rPr>
                    <w:t>井场及防渗布周围设置20cm高土围堰。</w:t>
                  </w:r>
                  <w:r>
                    <w:rPr>
                      <w:rFonts w:hint="eastAsia" w:ascii="Times New Roman" w:hAnsi="Times New Roman" w:eastAsia="宋体" w:cs="Times New Roman"/>
                      <w:color w:val="0000FF"/>
                      <w:kern w:val="2"/>
                      <w:sz w:val="21"/>
                      <w:szCs w:val="22"/>
                      <w:lang w:val="en-US" w:eastAsia="zh-CN" w:bidi="ar-SA"/>
                    </w:rPr>
                    <w:t>井场周边设置50cm的砖混围墙，现已拆除</w:t>
                  </w:r>
                  <w:r>
                    <w:rPr>
                      <w:rFonts w:hint="eastAsia" w:ascii="Times New Roman" w:hAnsi="Times New Roman" w:eastAsia="宋体" w:cs="Times New Roman"/>
                      <w:color w:val="0000FF"/>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且井场大门处修建挡土梁；初期雨水收集后和钻井废水运至泾河8撬装式水净化站处理达标后回注</w:t>
                  </w:r>
                  <w:r>
                    <w:rPr>
                      <w:rFonts w:hint="default" w:ascii="Times New Roman" w:hAnsi="Times New Roman" w:eastAsia="宋体" w:cs="Times New Roman"/>
                      <w:color w:val="auto"/>
                      <w:spacing w:val="0"/>
                      <w:kern w:val="21"/>
                      <w:sz w:val="21"/>
                      <w:szCs w:val="21"/>
                      <w:highlight w:val="none"/>
                      <w:lang w:val="en-US" w:eastAsia="zh-CN"/>
                    </w:rPr>
                    <w:t>，未</w:t>
                  </w:r>
                  <w:r>
                    <w:rPr>
                      <w:rFonts w:hint="default" w:ascii="Times New Roman" w:hAnsi="Times New Roman" w:eastAsia="宋体" w:cs="Times New Roman"/>
                      <w:color w:val="auto"/>
                      <w:spacing w:val="0"/>
                      <w:kern w:val="21"/>
                      <w:sz w:val="21"/>
                      <w:szCs w:val="21"/>
                      <w:highlight w:val="none"/>
                      <w:lang w:eastAsia="zh-CN"/>
                    </w:rPr>
                    <w:t>外排</w:t>
                  </w:r>
                </w:p>
              </w:tc>
              <w:tc>
                <w:tcPr>
                  <w:tcW w:w="432" w:type="pct"/>
                  <w:tcBorders>
                    <w:tl2br w:val="nil"/>
                    <w:tr2bl w:val="nil"/>
                  </w:tcBorders>
                  <w:shd w:val="clear" w:color="auto" w:fill="auto"/>
                  <w:noWrap w:val="0"/>
                  <w:vAlign w:val="center"/>
                </w:tcPr>
                <w:p w14:paraId="345CBE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6C3AB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406"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584" w:type="pct"/>
                  <w:tcBorders>
                    <w:tl2br w:val="nil"/>
                    <w:tr2bl w:val="nil"/>
                  </w:tcBorders>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1416"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施工扬尘：</w:t>
                  </w:r>
                  <w:r>
                    <w:rPr>
                      <w:rFonts w:hint="default" w:ascii="Times New Roman" w:hAnsi="Times New Roman" w:eastAsia="宋体" w:cs="Times New Roman"/>
                      <w:color w:val="auto"/>
                      <w:spacing w:val="0"/>
                      <w:sz w:val="21"/>
                      <w:szCs w:val="21"/>
                      <w:highlight w:val="none"/>
                    </w:rPr>
                    <w:t>井场洒水抑尘，</w:t>
                  </w:r>
                  <w:r>
                    <w:rPr>
                      <w:rFonts w:hint="default" w:ascii="Times New Roman" w:hAnsi="Times New Roman" w:eastAsia="宋体" w:cs="Times New Roman"/>
                      <w:color w:val="auto"/>
                      <w:spacing w:val="0"/>
                      <w:sz w:val="21"/>
                      <w:szCs w:val="21"/>
                      <w:highlight w:val="none"/>
                      <w:lang w:eastAsia="zh-CN"/>
                    </w:rPr>
                    <w:t>表土及建材堆放设置挡板、上覆遮盖材料</w:t>
                  </w:r>
                  <w:r>
                    <w:rPr>
                      <w:rFonts w:hint="default" w:ascii="Times New Roman" w:hAnsi="Times New Roman" w:eastAsia="宋体" w:cs="Times New Roman"/>
                      <w:color w:val="auto"/>
                      <w:spacing w:val="0"/>
                      <w:sz w:val="21"/>
                      <w:szCs w:val="21"/>
                      <w:highlight w:val="none"/>
                    </w:rPr>
                    <w:t>，施工运输车辆采取密闭措施</w:t>
                  </w:r>
                  <w:r>
                    <w:rPr>
                      <w:rFonts w:hint="default" w:ascii="Times New Roman" w:hAnsi="Times New Roman" w:eastAsia="宋体" w:cs="Times New Roman"/>
                      <w:color w:val="auto"/>
                      <w:spacing w:val="0"/>
                      <w:sz w:val="21"/>
                      <w:szCs w:val="21"/>
                      <w:highlight w:val="none"/>
                      <w:lang w:val="en-US" w:eastAsia="zh-CN"/>
                    </w:rPr>
                    <w:t>并</w:t>
                  </w:r>
                  <w:r>
                    <w:rPr>
                      <w:rFonts w:hint="default" w:ascii="Times New Roman" w:hAnsi="Times New Roman" w:eastAsia="宋体" w:cs="Times New Roman"/>
                      <w:color w:val="auto"/>
                      <w:spacing w:val="0"/>
                      <w:sz w:val="21"/>
                      <w:szCs w:val="21"/>
                      <w:highlight w:val="none"/>
                    </w:rPr>
                    <w:t>加盖防尘布，临时道路配备洒水车定期洒水抑尘</w:t>
                  </w:r>
                </w:p>
              </w:tc>
              <w:tc>
                <w:tcPr>
                  <w:tcW w:w="432"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14E7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34B9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1C4A983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7571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柴油发电机燃烧烟气：选用环保型柴油发电机，使用优质轻柴油，简易排气筒排放；排气管朝向避开农户分布及项目区工作人员办公生活的方位</w:t>
                  </w:r>
                </w:p>
              </w:tc>
              <w:tc>
                <w:tcPr>
                  <w:tcW w:w="1416" w:type="pct"/>
                  <w:tcBorders>
                    <w:tl2br w:val="nil"/>
                    <w:tr2bl w:val="nil"/>
                  </w:tcBorders>
                  <w:noWrap w:val="0"/>
                  <w:vAlign w:val="center"/>
                </w:tcPr>
                <w:p w14:paraId="1BA3B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432" w:type="pct"/>
                  <w:tcBorders>
                    <w:tl2br w:val="nil"/>
                    <w:tr2bl w:val="nil"/>
                  </w:tcBorders>
                  <w:noWrap w:val="0"/>
                  <w:vAlign w:val="center"/>
                </w:tcPr>
                <w:p w14:paraId="4B715E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B238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2C51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2D271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7F85C52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5B1D2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汽车尾气：车辆排放的尾气为流动的线源，影响范围较大，但其污染不集中且扩散能力相对较快，影响较小</w:t>
                  </w:r>
                </w:p>
              </w:tc>
              <w:tc>
                <w:tcPr>
                  <w:tcW w:w="1416" w:type="pct"/>
                  <w:tcBorders>
                    <w:tl2br w:val="nil"/>
                    <w:tr2bl w:val="nil"/>
                  </w:tcBorders>
                  <w:noWrap w:val="0"/>
                  <w:vAlign w:val="center"/>
                </w:tcPr>
                <w:p w14:paraId="586E4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加强管理、定期保养</w:t>
                  </w:r>
                </w:p>
              </w:tc>
              <w:tc>
                <w:tcPr>
                  <w:tcW w:w="432" w:type="pct"/>
                  <w:tcBorders>
                    <w:tl2br w:val="nil"/>
                    <w:tr2bl w:val="nil"/>
                  </w:tcBorders>
                  <w:noWrap w:val="0"/>
                  <w:vAlign w:val="center"/>
                </w:tcPr>
                <w:p w14:paraId="224C6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BD9B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伴生气：</w:t>
                  </w:r>
                  <w:r>
                    <w:rPr>
                      <w:rFonts w:hint="default" w:ascii="Times New Roman" w:hAnsi="Times New Roman" w:eastAsia="宋体" w:cs="Times New Roman"/>
                      <w:color w:val="auto"/>
                      <w:sz w:val="21"/>
                      <w:szCs w:val="21"/>
                      <w:lang w:val="en-US" w:eastAsia="zh-CN"/>
                    </w:rPr>
                    <w:t>伴生气产生量很小，无法量化，无组织排放</w:t>
                  </w:r>
                </w:p>
              </w:tc>
              <w:tc>
                <w:tcPr>
                  <w:tcW w:w="1416"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lang w:val="en-US" w:eastAsia="zh-CN"/>
                    </w:rPr>
                    <w:t>无组织排放</w:t>
                  </w:r>
                </w:p>
              </w:tc>
              <w:tc>
                <w:tcPr>
                  <w:tcW w:w="432"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584" w:type="pct"/>
                  <w:tcBorders>
                    <w:tl2br w:val="nil"/>
                    <w:tr2bl w:val="nil"/>
                  </w:tcBorders>
                  <w:noWrap w:val="0"/>
                  <w:vAlign w:val="center"/>
                </w:tcPr>
                <w:p w14:paraId="21C344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生活污水：施工期生活污水均排入移动式环保厕所，粪便定期清运，盥洗废水可就地泼洒用于施工场地抑尘。</w:t>
                  </w:r>
                </w:p>
              </w:tc>
              <w:tc>
                <w:tcPr>
                  <w:tcW w:w="1416" w:type="pct"/>
                  <w:tcBorders>
                    <w:tl2br w:val="nil"/>
                    <w:tr2bl w:val="nil"/>
                  </w:tcBorders>
                  <w:noWrap w:val="0"/>
                  <w:vAlign w:val="center"/>
                </w:tcPr>
                <w:p w14:paraId="4FB4CF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井场内设置移动式环保厕所，定期清掏，用于周边农田堆肥；盥洗废水就地泼洒用于施工场地抑尘。</w:t>
                  </w:r>
                </w:p>
              </w:tc>
              <w:tc>
                <w:tcPr>
                  <w:tcW w:w="432" w:type="pct"/>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1D33C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84D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生产废水：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w:t>
                  </w:r>
                  <w:r>
                    <w:rPr>
                      <w:rFonts w:hint="default" w:ascii="Times New Roman" w:hAnsi="Times New Roman" w:eastAsia="宋体" w:cs="Times New Roman"/>
                      <w:color w:val="auto"/>
                      <w:spacing w:val="0"/>
                      <w:kern w:val="21"/>
                      <w:sz w:val="21"/>
                      <w:szCs w:val="21"/>
                      <w:highlight w:val="none"/>
                      <w:lang w:val="en-US" w:eastAsia="zh-CN"/>
                    </w:rPr>
                    <w:t>气</w:t>
                  </w:r>
                  <w:r>
                    <w:rPr>
                      <w:rFonts w:hint="default" w:ascii="Times New Roman" w:hAnsi="Times New Roman" w:eastAsia="宋体" w:cs="Times New Roman"/>
                      <w:color w:val="auto"/>
                      <w:spacing w:val="0"/>
                      <w:kern w:val="21"/>
                      <w:sz w:val="21"/>
                      <w:szCs w:val="21"/>
                      <w:highlight w:val="none"/>
                      <w:lang w:eastAsia="zh-CN"/>
                    </w:rPr>
                    <w:t>）等井下作业废水收集至地上废水罐（</w:t>
                  </w:r>
                  <w:r>
                    <w:rPr>
                      <w:rFonts w:hint="default" w:ascii="Times New Roman" w:hAnsi="Times New Roman" w:eastAsia="宋体" w:cs="Times New Roman"/>
                      <w:color w:val="auto"/>
                      <w:spacing w:val="0"/>
                      <w:kern w:val="21"/>
                      <w:sz w:val="21"/>
                      <w:szCs w:val="21"/>
                      <w:highlight w:val="none"/>
                      <w:lang w:val="en-US" w:eastAsia="zh-CN"/>
                    </w:rPr>
                    <w:t>位于泥浆循环罐区</w:t>
                  </w:r>
                  <w:r>
                    <w:rPr>
                      <w:rFonts w:hint="default"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1416" w:type="pct"/>
                  <w:tcBorders>
                    <w:tl2br w:val="nil"/>
                    <w:tr2bl w:val="nil"/>
                  </w:tcBorders>
                  <w:noWrap w:val="0"/>
                  <w:vAlign w:val="center"/>
                </w:tcPr>
                <w:p w14:paraId="5771A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等井下作业废水收集至地上废水罐（</w:t>
                  </w:r>
                  <w:r>
                    <w:rPr>
                      <w:rFonts w:hint="default" w:ascii="Times New Roman" w:hAnsi="Times New Roman" w:eastAsia="宋体" w:cs="Times New Roman"/>
                      <w:color w:val="auto"/>
                      <w:spacing w:val="0"/>
                      <w:kern w:val="21"/>
                      <w:sz w:val="21"/>
                      <w:szCs w:val="21"/>
                      <w:highlight w:val="none"/>
                      <w:lang w:val="en-US" w:eastAsia="zh-CN"/>
                    </w:rPr>
                    <w:t>位于泥浆循环罐区</w:t>
                  </w:r>
                  <w:r>
                    <w:rPr>
                      <w:rFonts w:hint="default"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432" w:type="pct"/>
                  <w:tcBorders>
                    <w:tl2br w:val="nil"/>
                    <w:tr2bl w:val="nil"/>
                  </w:tcBorders>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0763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584" w:type="pct"/>
                  <w:tcBorders>
                    <w:tl2br w:val="nil"/>
                    <w:tr2bl w:val="nil"/>
                  </w:tcBorders>
                  <w:noWrap w:val="0"/>
                  <w:vAlign w:val="center"/>
                </w:tcPr>
                <w:p w14:paraId="2BBF1393">
                  <w:pPr>
                    <w:pStyle w:val="94"/>
                    <w:keepNext w:val="0"/>
                    <w:keepLines w:val="0"/>
                    <w:suppressLineNumbers w:val="0"/>
                    <w:spacing w:before="0" w:beforeAutospacing="0" w:after="0" w:afterAutospacing="0"/>
                    <w:ind w:left="0" w:right="0"/>
                    <w:jc w:val="both"/>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cs="Times New Roman"/>
                      <w:color w:val="auto"/>
                      <w:szCs w:val="21"/>
                    </w:rPr>
                    <w:t>废弃钻井泥浆</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钻井岩屑</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不含油</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w:t>
                  </w:r>
                  <w:r>
                    <w:rPr>
                      <w:rFonts w:hint="default" w:ascii="Times New Roman" w:hAnsi="Times New Roman" w:cs="Times New Roman"/>
                      <w:color w:val="auto"/>
                      <w:kern w:val="0"/>
                      <w:szCs w:val="21"/>
                    </w:rPr>
                    <w:t>或制作烧结砖资源化综合利用</w:t>
                  </w:r>
                </w:p>
              </w:tc>
              <w:tc>
                <w:tcPr>
                  <w:tcW w:w="1416" w:type="pct"/>
                  <w:tcBorders>
                    <w:tl2br w:val="nil"/>
                    <w:tr2bl w:val="nil"/>
                  </w:tcBorders>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钻井废弃泥浆、岩屑采取不落地收集+板框压滤装置处置，产生的泥饼（固相含水率不大于60%）暂存井场，泥饼临时暂存要落实“三防”措施并加强管理，井场内暂存时间</w:t>
                  </w:r>
                  <w:r>
                    <w:rPr>
                      <w:rFonts w:hint="default" w:ascii="Times New Roman" w:hAnsi="Times New Roman" w:eastAsia="宋体" w:cs="Times New Roman"/>
                      <w:bCs/>
                      <w:color w:val="auto"/>
                      <w:sz w:val="21"/>
                      <w:szCs w:val="21"/>
                      <w:highlight w:val="none"/>
                      <w:lang w:val="en-US" w:eastAsia="zh-CN"/>
                    </w:rPr>
                    <w:t>未</w:t>
                  </w:r>
                  <w:r>
                    <w:rPr>
                      <w:rFonts w:hint="default" w:ascii="Times New Roman" w:hAnsi="Times New Roman" w:eastAsia="宋体" w:cs="Times New Roman"/>
                      <w:bCs/>
                      <w:color w:val="auto"/>
                      <w:sz w:val="21"/>
                      <w:szCs w:val="21"/>
                      <w:highlight w:val="none"/>
                      <w:lang w:eastAsia="zh-CN"/>
                    </w:rPr>
                    <w:t>超过1个月。采用“下铺上盖”方式，四周设置0.2m高围堰；废弃泥浆由收集罐收集、钻井岩屑暂存于固渣暂存处，由防渗漏、防溢流的运输车辆</w:t>
                  </w:r>
                  <w:r>
                    <w:rPr>
                      <w:rFonts w:hint="default"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default" w:ascii="Times New Roman" w:hAnsi="Times New Roman" w:eastAsia="宋体" w:cs="Times New Roman"/>
                      <w:color w:val="000000" w:themeColor="text1"/>
                      <w:sz w:val="21"/>
                      <w:szCs w:val="21"/>
                      <w:lang w:eastAsia="zh-CN"/>
                      <w14:textFill>
                        <w14:solidFill>
                          <w14:schemeClr w14:val="tx1"/>
                        </w14:solidFill>
                      </w14:textFill>
                    </w:rPr>
                    <w:t>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未产生二次污染</w:t>
                  </w:r>
                </w:p>
              </w:tc>
              <w:tc>
                <w:tcPr>
                  <w:tcW w:w="432"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rPr>
                    <w:t>纯碱、膨润土废弃包装</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pacing w:val="0"/>
                      <w:sz w:val="21"/>
                      <w:szCs w:val="21"/>
                      <w:highlight w:val="none"/>
                      <w:lang w:val="en-US" w:eastAsia="zh-CN"/>
                    </w:rPr>
                    <w:t>统一收集后由钻井施工企业回收综合利用</w:t>
                  </w:r>
                </w:p>
              </w:tc>
              <w:tc>
                <w:tcPr>
                  <w:tcW w:w="1416" w:type="pct"/>
                  <w:tcBorders>
                    <w:tl2br w:val="nil"/>
                    <w:tr2bl w:val="nil"/>
                  </w:tcBorders>
                  <w:shd w:val="clear" w:color="auto" w:fill="auto"/>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纯碱、膨润土废弃包装袋经收集后由</w:t>
                  </w:r>
                  <w:r>
                    <w:rPr>
                      <w:rFonts w:hint="eastAsia" w:ascii="Times New Roman" w:hAnsi="Times New Roman" w:eastAsia="宋体" w:cs="Times New Roman"/>
                      <w:color w:val="auto"/>
                      <w:spacing w:val="0"/>
                      <w:sz w:val="21"/>
                      <w:szCs w:val="21"/>
                      <w:highlight w:val="none"/>
                      <w:lang w:val="en-US" w:eastAsia="zh-CN"/>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432" w:type="pct"/>
                  <w:tcBorders>
                    <w:tl2br w:val="nil"/>
                    <w:tr2bl w:val="nil"/>
                  </w:tcBorders>
                  <w:shd w:val="clear" w:color="auto" w:fill="auto"/>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CB34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废防渗布（不含油）：统一收集后由钻井施工企业回收综合利用</w:t>
                  </w:r>
                </w:p>
              </w:tc>
              <w:tc>
                <w:tcPr>
                  <w:tcW w:w="1416" w:type="pct"/>
                  <w:tcBorders>
                    <w:tl2br w:val="nil"/>
                    <w:tr2bl w:val="nil"/>
                  </w:tcBorders>
                  <w:shd w:val="clear" w:color="auto" w:fill="auto"/>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废防渗布（不含油）经收集后由</w:t>
                  </w:r>
                  <w:r>
                    <w:rPr>
                      <w:rFonts w:hint="eastAsia" w:ascii="Times New Roman" w:hAnsi="Times New Roman" w:eastAsia="宋体" w:cs="Times New Roman"/>
                      <w:color w:val="auto"/>
                      <w:spacing w:val="0"/>
                      <w:sz w:val="21"/>
                      <w:szCs w:val="21"/>
                      <w:highlight w:val="none"/>
                      <w:lang w:val="en-US" w:eastAsia="zh-CN"/>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432" w:type="pct"/>
                  <w:tcBorders>
                    <w:tl2br w:val="nil"/>
                    <w:tr2bl w:val="nil"/>
                  </w:tcBorders>
                  <w:shd w:val="clear" w:color="auto" w:fill="auto"/>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建筑垃圾：回收利用</w:t>
                  </w:r>
                </w:p>
              </w:tc>
              <w:tc>
                <w:tcPr>
                  <w:tcW w:w="1416" w:type="pct"/>
                  <w:tcBorders>
                    <w:tl2br w:val="nil"/>
                    <w:tr2bl w:val="nil"/>
                  </w:tcBorders>
                  <w:shd w:val="clear" w:color="auto" w:fill="auto"/>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未产生</w:t>
                  </w:r>
                </w:p>
              </w:tc>
              <w:tc>
                <w:tcPr>
                  <w:tcW w:w="432" w:type="pct"/>
                  <w:tcBorders>
                    <w:tl2br w:val="nil"/>
                    <w:tr2bl w:val="nil"/>
                  </w:tcBorders>
                  <w:shd w:val="clear" w:color="auto" w:fill="auto"/>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59150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7613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CBBCC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6FBD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废过硫酸钾包装袋</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废过硫酸钾包装袋入桶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收集至临时危废贮存库暂存后，定期</w:t>
                  </w:r>
                  <w:r>
                    <w:rPr>
                      <w:rFonts w:hint="default" w:ascii="Times New Roman" w:hAnsi="Times New Roman" w:eastAsia="宋体" w:cs="Times New Roman"/>
                      <w:color w:val="auto"/>
                      <w:spacing w:val="0"/>
                      <w:sz w:val="21"/>
                      <w:szCs w:val="21"/>
                      <w:highlight w:val="none"/>
                    </w:rPr>
                    <w:t>委托有资质单位处置</w:t>
                  </w:r>
                </w:p>
              </w:tc>
              <w:tc>
                <w:tcPr>
                  <w:tcW w:w="1416" w:type="pct"/>
                  <w:tcBorders>
                    <w:tl2br w:val="nil"/>
                    <w:tr2bl w:val="nil"/>
                  </w:tcBorders>
                  <w:shd w:val="clear" w:color="auto" w:fill="auto"/>
                  <w:noWrap w:val="0"/>
                  <w:vAlign w:val="center"/>
                </w:tcPr>
                <w:p w14:paraId="25927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67163F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97435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1CA63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B923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7D1EC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2B5D7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废弃防渗布（沾落地油）</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袋装后收集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2B31C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废弃防渗布（沾落地油）</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752208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E51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31BE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414E4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FCBC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EAFF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落地油</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落地油泥收集桶</w:t>
                  </w:r>
                  <w:r>
                    <w:rPr>
                      <w:rFonts w:hint="default" w:ascii="Times New Roman" w:hAnsi="Times New Roman" w:eastAsia="宋体" w:cs="Times New Roman"/>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rPr>
                    <w:t>铁桶，容量约500L，地上式设置，可以移动）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定期委托有资质的单位进行安全处置</w:t>
                  </w:r>
                </w:p>
              </w:tc>
              <w:tc>
                <w:tcPr>
                  <w:tcW w:w="1416" w:type="pct"/>
                  <w:tcBorders>
                    <w:tl2br w:val="nil"/>
                    <w:tr2bl w:val="nil"/>
                  </w:tcBorders>
                  <w:shd w:val="clear" w:color="auto" w:fill="auto"/>
                  <w:noWrap w:val="0"/>
                  <w:vAlign w:val="center"/>
                </w:tcPr>
                <w:p w14:paraId="599F3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落地油</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82213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68C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228C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376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C784F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63A23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废机油、废润滑油：采用</w:t>
                  </w:r>
                  <w:r>
                    <w:rPr>
                      <w:rFonts w:hint="default" w:ascii="Times New Roman" w:hAnsi="Times New Roman" w:eastAsia="宋体" w:cs="Times New Roman"/>
                      <w:color w:val="auto"/>
                      <w:spacing w:val="0"/>
                      <w:sz w:val="21"/>
                      <w:szCs w:val="21"/>
                      <w:highlight w:val="none"/>
                    </w:rPr>
                    <w:t>废油回收桶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00172A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FF0000"/>
                      <w:spacing w:val="0"/>
                      <w:sz w:val="21"/>
                      <w:szCs w:val="21"/>
                      <w:highlight w:val="none"/>
                      <w:lang w:val="en-US" w:eastAsia="zh-CN" w:bidi="ar-SA"/>
                    </w:rPr>
                    <w:t>未产生</w:t>
                  </w:r>
                </w:p>
              </w:tc>
              <w:tc>
                <w:tcPr>
                  <w:tcW w:w="432" w:type="pct"/>
                  <w:tcBorders>
                    <w:tl2br w:val="nil"/>
                    <w:tr2bl w:val="nil"/>
                  </w:tcBorders>
                  <w:shd w:val="clear" w:color="auto" w:fill="auto"/>
                  <w:noWrap w:val="0"/>
                  <w:vAlign w:val="center"/>
                </w:tcPr>
                <w:p w14:paraId="379E8A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c>
                <w:tcPr>
                  <w:tcW w:w="902" w:type="pct"/>
                  <w:tcBorders>
                    <w:tl2br w:val="nil"/>
                    <w:tr2bl w:val="nil"/>
                  </w:tcBorders>
                  <w:noWrap w:val="0"/>
                  <w:vAlign w:val="center"/>
                </w:tcPr>
                <w:p w14:paraId="6C06B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D12C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9E3EA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5AAEC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53420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rPr>
                    <w:t>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76E148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FC3BF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1DA4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47065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C8E65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6F744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4A5253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eastAsia="zh-CN"/>
                    </w:rPr>
                    <w:t>含油岩屑</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产生后</w:t>
                  </w:r>
                  <w:r>
                    <w:rPr>
                      <w:rFonts w:hint="default" w:ascii="Times New Roman" w:hAnsi="Times New Roman" w:eastAsia="宋体" w:cs="Times New Roman"/>
                      <w:color w:val="auto"/>
                      <w:spacing w:val="0"/>
                      <w:sz w:val="21"/>
                      <w:szCs w:val="21"/>
                      <w:highlight w:val="none"/>
                    </w:rPr>
                    <w:t>立即装袋、密封</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全部由专用车辆运送至污油泥临时储存点暂存，最终交由有资质单位进行妥善处理</w:t>
                  </w:r>
                </w:p>
              </w:tc>
              <w:tc>
                <w:tcPr>
                  <w:tcW w:w="1416" w:type="pct"/>
                  <w:tcBorders>
                    <w:tl2br w:val="nil"/>
                    <w:tr2bl w:val="nil"/>
                  </w:tcBorders>
                  <w:shd w:val="clear" w:color="auto" w:fill="auto"/>
                  <w:noWrap w:val="0"/>
                  <w:vAlign w:val="center"/>
                </w:tcPr>
                <w:p w14:paraId="159C4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eastAsia="zh-CN"/>
                    </w:rPr>
                    <w:t>含油岩屑</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3282F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3AAF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8427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6BA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2F0229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72A9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生活垃圾：集中收集运至当地政府部门指定地点处置</w:t>
                  </w:r>
                </w:p>
              </w:tc>
              <w:tc>
                <w:tcPr>
                  <w:tcW w:w="1416" w:type="pct"/>
                  <w:tcBorders>
                    <w:tl2br w:val="nil"/>
                    <w:tr2bl w:val="nil"/>
                  </w:tcBorders>
                  <w:shd w:val="clear" w:color="auto" w:fill="auto"/>
                  <w:noWrap w:val="0"/>
                  <w:vAlign w:val="center"/>
                </w:tcPr>
                <w:p w14:paraId="61D87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施工场地设置生活垃圾箱（桶）收集后交由就近的生活垃圾中转站，未产生二次污染</w:t>
                  </w:r>
                </w:p>
              </w:tc>
              <w:tc>
                <w:tcPr>
                  <w:tcW w:w="432" w:type="pct"/>
                  <w:tcBorders>
                    <w:tl2br w:val="nil"/>
                    <w:tr2bl w:val="nil"/>
                  </w:tcBorders>
                  <w:shd w:val="clear" w:color="auto" w:fill="auto"/>
                  <w:noWrap w:val="0"/>
                  <w:vAlign w:val="center"/>
                </w:tcPr>
                <w:p w14:paraId="3EB2A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2EF7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CF149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283" w:hRule="atLeast"/>
                <w:jc w:val="center"/>
              </w:trPr>
              <w:tc>
                <w:tcPr>
                  <w:tcW w:w="258" w:type="pct"/>
                  <w:vMerge w:val="continue"/>
                  <w:tcBorders>
                    <w:tl2br w:val="nil"/>
                    <w:tr2bl w:val="nil"/>
                  </w:tcBorders>
                  <w:noWrap w:val="0"/>
                  <w:vAlign w:val="center"/>
                </w:tcPr>
                <w:p w14:paraId="1DDD3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noWrap w:val="0"/>
                  <w:vAlign w:val="center"/>
                </w:tcPr>
                <w:p w14:paraId="4BE4DFC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噪声治理</w:t>
                  </w:r>
                </w:p>
              </w:tc>
              <w:tc>
                <w:tcPr>
                  <w:tcW w:w="1584" w:type="pct"/>
                  <w:tcBorders>
                    <w:tl2br w:val="nil"/>
                    <w:tr2bl w:val="nil"/>
                  </w:tcBorders>
                  <w:noWrap w:val="0"/>
                  <w:vAlign w:val="center"/>
                </w:tcPr>
                <w:p w14:paraId="316B07B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运输车辆运输车辆可以通过加强管理、疏通道路、控制运输时间，减少鸣笛和防止车辆堵塞等方法减轻其影响。</w:t>
                  </w:r>
                </w:p>
              </w:tc>
              <w:tc>
                <w:tcPr>
                  <w:tcW w:w="1416" w:type="pct"/>
                  <w:tcBorders>
                    <w:tl2br w:val="nil"/>
                    <w:tr2bl w:val="nil"/>
                  </w:tcBorders>
                  <w:noWrap w:val="0"/>
                  <w:vAlign w:val="center"/>
                </w:tcPr>
                <w:p w14:paraId="191D2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施工过程</w:t>
                  </w: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运输车辆可以通过加强管理、疏通道路、控制运输时间，减少鸣笛和防止车辆堵塞等方法减轻其影响。</w:t>
                  </w:r>
                  <w:r>
                    <w:rPr>
                      <w:rFonts w:hint="default" w:ascii="Times New Roman" w:hAnsi="Times New Roman" w:eastAsia="宋体" w:cs="Times New Roman"/>
                      <w:color w:val="auto"/>
                      <w:spacing w:val="0"/>
                      <w:sz w:val="21"/>
                      <w:szCs w:val="21"/>
                      <w:highlight w:val="none"/>
                      <w:lang w:val="en-US" w:eastAsia="zh-CN"/>
                    </w:rPr>
                    <w:t>未出现投诉现象</w:t>
                  </w:r>
                </w:p>
              </w:tc>
              <w:tc>
                <w:tcPr>
                  <w:tcW w:w="432" w:type="pct"/>
                  <w:tcBorders>
                    <w:tl2br w:val="nil"/>
                    <w:tr2bl w:val="nil"/>
                  </w:tcBorders>
                  <w:noWrap w:val="0"/>
                  <w:vAlign w:val="center"/>
                </w:tcPr>
                <w:p w14:paraId="48C369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1FEB5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AA4523">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pacing w:val="0"/>
                      <w:kern w:val="21"/>
                      <w:sz w:val="21"/>
                      <w:szCs w:val="21"/>
                      <w:highlight w:val="none"/>
                    </w:rPr>
                  </w:pPr>
                  <w:r>
                    <w:rPr>
                      <w:rFonts w:hint="default" w:ascii="Times New Roman" w:hAnsi="Times New Roman" w:cs="Times New Roman"/>
                      <w:color w:val="auto"/>
                      <w:szCs w:val="21"/>
                    </w:rPr>
                    <w:t>土壤、地下水防范</w:t>
                  </w:r>
                  <w:r>
                    <w:rPr>
                      <w:rFonts w:hint="default" w:ascii="Times New Roman" w:hAnsi="Times New Roman" w:cs="Times New Roman"/>
                      <w:color w:val="auto"/>
                    </w:rPr>
                    <w:t>措施</w:t>
                  </w:r>
                </w:p>
              </w:tc>
              <w:tc>
                <w:tcPr>
                  <w:tcW w:w="1584" w:type="pct"/>
                  <w:tcBorders>
                    <w:tl2br w:val="nil"/>
                    <w:tr2bl w:val="nil"/>
                  </w:tcBorders>
                  <w:noWrap w:val="0"/>
                  <w:vAlign w:val="center"/>
                </w:tcPr>
                <w:p w14:paraId="05AF847F">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临时危废贮存库等划分为重点防渗区，地面底部利用机械将衬层压实，铺设防渗材料（2.0mm厚高密度聚乙烯(HDPE)防渗土工膜），等效黏土防渗层Mb≥6.0m，K≤1×10</w:t>
                  </w:r>
                  <w:r>
                    <w:rPr>
                      <w:rFonts w:hint="default" w:ascii="Times New Roman" w:hAnsi="Times New Roman" w:eastAsia="宋体" w:cs="Times New Roman"/>
                      <w:color w:val="auto"/>
                      <w:kern w:val="2"/>
                      <w:sz w:val="21"/>
                      <w:szCs w:val="22"/>
                      <w:vertAlign w:val="superscript"/>
                      <w:lang w:val="en-US" w:eastAsia="zh-CN" w:bidi="ar-SA"/>
                    </w:rPr>
                    <w:t>-</w:t>
                  </w:r>
                  <w:r>
                    <w:rPr>
                      <w:rFonts w:hint="default" w:ascii="Times New Roman" w:hAnsi="Times New Roman" w:cs="Times New Roman"/>
                      <w:color w:val="auto"/>
                      <w:kern w:val="2"/>
                      <w:sz w:val="21"/>
                      <w:szCs w:val="22"/>
                      <w:vertAlign w:val="superscript"/>
                      <w:lang w:val="en-US" w:eastAsia="zh-CN" w:bidi="ar-SA"/>
                    </w:rPr>
                    <w:t>10</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p>
                <w:p w14:paraId="40715106">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原辅材料存储区、环保厕所、雨水导排渠划分为一般防渗区，地面底部利用机械将衬层压实，铺设防渗材料（1.5mm厚高密度聚乙烯(HDPE)防渗土工膜），等效黏土防渗层Mb≥1.5m，K≤1×10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p>
                <w:p w14:paraId="4EB18D63">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办公室、值班室、机房、泵房、配电房、发电机房、录井房、远控房井场道路区域等划分为简单防渗区，采用黏土碾压方式进行防渗。</w:t>
                  </w:r>
                </w:p>
              </w:tc>
              <w:tc>
                <w:tcPr>
                  <w:tcW w:w="1416"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钻井平台、泥浆不落地系统区、泥浆循环罐区、柴油罐区、临时危废贮存库等划分为重点防渗区，铺设防渗材料（2.0mm厚高密度聚乙烯(HDPE)防渗土工膜）等效黏土防渗层Mb≥6.0m，K≤1×10</w:t>
                  </w:r>
                  <w:r>
                    <w:rPr>
                      <w:rFonts w:hint="default" w:ascii="Times New Roman" w:hAnsi="Times New Roman" w:eastAsia="宋体" w:cs="Times New Roman"/>
                      <w:color w:val="auto"/>
                      <w:kern w:val="2"/>
                      <w:sz w:val="21"/>
                      <w:szCs w:val="22"/>
                      <w:vertAlign w:val="superscript"/>
                      <w:lang w:val="en-US" w:eastAsia="zh-CN" w:bidi="ar-SA"/>
                    </w:rPr>
                    <w:t>-</w:t>
                  </w:r>
                  <w:r>
                    <w:rPr>
                      <w:rFonts w:hint="default" w:ascii="Times New Roman" w:hAnsi="Times New Roman" w:cs="Times New Roman"/>
                      <w:color w:val="auto"/>
                      <w:kern w:val="2"/>
                      <w:sz w:val="21"/>
                      <w:szCs w:val="22"/>
                      <w:vertAlign w:val="superscript"/>
                      <w:lang w:val="en-US" w:eastAsia="zh-CN" w:bidi="ar-SA"/>
                    </w:rPr>
                    <w:t>10</w:t>
                  </w:r>
                  <w:r>
                    <w:rPr>
                      <w:rFonts w:hint="default" w:ascii="Times New Roman" w:hAnsi="Times New Roman" w:eastAsia="宋体" w:cs="Times New Roman"/>
                      <w:color w:val="auto"/>
                      <w:kern w:val="2"/>
                      <w:sz w:val="21"/>
                      <w:szCs w:val="22"/>
                      <w:lang w:val="en-US" w:eastAsia="zh-CN" w:bidi="ar-SA"/>
                    </w:rPr>
                    <w:t>cm/s；辅材料存储区、环保厕所、雨水导排渠划分为一般防渗区，地面底部利用机械将衬层压实，铺设防渗材料（1.5mm厚高密度聚乙烯(HDPE)防渗土工膜），等效黏土防渗层Mb≥1.5m，K≤1×10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cm/s；办公室、值班室、机房、泵房、配电房、发电机房、录井房、远控房井场道路区域等划分为简单防渗区，采用黏土碾压方式进行防渗</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满足防渗要求</w:t>
                  </w:r>
                  <w:r>
                    <w:rPr>
                      <w:rFonts w:hint="default" w:ascii="Times New Roman" w:hAnsi="Times New Roman" w:eastAsia="宋体" w:cs="Times New Roman"/>
                      <w:color w:val="auto"/>
                      <w:sz w:val="21"/>
                      <w:szCs w:val="21"/>
                      <w:lang w:eastAsia="zh-CN"/>
                    </w:rPr>
                    <w:t>，制定各类固废的管理制度进行严格管理，建立</w:t>
                  </w:r>
                  <w:r>
                    <w:rPr>
                      <w:rFonts w:hint="default"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eastAsia="zh-CN"/>
                    </w:rPr>
                    <w:t>各类台账及转移联单。</w:t>
                  </w:r>
                </w:p>
              </w:tc>
              <w:tc>
                <w:tcPr>
                  <w:tcW w:w="432"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5DE5D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restart"/>
                  <w:tcBorders>
                    <w:tl2br w:val="nil"/>
                    <w:tr2bl w:val="nil"/>
                  </w:tcBorders>
                  <w:shd w:val="clear" w:color="auto" w:fill="auto"/>
                  <w:noWrap w:val="0"/>
                  <w:vAlign w:val="center"/>
                </w:tcPr>
                <w:p w14:paraId="2B433294">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bookmarkStart w:id="4" w:name="OLE_LINK1" w:colFirst="2" w:colLast="2"/>
                  <w:r>
                    <w:rPr>
                      <w:rFonts w:hint="default" w:ascii="Times New Roman" w:hAnsi="Times New Roman" w:cs="Times New Roman"/>
                      <w:color w:val="auto"/>
                    </w:rPr>
                    <w:t>风险防范</w:t>
                  </w:r>
                  <w:r>
                    <w:rPr>
                      <w:rFonts w:hint="default" w:ascii="Times New Roman" w:hAnsi="Times New Roman" w:cs="Times New Roman"/>
                      <w:color w:val="auto"/>
                      <w:lang w:val="en-US" w:eastAsia="zh-CN"/>
                    </w:rPr>
                    <w:t>措施</w:t>
                  </w:r>
                </w:p>
              </w:tc>
              <w:tc>
                <w:tcPr>
                  <w:tcW w:w="1584" w:type="pct"/>
                  <w:tcBorders>
                    <w:tl2br w:val="nil"/>
                    <w:tr2bl w:val="nil"/>
                  </w:tcBorders>
                  <w:shd w:val="clear" w:color="auto" w:fill="auto"/>
                  <w:noWrap w:val="0"/>
                  <w:vAlign w:val="center"/>
                </w:tcPr>
                <w:p w14:paraId="20535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1416" w:type="pct"/>
                  <w:tcBorders>
                    <w:tl2br w:val="nil"/>
                    <w:tr2bl w:val="nil"/>
                  </w:tcBorders>
                  <w:noWrap w:val="0"/>
                  <w:vAlign w:val="center"/>
                </w:tcPr>
                <w:p w14:paraId="4597C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施工期间，</w:t>
                  </w:r>
                  <w:r>
                    <w:rPr>
                      <w:rFonts w:hint="default"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432" w:type="pct"/>
                  <w:tcBorders>
                    <w:tl2br w:val="nil"/>
                    <w:tr2bl w:val="nil"/>
                  </w:tcBorders>
                  <w:shd w:val="clear" w:color="auto" w:fill="auto"/>
                  <w:noWrap w:val="0"/>
                  <w:vAlign w:val="center"/>
                </w:tcPr>
                <w:p w14:paraId="5DDC2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5542B3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53B3E1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continue"/>
                  <w:tcBorders>
                    <w:tl2br w:val="nil"/>
                    <w:tr2bl w:val="nil"/>
                  </w:tcBorders>
                  <w:noWrap w:val="0"/>
                  <w:vAlign w:val="center"/>
                </w:tcPr>
                <w:p w14:paraId="5EB7776E">
                  <w:pPr>
                    <w:pStyle w:val="94"/>
                    <w:keepNext w:val="0"/>
                    <w:keepLines w:val="0"/>
                    <w:suppressLineNumbers w:val="0"/>
                    <w:spacing w:before="0" w:beforeAutospacing="0" w:after="0" w:afterAutospacing="0"/>
                    <w:ind w:left="0" w:right="0"/>
                    <w:jc w:val="center"/>
                    <w:rPr>
                      <w:rFonts w:hint="default" w:ascii="Times New Roman" w:hAnsi="Times New Roman" w:cs="Times New Roman"/>
                      <w:color w:val="auto"/>
                      <w:szCs w:val="21"/>
                    </w:rPr>
                  </w:pPr>
                </w:p>
              </w:tc>
              <w:tc>
                <w:tcPr>
                  <w:tcW w:w="1584" w:type="pct"/>
                  <w:tcBorders>
                    <w:tl2br w:val="nil"/>
                    <w:tr2bl w:val="nil"/>
                  </w:tcBorders>
                  <w:shd w:val="clear" w:color="auto" w:fill="auto"/>
                  <w:noWrap w:val="0"/>
                  <w:vAlign w:val="center"/>
                </w:tcPr>
                <w:p w14:paraId="6D3034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井场厂界距居民100m范围内的是JH55P2（西北侧82m处有5户村民、东北侧71m处有9户村民），JH55P2、永平1H、永平2H井场距离干沟位置较近，评价井开钻前，以上井场周围应当设置不低于50cm的砖混围墙。</w:t>
                  </w:r>
                </w:p>
              </w:tc>
              <w:tc>
                <w:tcPr>
                  <w:tcW w:w="1416" w:type="pct"/>
                  <w:tcBorders>
                    <w:tl2br w:val="nil"/>
                    <w:tr2bl w:val="nil"/>
                  </w:tcBorders>
                  <w:noWrap w:val="0"/>
                  <w:vAlign w:val="center"/>
                </w:tcPr>
                <w:p w14:paraId="5DDA7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kern w:val="2"/>
                      <w:sz w:val="21"/>
                      <w:szCs w:val="22"/>
                      <w:lang w:val="en-US" w:eastAsia="zh-CN" w:bidi="ar-SA"/>
                    </w:rPr>
                    <w:t>JH55P2</w:t>
                  </w:r>
                  <w:r>
                    <w:rPr>
                      <w:rFonts w:hint="eastAsia" w:ascii="Times New Roman" w:hAnsi="Times New Roman" w:eastAsia="宋体" w:cs="Times New Roman"/>
                      <w:color w:val="auto"/>
                      <w:sz w:val="21"/>
                      <w:szCs w:val="21"/>
                      <w:lang w:val="en-US" w:eastAsia="zh-CN"/>
                    </w:rPr>
                    <w:t>井场周边设置了50cm的砖混围墙，现已拆除</w:t>
                  </w:r>
                </w:p>
              </w:tc>
              <w:tc>
                <w:tcPr>
                  <w:tcW w:w="432" w:type="pct"/>
                  <w:tcBorders>
                    <w:tl2br w:val="nil"/>
                    <w:tr2bl w:val="nil"/>
                  </w:tcBorders>
                  <w:shd w:val="clear" w:color="auto" w:fill="auto"/>
                  <w:noWrap w:val="0"/>
                  <w:vAlign w:val="center"/>
                </w:tcPr>
                <w:p w14:paraId="1BD26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2C02F6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bookmarkEnd w:id="4"/>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6694460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生态恢复</w:t>
                  </w:r>
                </w:p>
              </w:tc>
              <w:tc>
                <w:tcPr>
                  <w:tcW w:w="1584" w:type="pct"/>
                  <w:tcBorders>
                    <w:tl2br w:val="nil"/>
                    <w:tr2bl w:val="nil"/>
                  </w:tcBorders>
                  <w:noWrap w:val="0"/>
                  <w:vAlign w:val="center"/>
                </w:tcPr>
                <w:p w14:paraId="57ED7922">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1416"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spacing w:val="0"/>
                      <w:kern w:val="21"/>
                      <w:sz w:val="21"/>
                      <w:szCs w:val="21"/>
                      <w:highlight w:val="none"/>
                      <w:lang w:val="en-US" w:eastAsia="zh-CN"/>
                    </w:rPr>
                    <w:t>JH55P2</w:t>
                  </w:r>
                  <w:r>
                    <w:rPr>
                      <w:rFonts w:hint="default" w:ascii="Times New Roman" w:hAnsi="Times New Roman" w:eastAsia="宋体" w:cs="Times New Roman"/>
                      <w:color w:val="auto"/>
                      <w:spacing w:val="0"/>
                      <w:kern w:val="21"/>
                      <w:sz w:val="21"/>
                      <w:szCs w:val="21"/>
                      <w:highlight w:val="none"/>
                      <w:lang w:val="en-US" w:eastAsia="zh-CN"/>
                    </w:rPr>
                    <w:t>场地已恢复平整，井口进行临时关井，待转产，除预留转为生产开发所需的面积外，对其余临时占地进行了恢复，</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对进场道路及井场周边等及时进行了绿化</w:t>
                  </w:r>
                  <w:r>
                    <w:rPr>
                      <w:rFonts w:hint="default" w:ascii="Times New Roman" w:hAnsi="Times New Roman" w:eastAsia="宋体" w:cs="Times New Roman"/>
                      <w:color w:val="auto"/>
                      <w:spacing w:val="0"/>
                      <w:kern w:val="21"/>
                      <w:sz w:val="21"/>
                      <w:szCs w:val="21"/>
                      <w:highlight w:val="none"/>
                      <w:lang w:val="en-US" w:eastAsia="zh-CN"/>
                    </w:rPr>
                    <w:t>。</w:t>
                  </w:r>
                </w:p>
              </w:tc>
              <w:tc>
                <w:tcPr>
                  <w:tcW w:w="432" w:type="pct"/>
                  <w:tcBorders>
                    <w:tl2br w:val="nil"/>
                    <w:tr2bl w:val="nil"/>
                  </w:tcBorders>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一致</w:t>
                  </w:r>
                </w:p>
              </w:tc>
              <w:tc>
                <w:tcPr>
                  <w:tcW w:w="902" w:type="pct"/>
                  <w:tcBorders>
                    <w:tl2br w:val="nil"/>
                    <w:tr2bl w:val="nil"/>
                  </w:tcBorders>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bl>
          <w:p w14:paraId="2974BF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595DBC8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r>
              <w:rPr>
                <w:rFonts w:hint="eastAsia" w:ascii="Times New Roman" w:hAnsi="Times New Roman" w:eastAsia="宋体" w:cs="Times New Roman"/>
                <w:lang w:val="en-US" w:eastAsia="zh-CN"/>
              </w:rPr>
              <w:t>：</w:t>
            </w:r>
          </w:p>
          <w:p w14:paraId="40EB97F1">
            <w:pPr>
              <w:pStyle w:val="5"/>
              <w:widowControl w:val="0"/>
              <w:suppressLineNumbers w:val="0"/>
              <w:spacing w:before="0"/>
              <w:ind w:left="0" w:right="0"/>
              <w:jc w:val="both"/>
              <w:rPr>
                <w:rFonts w:hint="default" w:ascii="Times New Roman" w:hAnsi="Times New Roman" w:eastAsia="宋体" w:cs="Times New Roman"/>
                <w:lang w:val="en-US" w:eastAsia="zh-CN"/>
              </w:rPr>
            </w:pPr>
          </w:p>
          <w:p w14:paraId="604CE544">
            <w:pPr>
              <w:pStyle w:val="5"/>
              <w:widowControl w:val="0"/>
              <w:suppressLineNumbers w:val="0"/>
              <w:spacing w:before="0"/>
              <w:ind w:left="0" w:right="0"/>
              <w:jc w:val="both"/>
              <w:rPr>
                <w:rFonts w:hint="default" w:ascii="Times New Roman" w:hAnsi="Times New Roman" w:eastAsia="宋体" w:cs="Times New Roman"/>
                <w:lang w:val="en-US" w:eastAsia="zh-CN"/>
              </w:rPr>
            </w:pPr>
          </w:p>
          <w:p w14:paraId="3693A1E3">
            <w:pPr>
              <w:keepNext w:val="0"/>
              <w:keepLines w:val="0"/>
              <w:widowControl w:val="0"/>
              <w:suppressLineNumbers w:val="0"/>
              <w:spacing w:before="0" w:beforeAutospacing="0" w:afterAutospacing="0"/>
              <w:ind w:left="0" w:right="0"/>
              <w:jc w:val="both"/>
              <w:rPr>
                <w:rFonts w:hint="default" w:ascii="Times New Roman" w:hAnsi="Times New Roman" w:cs="Times New Roman"/>
                <w:lang w:val="en-US" w:eastAsia="zh-CN"/>
              </w:rPr>
            </w:pPr>
          </w:p>
          <w:p w14:paraId="3B7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tc>
      </w:tr>
    </w:tbl>
    <w:p w14:paraId="24A5DAF1">
      <w:pPr>
        <w:numPr>
          <w:ilvl w:val="0"/>
          <w:numId w:val="0"/>
        </w:numPr>
        <w:rPr>
          <w:rFonts w:hint="default"/>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表</w:t>
      </w:r>
      <w:r>
        <w:rPr>
          <w:rFonts w:hint="default" w:ascii="Times New Roman" w:hAnsi="Times New Roman" w:eastAsia="宋体" w:cs="Times New Roman"/>
          <w:b/>
          <w:bCs/>
          <w:color w:val="auto"/>
          <w:sz w:val="21"/>
          <w:szCs w:val="21"/>
          <w:lang w:val="en-US" w:eastAsia="zh-CN"/>
        </w:rPr>
        <w:t>4-</w:t>
      </w:r>
      <w:r>
        <w:rPr>
          <w:rFonts w:hint="eastAsia" w:ascii="Times New Roman" w:hAnsi="Times New Roman"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rPr>
        <w:t>本项目重大变动判定表</w:t>
      </w:r>
    </w:p>
    <w:tbl>
      <w:tblPr>
        <w:tblStyle w:val="2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705"/>
        <w:gridCol w:w="2717"/>
        <w:gridCol w:w="2700"/>
        <w:gridCol w:w="2835"/>
        <w:gridCol w:w="3005"/>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10"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933"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审查意见</w:t>
            </w:r>
            <w:r>
              <w:rPr>
                <w:rFonts w:hint="default" w:ascii="Times New Roman" w:hAnsi="Times New Roman" w:eastAsia="宋体" w:cs="Times New Roman"/>
                <w:color w:val="auto"/>
                <w:sz w:val="21"/>
                <w:szCs w:val="21"/>
                <w:highlight w:val="none"/>
                <w:lang w:val="en-US" w:eastAsia="zh-CN"/>
              </w:rPr>
              <w:t>中的要求</w:t>
            </w:r>
          </w:p>
        </w:tc>
        <w:tc>
          <w:tcPr>
            <w:tcW w:w="927"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973"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1032"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w:t>
            </w:r>
            <w:r>
              <w:rPr>
                <w:rFonts w:hint="eastAsia" w:ascii="Times New Roman" w:hAnsi="Times New Roman" w:eastAsia="宋体" w:cs="Times New Roman"/>
                <w:color w:val="auto"/>
                <w:sz w:val="21"/>
                <w:szCs w:val="21"/>
                <w:highlight w:val="none"/>
                <w:lang w:val="en-US" w:eastAsia="zh-CN"/>
              </w:rPr>
              <w:t>/履行</w:t>
            </w:r>
            <w:r>
              <w:rPr>
                <w:rFonts w:hint="default" w:ascii="Times New Roman" w:hAnsi="Times New Roman" w:eastAsia="宋体" w:cs="Times New Roman"/>
                <w:color w:val="auto"/>
                <w:sz w:val="21"/>
                <w:szCs w:val="21"/>
                <w:highlight w:val="none"/>
                <w:lang w:val="en-US" w:eastAsia="zh-CN"/>
              </w:rPr>
              <w:t>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是否重大</w:t>
            </w:r>
            <w:r>
              <w:rPr>
                <w:rFonts w:hint="default" w:ascii="Times New Roman" w:hAnsi="Times New Roman" w:eastAsia="宋体" w:cs="Times New Roman"/>
                <w:color w:val="auto"/>
                <w:sz w:val="21"/>
                <w:szCs w:val="21"/>
                <w:highlight w:val="none"/>
                <w:lang w:val="en-US" w:eastAsia="zh-CN"/>
              </w:rPr>
              <w:t>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lang w:val="en-US" w:eastAsia="zh-CN"/>
              </w:rPr>
              <w:t>井场工程</w:t>
            </w:r>
          </w:p>
        </w:tc>
        <w:tc>
          <w:tcPr>
            <w:tcW w:w="513"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933"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27"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73"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032"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933"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927"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973"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1032"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投资</w:t>
            </w:r>
          </w:p>
        </w:tc>
        <w:tc>
          <w:tcPr>
            <w:tcW w:w="933" w:type="pct"/>
            <w:tcBorders>
              <w:tl2br w:val="nil"/>
              <w:tr2bl w:val="nil"/>
            </w:tcBorders>
            <w:shd w:val="clear" w:color="auto" w:fill="auto"/>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项目总投资1300万元，其中环保投资约189.7万元，约占总投资的14.6%</w:t>
            </w:r>
          </w:p>
        </w:tc>
        <w:tc>
          <w:tcPr>
            <w:tcW w:w="927" w:type="pct"/>
            <w:tcBorders>
              <w:tl2br w:val="nil"/>
              <w:tr2bl w:val="nil"/>
            </w:tcBorders>
            <w:shd w:val="clear" w:color="auto" w:fill="auto"/>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项目总投资1300万元，其中环保投资约189.7万元，约占总投资的14.6%</w:t>
            </w:r>
          </w:p>
        </w:tc>
        <w:tc>
          <w:tcPr>
            <w:tcW w:w="973"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FF0000"/>
                <w:sz w:val="21"/>
                <w:szCs w:val="21"/>
                <w:highlight w:val="none"/>
                <w:lang w:val="en-US" w:eastAsia="zh-CN"/>
              </w:rPr>
              <w:t>项目总投资1500万元，其中环保投资约199.35万元，约占总投资的11.0%</w:t>
            </w:r>
          </w:p>
        </w:tc>
        <w:tc>
          <w:tcPr>
            <w:tcW w:w="1032"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因工期较短，未产生废机油、废润滑油，费用降低；</w:t>
            </w:r>
            <w:r>
              <w:rPr>
                <w:rFonts w:hint="default" w:ascii="Times New Roman" w:hAnsi="Times New Roman" w:eastAsia="宋体" w:cs="Times New Roman"/>
                <w:color w:val="auto"/>
                <w:sz w:val="21"/>
                <w:szCs w:val="21"/>
                <w:highlight w:val="none"/>
                <w:lang w:val="en-US" w:eastAsia="zh-CN"/>
              </w:rPr>
              <w:t>未产生建筑垃圾；费用降低。本项目井深变浅，导致施工废水、钻井泥浆、岩屑产生量较环评阶段估计值减少，导致处置费用降低；但由于建设单位施工部署发生变化，导致环评批复了的</w:t>
            </w:r>
            <w:r>
              <w:rPr>
                <w:rFonts w:hint="eastAsia" w:ascii="Times New Roman" w:hAnsi="Times New Roman" w:eastAsia="宋体"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lang w:val="en-US" w:eastAsia="zh-CN"/>
              </w:rPr>
              <w:t>口探井完工</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口，本次验收针对</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口探井进行。综上，总投资及环保投资均减少。</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lang w:val="en-US" w:eastAsia="zh-CN"/>
              </w:rPr>
              <w:t>产能总规模、新钻井总数量增加30%及以上</w:t>
            </w:r>
          </w:p>
        </w:tc>
        <w:tc>
          <w:tcPr>
            <w:tcW w:w="513"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建设</w:t>
            </w:r>
            <w:r>
              <w:rPr>
                <w:rFonts w:hint="default" w:ascii="Times New Roman" w:hAnsi="Times New Roman" w:eastAsia="宋体" w:cs="Times New Roman"/>
                <w:color w:val="auto"/>
                <w:sz w:val="21"/>
                <w:szCs w:val="21"/>
                <w:highlight w:val="none"/>
                <w:lang w:val="en-US" w:eastAsia="zh-CN"/>
              </w:rPr>
              <w:t>规模</w:t>
            </w:r>
          </w:p>
        </w:tc>
        <w:tc>
          <w:tcPr>
            <w:tcW w:w="933"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927" w:type="pct"/>
            <w:tcBorders>
              <w:tl2br w:val="nil"/>
              <w:tr2bl w:val="nil"/>
            </w:tcBorders>
            <w:noWrap w:val="0"/>
            <w:vAlign w:val="center"/>
          </w:tcPr>
          <w:p w14:paraId="27DCA8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2500m</w:t>
            </w:r>
          </w:p>
        </w:tc>
        <w:tc>
          <w:tcPr>
            <w:tcW w:w="973" w:type="pct"/>
            <w:tcBorders>
              <w:tl2br w:val="nil"/>
              <w:tr2bl w:val="nil"/>
            </w:tcBorders>
            <w:noWrap w:val="0"/>
            <w:vAlign w:val="center"/>
          </w:tcPr>
          <w:p w14:paraId="3A1E5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2012m</w:t>
            </w:r>
          </w:p>
        </w:tc>
        <w:tc>
          <w:tcPr>
            <w:tcW w:w="1032" w:type="pct"/>
            <w:tcBorders>
              <w:tl2br w:val="nil"/>
              <w:tr2bl w:val="nil"/>
            </w:tcBorders>
            <w:noWrap w:val="0"/>
            <w:vAlign w:val="center"/>
          </w:tcPr>
          <w:p w14:paraId="7EABD3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变浅488m、变化率19.5%</w:t>
            </w: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DF7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shd w:val="clear" w:color="auto" w:fill="auto"/>
            <w:noWrap w:val="0"/>
            <w:vAlign w:val="center"/>
          </w:tcPr>
          <w:p w14:paraId="00B41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933" w:type="pct"/>
            <w:tcBorders>
              <w:tl2br w:val="nil"/>
              <w:tr2bl w:val="nil"/>
            </w:tcBorders>
            <w:shd w:val="clear" w:color="auto" w:fill="auto"/>
            <w:noWrap w:val="0"/>
            <w:vAlign w:val="center"/>
          </w:tcPr>
          <w:p w14:paraId="28FEF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927" w:type="pct"/>
            <w:tcBorders>
              <w:tl2br w:val="nil"/>
              <w:tr2bl w:val="nil"/>
            </w:tcBorders>
            <w:shd w:val="clear" w:color="auto" w:fill="auto"/>
            <w:noWrap w:val="0"/>
            <w:vAlign w:val="center"/>
          </w:tcPr>
          <w:p w14:paraId="5494A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FF00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2500m</w:t>
            </w:r>
          </w:p>
        </w:tc>
        <w:tc>
          <w:tcPr>
            <w:tcW w:w="973" w:type="pct"/>
            <w:tcBorders>
              <w:tl2br w:val="nil"/>
              <w:tr2bl w:val="nil"/>
            </w:tcBorders>
            <w:shd w:val="clear" w:color="auto" w:fill="auto"/>
            <w:noWrap w:val="0"/>
            <w:vAlign w:val="center"/>
          </w:tcPr>
          <w:p w14:paraId="1ECFF7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，2012m</w:t>
            </w:r>
          </w:p>
        </w:tc>
        <w:tc>
          <w:tcPr>
            <w:tcW w:w="1032" w:type="pct"/>
            <w:tcBorders>
              <w:tl2br w:val="nil"/>
              <w:tr2bl w:val="nil"/>
            </w:tcBorders>
            <w:shd w:val="clear" w:color="auto" w:fill="auto"/>
            <w:noWrap w:val="0"/>
            <w:vAlign w:val="center"/>
          </w:tcPr>
          <w:p w14:paraId="3EB35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w:t>
            </w:r>
            <w:r>
              <w:rPr>
                <w:rFonts w:hint="eastAsia" w:ascii="Times New Roman" w:hAnsi="Times New Roman" w:eastAsia="宋体" w:cs="Times New Roman"/>
                <w:color w:val="auto"/>
                <w:spacing w:val="0"/>
                <w:w w:val="100"/>
                <w:sz w:val="21"/>
                <w:szCs w:val="21"/>
                <w:highlight w:val="none"/>
                <w:lang w:val="en-US" w:eastAsia="zh-CN"/>
              </w:rPr>
              <w:t>变浅</w:t>
            </w:r>
            <w:r>
              <w:rPr>
                <w:rFonts w:hint="eastAsia" w:ascii="Times New Roman" w:hAnsi="Times New Roman" w:eastAsia="宋体" w:cs="Times New Roman"/>
                <w:color w:val="auto"/>
                <w:sz w:val="21"/>
                <w:szCs w:val="21"/>
                <w:highlight w:val="none"/>
                <w:lang w:val="en-US" w:eastAsia="zh-CN"/>
              </w:rPr>
              <w:t>19.5%</w:t>
            </w:r>
            <w:r>
              <w:rPr>
                <w:rFonts w:hint="eastAsia" w:ascii="Times New Roman" w:hAnsi="Times New Roman" w:eastAsia="宋体" w:cs="Times New Roman"/>
                <w:color w:val="auto"/>
                <w:spacing w:val="0"/>
                <w:w w:val="100"/>
                <w:sz w:val="21"/>
                <w:szCs w:val="21"/>
                <w:highlight w:val="none"/>
                <w:lang w:val="en-US" w:eastAsia="zh-CN"/>
              </w:rPr>
              <w:t>，导致相关污染物产生量发生变化，但是均得到有效处置</w:t>
            </w:r>
          </w:p>
        </w:tc>
        <w:tc>
          <w:tcPr>
            <w:tcW w:w="223" w:type="pct"/>
            <w:tcBorders>
              <w:tl2br w:val="nil"/>
              <w:tr2bl w:val="nil"/>
            </w:tcBorders>
            <w:noWrap w:val="0"/>
            <w:vAlign w:val="center"/>
          </w:tcPr>
          <w:p w14:paraId="4F94CE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回注井增加，占地面积范围内新增环境敏感区</w:t>
            </w:r>
          </w:p>
        </w:tc>
        <w:tc>
          <w:tcPr>
            <w:tcW w:w="933" w:type="pct"/>
            <w:tcBorders>
              <w:tl2br w:val="nil"/>
              <w:tr2bl w:val="nil"/>
            </w:tcBorders>
            <w:noWrap w:val="0"/>
            <w:vAlign w:val="center"/>
          </w:tcPr>
          <w:p w14:paraId="6DF2A43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不涉及</w:t>
            </w:r>
          </w:p>
        </w:tc>
        <w:tc>
          <w:tcPr>
            <w:tcW w:w="927"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973"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1032"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13"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933"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p>
        </w:tc>
        <w:tc>
          <w:tcPr>
            <w:tcW w:w="927" w:type="pct"/>
            <w:tcBorders>
              <w:tl2br w:val="nil"/>
              <w:tr2bl w:val="nil"/>
            </w:tcBorders>
            <w:shd w:val="clear" w:color="auto" w:fill="auto"/>
            <w:noWrap w:val="0"/>
            <w:vAlign w:val="center"/>
          </w:tcPr>
          <w:p w14:paraId="170E8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宁县平子镇平子村十一组，坐标E108°09′46.218″，N35°26′08.602″</w:t>
            </w:r>
          </w:p>
        </w:tc>
        <w:tc>
          <w:tcPr>
            <w:tcW w:w="973" w:type="pct"/>
            <w:tcBorders>
              <w:tl2br w:val="nil"/>
              <w:tr2bl w:val="nil"/>
            </w:tcBorders>
            <w:shd w:val="clear" w:color="auto" w:fill="auto"/>
            <w:noWrap w:val="0"/>
            <w:vAlign w:val="center"/>
          </w:tcPr>
          <w:p w14:paraId="2D0708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宁县平子镇平子村十一组，坐标E108°09′46.218″，N35°26′08.602″</w:t>
            </w:r>
          </w:p>
        </w:tc>
        <w:tc>
          <w:tcPr>
            <w:tcW w:w="1032"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10"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933"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27"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73"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1032"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50" w:type="dxa"/>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生产工艺</w:t>
            </w:r>
          </w:p>
        </w:tc>
        <w:tc>
          <w:tcPr>
            <w:tcW w:w="2717" w:type="dxa"/>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w:t>
            </w:r>
          </w:p>
        </w:tc>
        <w:tc>
          <w:tcPr>
            <w:tcW w:w="927"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油、气</w:t>
            </w:r>
            <w:r>
              <w:rPr>
                <w:rFonts w:hint="default" w:ascii="Times New Roman" w:hAnsi="Times New Roman" w:eastAsia="宋体" w:cs="Times New Roman"/>
                <w:color w:val="auto"/>
                <w:sz w:val="21"/>
                <w:szCs w:val="21"/>
                <w:highlight w:val="none"/>
                <w:lang w:val="en-US" w:eastAsia="zh-CN"/>
              </w:rPr>
              <w:t>等)</w:t>
            </w:r>
          </w:p>
        </w:tc>
        <w:tc>
          <w:tcPr>
            <w:tcW w:w="973"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w:t>
            </w:r>
            <w:r>
              <w:rPr>
                <w:rFonts w:hint="default" w:ascii="Times New Roman" w:hAnsi="Times New Roman" w:eastAsia="宋体" w:cs="Times New Roman"/>
                <w:color w:val="auto"/>
                <w:sz w:val="21"/>
                <w:szCs w:val="21"/>
                <w:highlight w:val="none"/>
                <w:lang w:val="en-US" w:eastAsia="zh-CN"/>
              </w:rPr>
              <w:t>等)</w:t>
            </w:r>
          </w:p>
        </w:tc>
        <w:tc>
          <w:tcPr>
            <w:tcW w:w="1032" w:type="pct"/>
            <w:tcBorders>
              <w:tl2br w:val="nil"/>
              <w:tr2bl w:val="nil"/>
            </w:tcBorders>
            <w:noWrap w:val="0"/>
            <w:vAlign w:val="center"/>
          </w:tcPr>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未变：完井后经</w:t>
            </w:r>
            <w:r>
              <w:rPr>
                <w:rFonts w:hint="default" w:ascii="Times New Roman" w:hAnsi="Times New Roman" w:eastAsia="宋体" w:cs="Times New Roman"/>
                <w:color w:val="auto"/>
                <w:sz w:val="21"/>
                <w:szCs w:val="21"/>
                <w:highlight w:val="none"/>
                <w:lang w:val="en-US" w:eastAsia="zh-CN"/>
              </w:rPr>
              <w:t>试</w:t>
            </w:r>
            <w:r>
              <w:rPr>
                <w:rFonts w:hint="eastAsia" w:ascii="Times New Roman" w:hAnsi="Times New Roman" w:eastAsia="宋体" w:cs="Times New Roman"/>
                <w:color w:val="auto"/>
                <w:sz w:val="21"/>
                <w:szCs w:val="21"/>
                <w:highlight w:val="none"/>
                <w:lang w:val="en-US" w:eastAsia="zh-CN"/>
              </w:rPr>
              <w:t>油井场具有开采价值，已采取临时关井措施。</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与经批复的环境影响评价文件相比危险废物实际产生种类增加或数量增加、危险废物处置方式由外委改为自行处置或处置方式变化导致不利环境影响加重，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废气</w:t>
            </w:r>
          </w:p>
        </w:tc>
        <w:tc>
          <w:tcPr>
            <w:tcW w:w="242" w:type="pct"/>
            <w:tcBorders>
              <w:tl2br w:val="nil"/>
              <w:tr2bl w:val="nil"/>
            </w:tcBorders>
            <w:shd w:val="clear" w:color="auto" w:fill="auto"/>
            <w:noWrap w:val="0"/>
            <w:vAlign w:val="center"/>
          </w:tcPr>
          <w:p w14:paraId="75ABC3BD">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rPr>
              <w:t>施工扬尘</w:t>
            </w:r>
          </w:p>
        </w:tc>
        <w:tc>
          <w:tcPr>
            <w:tcW w:w="933" w:type="pct"/>
            <w:vMerge w:val="restart"/>
            <w:tcBorders>
              <w:tl2br w:val="nil"/>
              <w:tr2bl w:val="nil"/>
            </w:tcBorders>
            <w:noWrap w:val="0"/>
            <w:vAlign w:val="center"/>
          </w:tcPr>
          <w:p w14:paraId="0BBDA1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64EB8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井场洒水抑尘，表土及建材堆放设置挡板、上覆遮盖材料，施工运输车辆采取密闭措施或加盖防尘布，临时道路配备洒水车定期洒水抑尘</w:t>
            </w:r>
          </w:p>
        </w:tc>
        <w:tc>
          <w:tcPr>
            <w:tcW w:w="973" w:type="pct"/>
            <w:tcBorders>
              <w:tl2br w:val="nil"/>
              <w:tr2bl w:val="nil"/>
            </w:tcBorders>
            <w:noWrap w:val="0"/>
            <w:vAlign w:val="center"/>
          </w:tcPr>
          <w:p w14:paraId="610455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0040061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2A0DC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p>
        </w:tc>
        <w:tc>
          <w:tcPr>
            <w:tcW w:w="1032"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87EFF2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柴油发电机燃烧烟气</w:t>
            </w:r>
          </w:p>
        </w:tc>
        <w:tc>
          <w:tcPr>
            <w:tcW w:w="933"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柴油发电机燃烧烟气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选用环保型柴油发电机，使用优质轻柴油，简易排气筒排放；排气管朝向避开农户分布及项目区工作人员办公生活的方位</w:t>
            </w:r>
          </w:p>
        </w:tc>
        <w:tc>
          <w:tcPr>
            <w:tcW w:w="973"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eastAsia"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1032"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A06C25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汽车尾气</w:t>
            </w:r>
          </w:p>
        </w:tc>
        <w:tc>
          <w:tcPr>
            <w:tcW w:w="933"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车辆排放的尾气为流动的线源，影响范围较大，但其污染不集中且扩散能力相对较快，</w:t>
            </w:r>
            <w:r>
              <w:rPr>
                <w:rFonts w:hint="eastAsia" w:ascii="Times New Roman" w:hAnsi="Times New Roman" w:eastAsia="宋体" w:cs="Times New Roman"/>
                <w:color w:val="auto"/>
                <w:sz w:val="21"/>
                <w:szCs w:val="21"/>
                <w:lang w:val="en-US" w:eastAsia="zh-CN"/>
              </w:rPr>
              <w:t>影响较小</w:t>
            </w:r>
          </w:p>
        </w:tc>
        <w:tc>
          <w:tcPr>
            <w:tcW w:w="973"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加强管理、定期保养，满足《大气污染物综合排放标准》(GB16297-1996)二级标准</w:t>
            </w:r>
          </w:p>
        </w:tc>
        <w:tc>
          <w:tcPr>
            <w:tcW w:w="1032"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585EB38">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伴生气</w:t>
            </w:r>
          </w:p>
        </w:tc>
        <w:tc>
          <w:tcPr>
            <w:tcW w:w="933"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伴生气产生量很小，无法量化，无组织排放</w:t>
            </w:r>
          </w:p>
        </w:tc>
        <w:tc>
          <w:tcPr>
            <w:tcW w:w="973"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无组织排放，满足《陆上石油天然气开采工业大气污染物排放标准》(GB39728-2020)中污染物控制要求</w:t>
            </w:r>
          </w:p>
        </w:tc>
        <w:tc>
          <w:tcPr>
            <w:tcW w:w="1032"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242"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生产废水</w:t>
            </w:r>
          </w:p>
        </w:tc>
        <w:tc>
          <w:tcPr>
            <w:tcW w:w="933" w:type="pct"/>
            <w:tcBorders>
              <w:tl2br w:val="nil"/>
              <w:tr2bl w:val="nil"/>
            </w:tcBorders>
            <w:noWrap w:val="0"/>
            <w:vAlign w:val="center"/>
          </w:tcPr>
          <w:p w14:paraId="1BDD62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位于一般生态空间的,按照《报告表》要求，井场周围设不低于 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w:t>
            </w:r>
          </w:p>
        </w:tc>
        <w:tc>
          <w:tcPr>
            <w:tcW w:w="927"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气）等井下作业废水收集至地上废水罐（位于泥浆循环罐区）临时贮存，由罐车拉运至泾河8撬装式水净化站处理达标后回注，不外排。</w:t>
            </w:r>
          </w:p>
        </w:tc>
        <w:tc>
          <w:tcPr>
            <w:tcW w:w="973" w:type="pct"/>
            <w:tcBorders>
              <w:tl2br w:val="nil"/>
              <w:tr2bl w:val="nil"/>
            </w:tcBorders>
            <w:noWrap w:val="0"/>
            <w:vAlign w:val="center"/>
          </w:tcPr>
          <w:p w14:paraId="2CD7C0C3">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施工期</w:t>
            </w: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p>
          <w:p w14:paraId="12FF9429">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contextualSpacing/>
              <w:jc w:val="both"/>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本项目采取泥浆不落地处理工艺，经固液分离后产生的钻井废水部分回用于配置钻井泥浆，不可回用部分同洗井废水、压裂返排液一起由地上收集罐统一收集，</w:t>
            </w:r>
            <w:r>
              <w:rPr>
                <w:rFonts w:hint="eastAsia" w:ascii="Times New Roman" w:hAnsi="Times New Roman" w:eastAsia="宋体" w:cs="Times New Roman"/>
                <w:color w:val="auto"/>
                <w:szCs w:val="21"/>
                <w:lang w:val="en-US" w:eastAsia="zh-CN"/>
              </w:rPr>
              <w:t>雨水经雨水收集罐收集，</w:t>
            </w:r>
            <w:r>
              <w:rPr>
                <w:rFonts w:hint="default" w:ascii="Times New Roman" w:hAnsi="Times New Roman" w:eastAsia="宋体" w:cs="Times New Roman"/>
                <w:color w:val="auto"/>
                <w:szCs w:val="21"/>
                <w:lang w:val="en-US" w:eastAsia="zh-CN"/>
              </w:rPr>
              <w:t>井下作业完成后</w:t>
            </w:r>
            <w:r>
              <w:rPr>
                <w:rFonts w:hint="default" w:ascii="Times New Roman" w:hAnsi="Times New Roman" w:eastAsia="宋体" w:cs="Times New Roman"/>
                <w:color w:val="auto"/>
                <w:szCs w:val="21"/>
              </w:rPr>
              <w:t>，由防渗漏、防溢流的运输车辆统一转移至</w:t>
            </w:r>
            <w:r>
              <w:rPr>
                <w:rFonts w:hint="default" w:ascii="Times New Roman" w:hAnsi="Times New Roman" w:eastAsia="宋体" w:cs="Times New Roman"/>
                <w:color w:val="auto"/>
                <w:sz w:val="21"/>
                <w:szCs w:val="21"/>
                <w:highlight w:val="none"/>
                <w:lang w:val="en-US" w:eastAsia="zh-CN"/>
              </w:rPr>
              <w:t>由罐车拉运至泾河8撬装式水净化站处理达标后回注</w:t>
            </w:r>
            <w:r>
              <w:rPr>
                <w:rFonts w:hint="eastAsia" w:ascii="Times New Roman" w:hAnsi="Times New Roman" w:eastAsia="宋体" w:cs="Times New Roman"/>
                <w:color w:val="auto"/>
                <w:sz w:val="21"/>
                <w:szCs w:val="21"/>
                <w:highlight w:val="none"/>
                <w:lang w:val="en-US" w:eastAsia="zh-CN"/>
              </w:rPr>
              <w:t>，未</w:t>
            </w:r>
            <w:r>
              <w:rPr>
                <w:rFonts w:hint="default" w:ascii="Times New Roman" w:hAnsi="Times New Roman" w:eastAsia="宋体" w:cs="Times New Roman"/>
                <w:color w:val="auto"/>
                <w:sz w:val="21"/>
                <w:szCs w:val="21"/>
                <w:highlight w:val="none"/>
                <w:lang w:val="en-US" w:eastAsia="zh-CN"/>
              </w:rPr>
              <w:t>外排</w:t>
            </w:r>
            <w:r>
              <w:rPr>
                <w:rFonts w:hint="eastAsia" w:ascii="Times New Roman" w:hAnsi="Times New Roman" w:eastAsia="宋体" w:cs="Times New Roman"/>
                <w:color w:val="auto"/>
                <w:sz w:val="21"/>
                <w:szCs w:val="21"/>
                <w:highlight w:val="none"/>
                <w:lang w:val="en-US" w:eastAsia="zh-CN"/>
              </w:rPr>
              <w:t>。</w:t>
            </w:r>
          </w:p>
          <w:p w14:paraId="4E748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（3）</w:t>
            </w:r>
            <w:r>
              <w:rPr>
                <w:rFonts w:hint="eastAsia" w:ascii="Times New Roman" w:hAnsi="Times New Roman" w:eastAsia="宋体" w:cs="Times New Roman"/>
                <w:color w:val="0000FF"/>
                <w:sz w:val="21"/>
                <w:szCs w:val="21"/>
                <w:highlight w:val="none"/>
                <w:lang w:val="en-US" w:eastAsia="zh-CN"/>
              </w:rPr>
              <w:t>JH55P2</w:t>
            </w:r>
            <w:r>
              <w:rPr>
                <w:rFonts w:hint="eastAsia" w:ascii="Times New Roman" w:hAnsi="Times New Roman" w:eastAsia="宋体" w:cs="Times New Roman"/>
                <w:color w:val="0000FF"/>
                <w:szCs w:val="21"/>
                <w:lang w:val="en-US" w:eastAsia="zh-CN"/>
              </w:rPr>
              <w:t>井场及防渗布周围设置20cm高土围堰。</w:t>
            </w:r>
            <w:r>
              <w:rPr>
                <w:rFonts w:hint="eastAsia" w:ascii="Times New Roman" w:hAnsi="Times New Roman" w:eastAsia="宋体" w:cs="Times New Roman"/>
                <w:color w:val="0000FF"/>
                <w:kern w:val="2"/>
                <w:sz w:val="21"/>
                <w:szCs w:val="22"/>
                <w:lang w:val="en-US" w:eastAsia="zh-CN" w:bidi="ar-SA"/>
              </w:rPr>
              <w:t>井场周边设置50cm的砖混围墙，现已拆除</w:t>
            </w:r>
            <w:r>
              <w:rPr>
                <w:rFonts w:hint="eastAsia" w:ascii="Times New Roman" w:hAnsi="Times New Roman" w:eastAsia="宋体" w:cs="Times New Roman"/>
                <w:color w:val="0000FF"/>
                <w:szCs w:val="21"/>
                <w:lang w:val="en-US" w:eastAsia="zh-CN"/>
              </w:rPr>
              <w:t>。</w:t>
            </w:r>
          </w:p>
        </w:tc>
        <w:tc>
          <w:tcPr>
            <w:tcW w:w="1032"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242"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生活污水</w:t>
            </w:r>
          </w:p>
        </w:tc>
        <w:tc>
          <w:tcPr>
            <w:tcW w:w="933" w:type="pct"/>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井场营地内设置的移动式环保厕所，定期清掏用作农肥。</w:t>
            </w:r>
          </w:p>
        </w:tc>
        <w:tc>
          <w:tcPr>
            <w:tcW w:w="927"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施工期生活污水均排入移动式环保厕所，粪便定期清运，盥洗废水可就地泼洒用于施工场地抑尘。</w:t>
            </w:r>
          </w:p>
        </w:tc>
        <w:tc>
          <w:tcPr>
            <w:tcW w:w="973" w:type="pct"/>
            <w:tcBorders>
              <w:tl2br w:val="nil"/>
              <w:tr2bl w:val="nil"/>
            </w:tcBorders>
            <w:shd w:val="clear" w:color="auto" w:fill="auto"/>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sz w:val="22"/>
                <w:szCs w:val="21"/>
                <w:lang w:val="en-US" w:eastAsia="zh-CN" w:bidi="ar-SA"/>
              </w:rPr>
            </w:pPr>
            <w:r>
              <w:rPr>
                <w:rFonts w:hint="default" w:ascii="Times New Roman" w:hAnsi="Times New Roman" w:eastAsia="宋体" w:cs="Times New Roman"/>
                <w:color w:val="auto"/>
                <w:sz w:val="21"/>
                <w:szCs w:val="21"/>
                <w:highlight w:val="none"/>
                <w:lang w:val="en-US" w:eastAsia="zh-CN"/>
              </w:rPr>
              <w:t>施工期生活污水均排入移动式环保厕所</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粪便定期清运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盥洗废水就地泼洒用于施工场地抑尘。</w:t>
            </w:r>
          </w:p>
        </w:tc>
        <w:tc>
          <w:tcPr>
            <w:tcW w:w="1032" w:type="pct"/>
            <w:tcBorders>
              <w:tl2br w:val="nil"/>
              <w:tr2bl w:val="nil"/>
            </w:tcBorders>
            <w:shd w:val="clear" w:color="auto" w:fill="auto"/>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242"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Cs w:val="21"/>
                <w:lang w:val="en-US" w:eastAsia="zh-CN"/>
              </w:rPr>
              <w:t>设备噪声</w:t>
            </w:r>
          </w:p>
        </w:tc>
        <w:tc>
          <w:tcPr>
            <w:tcW w:w="933" w:type="pct"/>
            <w:tcBorders>
              <w:tl2br w:val="nil"/>
              <w:tr2bl w:val="nil"/>
            </w:tcBorders>
            <w:noWrap w:val="0"/>
            <w:vAlign w:val="center"/>
          </w:tcPr>
          <w:p w14:paraId="54DA8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927" w:type="pct"/>
            <w:tcBorders>
              <w:tl2br w:val="nil"/>
              <w:tr2bl w:val="nil"/>
            </w:tcBorders>
            <w:noWrap w:val="0"/>
            <w:vAlign w:val="center"/>
          </w:tcPr>
          <w:p w14:paraId="7D82E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合理布局、选用低噪设备；泥浆泵加衬弹性垫料，管理和作业过程中平稳操作，避免特种作业时产生非正常的噪声；柴油发电机设置基础减震等，运输车辆运输车辆可以通过加强管理、疏通道路、控制运输时间，减少鸣笛和防止车辆堵塞等方法减轻其影响。</w:t>
            </w:r>
          </w:p>
        </w:tc>
        <w:tc>
          <w:tcPr>
            <w:tcW w:w="973" w:type="pct"/>
            <w:tcBorders>
              <w:tl2br w:val="nil"/>
              <w:tr2bl w:val="nil"/>
            </w:tcBorders>
            <w:shd w:val="clear" w:color="auto" w:fill="auto"/>
            <w:noWrap w:val="0"/>
            <w:vAlign w:val="center"/>
          </w:tcPr>
          <w:p w14:paraId="2549D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Cs w:val="21"/>
                <w:lang w:val="en-US" w:eastAsia="zh-CN"/>
              </w:rPr>
              <w:t>施工期噪声污染防治工作。合理安排强噪声施工机械的工作频次、时限。选用低噪声机械设备，</w:t>
            </w:r>
            <w:r>
              <w:rPr>
                <w:rFonts w:hint="default" w:ascii="Times New Roman" w:hAnsi="Times New Roman" w:eastAsia="宋体" w:cs="Times New Roman"/>
                <w:color w:val="auto"/>
                <w:szCs w:val="21"/>
                <w:lang w:val="en-US" w:eastAsia="zh-CN"/>
              </w:rPr>
              <w:t>泥浆泵加衬弹性垫料，管理和作业过程中平稳操作；柴油发电机设置基础减震等，运输车辆通过加强管理、疏通道路、控制运输时间，减少鸣笛和防止车辆堵塞</w:t>
            </w:r>
            <w:r>
              <w:rPr>
                <w:rFonts w:hint="eastAsia" w:ascii="Times New Roman" w:hAnsi="Times New Roman" w:eastAsia="宋体" w:cs="Times New Roman"/>
                <w:color w:val="auto"/>
                <w:szCs w:val="21"/>
                <w:lang w:val="en-US" w:eastAsia="zh-CN"/>
              </w:rPr>
              <w:t>;施工场界噪声排放满足《建筑施工场界噪声限值》(GB12523-2011)标准的要求。</w:t>
            </w:r>
          </w:p>
        </w:tc>
        <w:tc>
          <w:tcPr>
            <w:tcW w:w="1032"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固体</w:t>
            </w:r>
            <w:r>
              <w:rPr>
                <w:rFonts w:hint="default" w:ascii="Times New Roman" w:hAnsi="Times New Roman" w:eastAsia="宋体" w:cs="Times New Roman"/>
                <w:color w:val="auto"/>
                <w:sz w:val="21"/>
                <w:szCs w:val="21"/>
                <w:highlight w:val="none"/>
                <w:lang w:val="en-US" w:eastAsia="zh-CN"/>
              </w:rPr>
              <w:t>废物</w:t>
            </w:r>
          </w:p>
        </w:tc>
        <w:tc>
          <w:tcPr>
            <w:tcW w:w="242"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生活垃圾</w:t>
            </w:r>
          </w:p>
        </w:tc>
        <w:tc>
          <w:tcPr>
            <w:tcW w:w="933" w:type="pct"/>
            <w:tcBorders>
              <w:tl2br w:val="nil"/>
              <w:tr2bl w:val="nil"/>
            </w:tcBorders>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生活垃圾统一收集运输至环卫部门指定地点处置</w:t>
            </w:r>
          </w:p>
        </w:tc>
        <w:tc>
          <w:tcPr>
            <w:tcW w:w="927"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项目区内设置生活垃圾收集箱，经收集后由当地环卫部门处理。</w:t>
            </w:r>
          </w:p>
        </w:tc>
        <w:tc>
          <w:tcPr>
            <w:tcW w:w="973"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井场设置</w:t>
            </w:r>
            <w:r>
              <w:rPr>
                <w:rFonts w:hint="default" w:ascii="Times New Roman" w:hAnsi="Times New Roman" w:eastAsia="宋体" w:cs="Times New Roman"/>
                <w:color w:val="auto"/>
                <w:szCs w:val="21"/>
              </w:rPr>
              <w:t>垃圾收集箱</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Cs w:val="21"/>
              </w:rPr>
              <w:t>经收集后就近的</w:t>
            </w:r>
            <w:r>
              <w:rPr>
                <w:rFonts w:hint="eastAsia" w:ascii="Times New Roman" w:hAnsi="Times New Roman" w:eastAsia="宋体" w:cs="Times New Roman"/>
                <w:color w:val="auto"/>
                <w:szCs w:val="21"/>
                <w:lang w:eastAsia="zh-CN"/>
              </w:rPr>
              <w:t>垃圾中转站</w:t>
            </w:r>
          </w:p>
        </w:tc>
        <w:tc>
          <w:tcPr>
            <w:tcW w:w="1032"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933" w:type="pct"/>
            <w:vMerge w:val="restart"/>
            <w:tcBorders>
              <w:tl2br w:val="nil"/>
              <w:tr2bl w:val="nil"/>
            </w:tcBorders>
            <w:noWrap w:val="0"/>
            <w:vAlign w:val="center"/>
          </w:tcPr>
          <w:p w14:paraId="04EA11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z w:val="21"/>
                <w:szCs w:val="21"/>
                <w:highlight w:val="none"/>
                <w:lang w:val="en-US" w:eastAsia="zh-CN"/>
              </w:rPr>
              <w:t>分类暂存在场地，并建立管理台账及转移联单，定期委托有资质的单位进行安全处置。</w:t>
            </w:r>
          </w:p>
        </w:tc>
        <w:tc>
          <w:tcPr>
            <w:tcW w:w="927"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或制作烧结砖资源化综合利用</w:t>
            </w:r>
          </w:p>
        </w:tc>
        <w:tc>
          <w:tcPr>
            <w:tcW w:w="973"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default" w:ascii="Times New Roman" w:hAnsi="Times New Roman" w:eastAsia="宋体" w:cs="Times New Roman"/>
                <w:color w:val="auto"/>
                <w:sz w:val="21"/>
                <w:szCs w:val="21"/>
                <w:lang w:val="en-US" w:eastAsia="zh-CN" w:bidi="ar-SA"/>
              </w:rPr>
              <w:t>井场内暂存时间</w:t>
            </w:r>
            <w:r>
              <w:rPr>
                <w:rFonts w:hint="eastAsia" w:ascii="Times New Roman" w:hAnsi="Times New Roman" w:eastAsia="宋体" w:cs="Times New Roman"/>
                <w:color w:val="auto"/>
                <w:sz w:val="21"/>
                <w:szCs w:val="21"/>
                <w:lang w:val="en-US" w:eastAsia="zh-CN" w:bidi="ar-SA"/>
              </w:rPr>
              <w:t>未</w:t>
            </w:r>
            <w:r>
              <w:rPr>
                <w:rFonts w:hint="default" w:ascii="Times New Roman" w:hAnsi="Times New Roman" w:eastAsia="宋体" w:cs="Times New Roman"/>
                <w:color w:val="auto"/>
                <w:sz w:val="21"/>
                <w:szCs w:val="21"/>
                <w:lang w:val="en-US" w:eastAsia="zh-CN" w:bidi="ar-SA"/>
              </w:rPr>
              <w:t>超过1个</w:t>
            </w:r>
            <w:r>
              <w:rPr>
                <w:rFonts w:hint="eastAsia" w:ascii="Times New Roman" w:hAnsi="Times New Roman" w:eastAsia="宋体" w:cs="Times New Roman"/>
                <w:color w:val="auto"/>
                <w:sz w:val="21"/>
                <w:szCs w:val="21"/>
                <w:lang w:val="en-US" w:eastAsia="zh-CN" w:bidi="ar-SA"/>
              </w:rPr>
              <w:t>月，</w:t>
            </w:r>
            <w:r>
              <w:rPr>
                <w:rFonts w:hint="default" w:ascii="Times New Roman" w:hAnsi="Times New Roman" w:eastAsia="宋体" w:cs="Times New Roman"/>
                <w:color w:val="auto"/>
                <w:sz w:val="21"/>
                <w:szCs w:val="21"/>
                <w:lang w:val="en-US" w:eastAsia="zh-CN" w:bidi="ar-SA"/>
              </w:rPr>
              <w:t>采用“下铺上盖”方式，四周设置0.2m高围堰</w:t>
            </w: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zCs w:val="21"/>
                <w:lang w:val="en-US" w:eastAsia="zh-CN"/>
              </w:rPr>
              <w:t>未产生二次污染</w:t>
            </w:r>
          </w:p>
        </w:tc>
        <w:tc>
          <w:tcPr>
            <w:tcW w:w="1032" w:type="pct"/>
            <w:tcBorders>
              <w:tl2br w:val="nil"/>
              <w:tr2bl w:val="nil"/>
            </w:tcBorders>
            <w:shd w:val="clear" w:color="auto" w:fill="auto"/>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933"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76F43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w:t>
            </w:r>
            <w:r>
              <w:rPr>
                <w:rFonts w:hint="eastAsia" w:ascii="Times New Roman" w:hAnsi="Times New Roman" w:eastAsia="宋体" w:cs="Times New Roman"/>
                <w:color w:val="auto"/>
                <w:spacing w:val="0"/>
                <w:sz w:val="21"/>
                <w:szCs w:val="21"/>
                <w:highlight w:val="none"/>
                <w:lang w:val="en-US" w:eastAsia="zh-CN"/>
              </w:rPr>
              <w:t>袋经收集后由五普40837HB处置，未产生二次污染</w:t>
            </w:r>
          </w:p>
        </w:tc>
        <w:tc>
          <w:tcPr>
            <w:tcW w:w="1032"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933"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经收集后由五普40837HB处置，未产生二次污染</w:t>
            </w:r>
          </w:p>
        </w:tc>
        <w:tc>
          <w:tcPr>
            <w:tcW w:w="1032"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8127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933"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废过硫酸钾包装袋入桶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暂存后，定期委托有资质单位处置</w:t>
            </w:r>
          </w:p>
        </w:tc>
        <w:tc>
          <w:tcPr>
            <w:tcW w:w="973"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933"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袋装后收集至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933"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落地油泥收集桶</w:t>
            </w:r>
            <w:r>
              <w:rPr>
                <w:rFonts w:hint="eastAsia" w:ascii="Times New Roman" w:hAnsi="Times New Roman" w:eastAsia="宋体" w:cs="Times New Roman"/>
                <w:color w:val="auto"/>
                <w:szCs w:val="21"/>
                <w:lang w:val="en-US" w:eastAsia="zh-CN"/>
              </w:rPr>
              <w:t>收集（</w:t>
            </w:r>
            <w:r>
              <w:rPr>
                <w:rFonts w:hint="default" w:ascii="Times New Roman" w:hAnsi="Times New Roman" w:eastAsia="宋体" w:cs="Times New Roman"/>
                <w:color w:val="auto"/>
                <w:szCs w:val="21"/>
                <w:lang w:val="en-US" w:eastAsia="zh-CN"/>
              </w:rPr>
              <w:t>铁桶，容量约500L，地上式设置，可以移动），定期委托有资质的单位进行安全处置</w:t>
            </w:r>
          </w:p>
        </w:tc>
        <w:tc>
          <w:tcPr>
            <w:tcW w:w="973"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8B3976">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1"/>
                <w:lang w:val="en-US" w:eastAsia="zh-CN" w:bidi="ar-SA"/>
              </w:rPr>
            </w:pPr>
            <w:r>
              <w:rPr>
                <w:rFonts w:hint="default" w:ascii="Times New Roman" w:hAnsi="Times New Roman" w:cs="Times New Roman"/>
                <w:color w:val="auto"/>
                <w:sz w:val="21"/>
                <w:szCs w:val="21"/>
              </w:rPr>
              <w:t>废机油</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废润滑油</w:t>
            </w:r>
          </w:p>
        </w:tc>
        <w:tc>
          <w:tcPr>
            <w:tcW w:w="933"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采用废油回收桶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FF0000"/>
                <w:spacing w:val="0"/>
                <w:sz w:val="21"/>
                <w:szCs w:val="21"/>
                <w:highlight w:val="none"/>
                <w:lang w:val="en-US" w:eastAsia="zh-CN" w:bidi="ar-SA"/>
              </w:rPr>
              <w:t>未产生</w:t>
            </w:r>
          </w:p>
        </w:tc>
        <w:tc>
          <w:tcPr>
            <w:tcW w:w="1032"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29DD2CF">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2"/>
                <w:lang w:val="en-US" w:eastAsia="zh-CN" w:bidi="ar-SA"/>
              </w:rPr>
            </w:pPr>
            <w:r>
              <w:rPr>
                <w:rFonts w:hint="eastAsia" w:ascii="Times New Roman" w:hAnsi="Times New Roman" w:cs="Times New Roman"/>
                <w:color w:val="auto"/>
                <w:sz w:val="21"/>
                <w:szCs w:val="21"/>
                <w:lang w:val="en-US" w:eastAsia="zh-CN"/>
              </w:rPr>
              <w:t>废含油抹布</w:t>
            </w:r>
          </w:p>
        </w:tc>
        <w:tc>
          <w:tcPr>
            <w:tcW w:w="933"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废含油抹布采用废含油抹布回收桶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废含油抹布经收集暂存于临时危废贮存库后，委托庆阳丰泰环保有限责任公司处置，未产生二次污染</w:t>
            </w:r>
          </w:p>
        </w:tc>
        <w:tc>
          <w:tcPr>
            <w:tcW w:w="1032"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0B8444D9">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含油岩屑</w:t>
            </w:r>
          </w:p>
        </w:tc>
        <w:tc>
          <w:tcPr>
            <w:tcW w:w="933"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含油岩屑产生后立即装袋、密封，全部由专用车辆运送至污油泥临时储存点暂存，最终交由有资质单位进行妥善处理</w:t>
            </w:r>
          </w:p>
        </w:tc>
        <w:tc>
          <w:tcPr>
            <w:tcW w:w="973"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生态环境保护措施</w:t>
            </w:r>
          </w:p>
        </w:tc>
        <w:tc>
          <w:tcPr>
            <w:tcW w:w="933"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927" w:type="pct"/>
            <w:tcBorders>
              <w:tl2br w:val="nil"/>
              <w:tr2bl w:val="nil"/>
            </w:tcBorders>
            <w:noWrap w:val="0"/>
            <w:vAlign w:val="center"/>
          </w:tcPr>
          <w:p w14:paraId="58668B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973" w:type="pct"/>
            <w:tcBorders>
              <w:tl2br w:val="nil"/>
              <w:tr2bl w:val="nil"/>
            </w:tcBorders>
            <w:shd w:val="clear" w:color="auto" w:fill="auto"/>
            <w:noWrap w:val="0"/>
            <w:vAlign w:val="center"/>
          </w:tcPr>
          <w:p w14:paraId="7948F2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7CE7E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JH55P2</w:t>
            </w:r>
            <w:r>
              <w:rPr>
                <w:rFonts w:hint="default" w:ascii="Times New Roman" w:hAnsi="Times New Roman" w:eastAsia="宋体" w:cs="Times New Roman"/>
                <w:color w:val="auto"/>
                <w:spacing w:val="0"/>
                <w:kern w:val="21"/>
                <w:sz w:val="21"/>
                <w:szCs w:val="21"/>
                <w:highlight w:val="none"/>
                <w:lang w:val="en-US" w:eastAsia="zh-CN"/>
              </w:rPr>
              <w:t>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p>
        </w:tc>
        <w:tc>
          <w:tcPr>
            <w:tcW w:w="1032"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37" w:type="pct"/>
            <w:vMerge w:val="restar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其他</w:t>
            </w:r>
          </w:p>
        </w:tc>
        <w:tc>
          <w:tcPr>
            <w:tcW w:w="375" w:type="pct"/>
            <w:gridSpan w:val="2"/>
            <w:vMerge w:val="restart"/>
            <w:tcBorders>
              <w:tl2br w:val="nil"/>
              <w:tr2bl w:val="nil"/>
            </w:tcBorders>
            <w:noWrap w:val="0"/>
            <w:vAlign w:val="center"/>
          </w:tcPr>
          <w:p w14:paraId="4E32D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风险防范措施、</w:t>
            </w:r>
          </w:p>
          <w:p w14:paraId="3EB4F8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土壤、地下水防范措施</w:t>
            </w:r>
          </w:p>
        </w:tc>
        <w:tc>
          <w:tcPr>
            <w:tcW w:w="933" w:type="pct"/>
            <w:vMerge w:val="restart"/>
            <w:tcBorders>
              <w:tl2br w:val="nil"/>
              <w:tr2bl w:val="nil"/>
            </w:tcBorders>
            <w:noWrap w:val="0"/>
            <w:vAlign w:val="center"/>
          </w:tcPr>
          <w:p w14:paraId="33541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p w14:paraId="197686A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noWrap w:val="0"/>
            <w:vAlign w:val="center"/>
          </w:tcPr>
          <w:p w14:paraId="15AB8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项目区设置灭火器、正压式呼吸器、便携式可燃气体检测仪等</w:t>
            </w:r>
          </w:p>
        </w:tc>
        <w:tc>
          <w:tcPr>
            <w:tcW w:w="973" w:type="pct"/>
            <w:tcBorders>
              <w:tl2br w:val="nil"/>
              <w:tr2bl w:val="nil"/>
            </w:tcBorders>
            <w:noWrap w:val="0"/>
            <w:vAlign w:val="center"/>
          </w:tcPr>
          <w:p w14:paraId="54E962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施工期间，</w:t>
            </w: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r>
              <w:rPr>
                <w:rFonts w:hint="eastAsia" w:ascii="Times New Roman" w:hAnsi="Times New Roman" w:eastAsia="宋体" w:cs="Times New Roman"/>
                <w:color w:val="0000FF"/>
                <w:sz w:val="21"/>
                <w:szCs w:val="21"/>
                <w:highlight w:val="none"/>
                <w:lang w:val="en-US" w:eastAsia="zh-CN"/>
              </w:rPr>
              <w:t>JH55P2</w:t>
            </w:r>
            <w:r>
              <w:rPr>
                <w:rFonts w:hint="eastAsia" w:ascii="Times New Roman" w:hAnsi="Times New Roman" w:eastAsia="宋体" w:cs="Times New Roman"/>
                <w:color w:val="0000FF"/>
                <w:szCs w:val="21"/>
                <w:lang w:val="en-US" w:eastAsia="zh-CN"/>
              </w:rPr>
              <w:t>井场及防渗布周围设置20cm高土围堰。</w:t>
            </w:r>
            <w:r>
              <w:rPr>
                <w:rFonts w:hint="eastAsia" w:ascii="Times New Roman" w:hAnsi="Times New Roman" w:eastAsia="宋体" w:cs="Times New Roman"/>
                <w:color w:val="0000FF"/>
                <w:kern w:val="2"/>
                <w:sz w:val="21"/>
                <w:szCs w:val="22"/>
                <w:lang w:val="en-US" w:eastAsia="zh-CN" w:bidi="ar-SA"/>
              </w:rPr>
              <w:t>井场周边设置50cm的砖混围墙，现已拆除</w:t>
            </w:r>
            <w:r>
              <w:rPr>
                <w:rFonts w:hint="eastAsia" w:ascii="Times New Roman" w:hAnsi="Times New Roman" w:eastAsia="宋体" w:cs="Times New Roman"/>
                <w:color w:val="0000FF"/>
                <w:spacing w:val="0"/>
                <w:kern w:val="21"/>
                <w:sz w:val="21"/>
                <w:szCs w:val="21"/>
                <w:highlight w:val="none"/>
                <w:lang w:eastAsia="zh-CN"/>
              </w:rPr>
              <w:t>；</w:t>
            </w:r>
            <w:r>
              <w:rPr>
                <w:rFonts w:hint="eastAsia" w:ascii="Times New Roman" w:hAnsi="Times New Roman" w:eastAsia="宋体" w:cs="Times New Roman"/>
                <w:color w:val="auto"/>
                <w:kern w:val="2"/>
                <w:sz w:val="21"/>
                <w:szCs w:val="22"/>
                <w:lang w:val="en-US" w:eastAsia="zh-CN" w:bidi="ar-SA"/>
              </w:rPr>
              <w:t>采油一厂</w:t>
            </w: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val="en-US" w:eastAsia="zh-CN"/>
              </w:rPr>
              <w:t>制定了突发环境事件应急预案，并于</w:t>
            </w:r>
            <w:r>
              <w:rPr>
                <w:rFonts w:hint="eastAsia" w:ascii="Times New Roman" w:hAnsi="Times New Roman" w:eastAsia="宋体" w:cs="Times New Roman"/>
                <w:color w:val="auto"/>
                <w:sz w:val="21"/>
                <w:szCs w:val="21"/>
                <w:highlight w:val="none"/>
                <w:lang w:val="en-US" w:eastAsia="zh-CN"/>
              </w:rPr>
              <w:t>2023年1月11日取得了庆阳市生态环境局宁县分局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该应急预案修编日期为2026年1月11日，在本项目验收时间范围内。施工期未发生环境事件。</w:t>
            </w:r>
          </w:p>
        </w:tc>
        <w:tc>
          <w:tcPr>
            <w:tcW w:w="1032" w:type="pct"/>
            <w:tcBorders>
              <w:tl2br w:val="nil"/>
              <w:tr2bl w:val="nil"/>
            </w:tcBorders>
            <w:noWrap w:val="0"/>
            <w:vAlign w:val="center"/>
          </w:tcPr>
          <w:p w14:paraId="3D9A0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11C49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EA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7" w:type="pct"/>
            <w:vMerge w:val="continue"/>
            <w:tcBorders>
              <w:tl2br w:val="nil"/>
              <w:tr2bl w:val="nil"/>
            </w:tcBorders>
            <w:noWrap w:val="0"/>
            <w:vAlign w:val="center"/>
          </w:tcPr>
          <w:p w14:paraId="20A84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952E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5687C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3760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noWrap w:val="0"/>
            <w:vAlign w:val="center"/>
          </w:tcPr>
          <w:p w14:paraId="105C3C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井场厂界距居民100m范围内的是JH55P2（西北侧82m处有5户村民、东北侧71m处有9户村民），JH55P2、永平1H、永平2H井场距离干沟位置较近，评价井开钻前，以上井场周围应当设置不低于50cm的砖混围墙。</w:t>
            </w:r>
          </w:p>
        </w:tc>
        <w:tc>
          <w:tcPr>
            <w:tcW w:w="973" w:type="pct"/>
            <w:tcBorders>
              <w:tl2br w:val="nil"/>
              <w:tr2bl w:val="nil"/>
            </w:tcBorders>
            <w:noWrap w:val="0"/>
            <w:vAlign w:val="center"/>
          </w:tcPr>
          <w:p w14:paraId="1223E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JH55P2</w:t>
            </w:r>
            <w:r>
              <w:rPr>
                <w:rFonts w:hint="eastAsia" w:ascii="Times New Roman" w:hAnsi="Times New Roman" w:eastAsia="宋体" w:cs="Times New Roman"/>
                <w:color w:val="0000FF"/>
                <w:szCs w:val="21"/>
                <w:lang w:val="en-US" w:eastAsia="zh-CN"/>
              </w:rPr>
              <w:t>井场及防渗布周围设置20cm高土围堰。</w:t>
            </w:r>
            <w:r>
              <w:rPr>
                <w:rFonts w:hint="eastAsia" w:ascii="Times New Roman" w:hAnsi="Times New Roman" w:eastAsia="宋体" w:cs="Times New Roman"/>
                <w:color w:val="auto"/>
                <w:kern w:val="2"/>
                <w:sz w:val="21"/>
                <w:szCs w:val="22"/>
                <w:lang w:val="en-US" w:eastAsia="zh-CN" w:bidi="ar-SA"/>
              </w:rPr>
              <w:t>井场周边设置50cm的砖混围墙，现已拆除</w:t>
            </w:r>
          </w:p>
        </w:tc>
        <w:tc>
          <w:tcPr>
            <w:tcW w:w="1032" w:type="pct"/>
            <w:tcBorders>
              <w:tl2br w:val="nil"/>
              <w:tr2bl w:val="nil"/>
            </w:tcBorders>
            <w:noWrap w:val="0"/>
            <w:vAlign w:val="center"/>
          </w:tcPr>
          <w:p w14:paraId="69723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356849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50D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397" w:type="pct"/>
            <w:vMerge w:val="continue"/>
            <w:tcBorders>
              <w:tl2br w:val="nil"/>
              <w:tr2bl w:val="nil"/>
            </w:tcBorders>
            <w:noWrap w:val="0"/>
            <w:vAlign w:val="center"/>
          </w:tcPr>
          <w:p w14:paraId="73E28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6AD7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07463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1BA07031">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03952F8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cm/s，参照执行《石油化工工程防渗技术规范》（GB/T50934-2013）；</w:t>
            </w:r>
          </w:p>
          <w:p w14:paraId="711B274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r>
              <w:rPr>
                <w:rFonts w:hint="eastAsia" w:ascii="Times New Roman" w:hAnsi="Times New Roman" w:eastAsia="宋体" w:cs="Times New Roman"/>
                <w:color w:val="auto"/>
                <w:kern w:val="2"/>
                <w:sz w:val="21"/>
                <w:szCs w:val="22"/>
                <w:lang w:val="en-US" w:eastAsia="zh-CN" w:bidi="ar-SA"/>
              </w:rPr>
              <w:t>；</w:t>
            </w:r>
          </w:p>
          <w:p w14:paraId="69D9A0E0">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default" w:ascii="Times New Roman" w:hAnsi="Times New Roman" w:eastAsia="宋体" w:cs="Times New Roman"/>
                <w:color w:val="auto"/>
                <w:kern w:val="2"/>
                <w:sz w:val="21"/>
                <w:szCs w:val="22"/>
                <w:lang w:val="en-US" w:eastAsia="zh-CN" w:bidi="ar-SA"/>
              </w:rPr>
              <w:t>。</w:t>
            </w:r>
          </w:p>
        </w:tc>
        <w:tc>
          <w:tcPr>
            <w:tcW w:w="973" w:type="pct"/>
            <w:tcBorders>
              <w:tl2br w:val="nil"/>
              <w:tr2bl w:val="nil"/>
            </w:tcBorders>
            <w:shd w:val="clear" w:color="auto" w:fill="auto"/>
            <w:noWrap w:val="0"/>
            <w:vAlign w:val="center"/>
          </w:tcPr>
          <w:p w14:paraId="6AD28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项目区域采取分区防渗措施；</w:t>
            </w: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w:t>
            </w:r>
            <w:r>
              <w:rPr>
                <w:rFonts w:hint="default" w:ascii="Times New Roman" w:hAnsi="Times New Roman" w:eastAsia="宋体" w:cs="Times New Roman"/>
                <w:color w:val="auto"/>
                <w:kern w:val="2"/>
                <w:sz w:val="21"/>
                <w:szCs w:val="22"/>
                <w:lang w:val="en-US" w:eastAsia="zh-CN" w:bidi="ar-SA"/>
              </w:rPr>
              <w:t>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满足防渗要求</w:t>
            </w:r>
            <w:r>
              <w:rPr>
                <w:rFonts w:hint="eastAsia" w:ascii="Times New Roman" w:hAnsi="Times New Roman" w:eastAsia="宋体" w:cs="Times New Roman"/>
                <w:color w:val="auto"/>
                <w:sz w:val="21"/>
                <w:szCs w:val="21"/>
                <w:lang w:eastAsia="zh-CN"/>
              </w:rPr>
              <w:t>，制定各类固废的管理制度进行严格管理，建立</w:t>
            </w:r>
            <w:r>
              <w:rPr>
                <w:rFonts w:hint="eastAsia" w:ascii="Times New Roman" w:hAnsi="Times New Roman" w:eastAsia="宋体" w:cs="Times New Roman"/>
                <w:color w:val="auto"/>
                <w:sz w:val="21"/>
                <w:szCs w:val="21"/>
                <w:lang w:val="en-US" w:eastAsia="zh-CN"/>
              </w:rPr>
              <w:t>了</w:t>
            </w:r>
            <w:r>
              <w:rPr>
                <w:rFonts w:hint="eastAsia" w:ascii="Times New Roman" w:hAnsi="Times New Roman" w:eastAsia="宋体" w:cs="Times New Roman"/>
                <w:color w:val="auto"/>
                <w:sz w:val="21"/>
                <w:szCs w:val="21"/>
                <w:lang w:eastAsia="zh-CN"/>
              </w:rPr>
              <w:t>各类台账及转移联单。</w:t>
            </w:r>
          </w:p>
        </w:tc>
        <w:tc>
          <w:tcPr>
            <w:tcW w:w="1032" w:type="pct"/>
            <w:tcBorders>
              <w:tl2br w:val="nil"/>
              <w:tr2bl w:val="nil"/>
            </w:tcBorders>
            <w:noWrap w:val="0"/>
            <w:vAlign w:val="center"/>
          </w:tcPr>
          <w:p w14:paraId="748F1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28BB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bl>
    <w:p w14:paraId="596835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2015〕52 号）中的重大变动内容，可纳入本次竣工环境保护验收。 </w:t>
      </w:r>
    </w:p>
    <w:p w14:paraId="214A836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default" w:ascii="Times New Roman" w:hAnsi="Times New Roman" w:eastAsia="宋体" w:cs="Times New Roman"/>
          <w:color w:val="auto"/>
          <w:sz w:val="24"/>
          <w:szCs w:val="24"/>
          <w:highlight w:val="none"/>
          <w:lang w:val="en-US" w:eastAsia="zh-CN"/>
        </w:rPr>
        <w:t>同时对照《关于进一步加强石油天然气行业环境影响评价管理的通知》（环办环评函〔2019〕910 号文），项目建设情况均不存在重大变更，变动情况可纳入本次竣工环境保护验收一并解决。</w:t>
      </w:r>
    </w:p>
    <w:p w14:paraId="40574CFF">
      <w:pPr>
        <w:numPr>
          <w:ilvl w:val="0"/>
          <w:numId w:val="0"/>
        </w:numPr>
        <w:rPr>
          <w:rFonts w:hint="default"/>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79B8A54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rPr>
              <w:t>测试结果，</w:t>
            </w:r>
            <w:r>
              <w:rPr>
                <w:rFonts w:hint="eastAsia" w:ascii="Times New Roman" w:hAnsi="Times New Roman" w:eastAsia="宋体" w:cs="Times New Roman"/>
                <w:color w:val="auto"/>
                <w:spacing w:val="0"/>
                <w:w w:val="100"/>
                <w:sz w:val="24"/>
                <w:szCs w:val="24"/>
                <w:highlight w:val="none"/>
                <w:lang w:val="en-US" w:eastAsia="zh-CN"/>
              </w:rPr>
              <w:t>JH55P2</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eastAsia" w:ascii="Times New Roman" w:hAnsi="Times New Roman" w:eastAsia="宋体" w:cs="Times New Roman"/>
                <w:color w:val="auto"/>
                <w:sz w:val="24"/>
                <w:szCs w:val="24"/>
                <w:highlight w:val="none"/>
                <w:lang w:val="en-US" w:eastAsia="zh-CN"/>
              </w:rPr>
              <w:t>待转产</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eastAsia" w:ascii="Times New Roman" w:hAnsi="Times New Roman" w:eastAsia="宋体" w:cs="Times New Roman"/>
                <w:b/>
                <w:bCs/>
                <w:color w:val="auto"/>
                <w:sz w:val="24"/>
                <w:lang w:val="en-US" w:eastAsia="zh-CN"/>
              </w:rPr>
              <w:t>4.3.1钻井工程</w:t>
            </w:r>
          </w:p>
          <w:p w14:paraId="06025B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w:t>
            </w:r>
            <w:r>
              <w:rPr>
                <w:rFonts w:hint="default" w:ascii="Times New Roman" w:hAnsi="Times New Roman" w:eastAsia="宋体" w:cs="Times New Roman"/>
                <w:color w:val="auto"/>
                <w:sz w:val="24"/>
                <w:szCs w:val="24"/>
                <w:highlight w:val="none"/>
                <w:lang w:val="en-US" w:eastAsia="zh-CN"/>
              </w:rPr>
              <w:t>4-1</w:t>
            </w:r>
            <w:r>
              <w:rPr>
                <w:rFonts w:hint="eastAsia" w:ascii="Times New Roman" w:hAnsi="Times New Roman" w:eastAsia="宋体" w:cs="Times New Roman"/>
                <w:color w:val="auto"/>
                <w:sz w:val="24"/>
                <w:szCs w:val="24"/>
                <w:highlight w:val="none"/>
                <w:lang w:val="en-US" w:eastAsia="zh-CN"/>
              </w:rPr>
              <w:t>。</w:t>
            </w:r>
          </w:p>
          <w:p w14:paraId="6BA1E8B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1</w:t>
            </w:r>
            <w:r>
              <w:rPr>
                <w:rFonts w:hint="eastAsia" w:ascii="Times New Roman" w:hAnsi="Times New Roman" w:eastAsia="宋体" w:cs="Times New Roman"/>
                <w:b/>
                <w:bCs/>
                <w:color w:val="auto"/>
                <w:sz w:val="24"/>
                <w:szCs w:val="24"/>
                <w:highlight w:val="none"/>
                <w:lang w:val="en-US" w:eastAsia="zh-CN"/>
              </w:rPr>
              <w:t xml:space="preserve">、钻前工程 </w:t>
            </w:r>
          </w:p>
          <w:p w14:paraId="6E62EA4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218AE5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w:t>
            </w:r>
            <w:r>
              <w:rPr>
                <w:rFonts w:hint="eastAsia" w:ascii="Times New Roman" w:hAnsi="Times New Roman" w:eastAsia="宋体" w:cs="Times New Roman"/>
                <w:b/>
                <w:bCs/>
                <w:color w:val="auto"/>
                <w:sz w:val="24"/>
                <w:szCs w:val="24"/>
                <w:highlight w:val="none"/>
                <w:lang w:val="en-US" w:eastAsia="zh-CN"/>
              </w:rPr>
              <w:t xml:space="preserve">、钻井工程 </w:t>
            </w:r>
          </w:p>
          <w:p w14:paraId="3E9963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⑴钻井与固井 </w:t>
            </w:r>
          </w:p>
          <w:p w14:paraId="3DF0E5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血液</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 xml:space="preserve">起到冷却钻头、喷射破坏岩石和携带地层岩屑返回地面的作用。 </w:t>
            </w:r>
          </w:p>
          <w:p w14:paraId="73FEE70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32A50DC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深即完钻，然后将生产套管（无缝钢管材质、外直径小于表层套管而壁厚大于表层套管）下井，同样在井壁与套管之间空隙内灌注水泥砂浆液，待水泥砂浆液固化后即固井完成。下钻过程中，如发现地下水或试油压力明显升高，有喷出可能时，及时注入压井液进行压井作业，即利用矿物水基悬浊液平衡井内压力，使井内水、石油不至于井喷，同时也便于采集。</w:t>
            </w:r>
          </w:p>
          <w:p w14:paraId="0AF586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634DE2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资源。主要采用电测井方法，测井仪器主要由下井仪器、绞车、电缆及井口装置、地面测量、记录和控制系统组成。 </w:t>
            </w:r>
          </w:p>
          <w:p w14:paraId="4F3AB89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1F955B3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井眼钻至</w:t>
            </w:r>
            <w:r>
              <w:rPr>
                <w:rFonts w:hint="eastAsia" w:ascii="Times New Roman" w:hAnsi="Times New Roman" w:eastAsia="宋体" w:cs="Times New Roman"/>
                <w:color w:val="auto"/>
                <w:sz w:val="24"/>
                <w:szCs w:val="24"/>
                <w:highlight w:val="none"/>
                <w:lang w:val="en-US" w:eastAsia="zh-CN"/>
              </w:rPr>
              <w:t>目的层</w:t>
            </w:r>
            <w:r>
              <w:rPr>
                <w:rFonts w:hint="default" w:ascii="Times New Roman" w:hAnsi="Times New Roman" w:eastAsia="宋体" w:cs="Times New Roman"/>
                <w:color w:val="auto"/>
                <w:sz w:val="24"/>
                <w:szCs w:val="24"/>
                <w:highlight w:val="none"/>
                <w:lang w:val="en-US" w:eastAsia="zh-CN"/>
              </w:rPr>
              <w:t xml:space="preserve">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60F341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6BFC50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采用高压水枪射孔，在井底煤层、岩层中制造孔洞、空腔，然后由压裂液（成分为水凝胶）携带支撑剂（石英砂或陶粒），通过高压泵车注入目的层，在目的层中铺置形成一条疏松的</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高渗透带，加快地层流体流向井筒的速率。 </w:t>
            </w:r>
          </w:p>
          <w:p w14:paraId="347F573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4074A7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采用电缆射孔和油管输送射孔两种方式，能够满足直井、大斜度井、水平井等各种</w:t>
            </w:r>
            <w:r>
              <w:rPr>
                <w:rFonts w:hint="eastAsia" w:ascii="Times New Roman" w:hAnsi="Times New Roman" w:eastAsia="宋体" w:cs="Times New Roman"/>
                <w:color w:val="auto"/>
                <w:sz w:val="24"/>
                <w:szCs w:val="24"/>
                <w:highlight w:val="none"/>
                <w:lang w:val="en-US" w:eastAsia="zh-CN"/>
              </w:rPr>
              <w:t>井况下的射孔作业。</w:t>
            </w:r>
          </w:p>
          <w:p w14:paraId="4FB4DA8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w:t>
            </w:r>
            <w:r>
              <w:rPr>
                <w:rFonts w:hint="eastAsia" w:ascii="Times New Roman" w:hAnsi="Times New Roman" w:eastAsia="宋体" w:cs="Times New Roman"/>
                <w:b/>
                <w:bCs/>
                <w:color w:val="auto"/>
                <w:sz w:val="24"/>
                <w:szCs w:val="24"/>
                <w:highlight w:val="none"/>
                <w:lang w:val="en-US" w:eastAsia="zh-CN"/>
              </w:rPr>
              <w:t>、完井试油</w:t>
            </w:r>
          </w:p>
          <w:p w14:paraId="0FB1EE0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⑴试油</w:t>
            </w:r>
          </w:p>
          <w:p w14:paraId="2B9124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采用通井规下井测试通道是否畅通，然后下管；最后开启阀门，测试石油输出速率</w:t>
            </w:r>
            <w:r>
              <w:rPr>
                <w:rFonts w:hint="eastAsia" w:ascii="宋体" w:hAnsi="宋体" w:eastAsia="宋体" w:cs="宋体"/>
                <w:color w:val="auto"/>
                <w:kern w:val="0"/>
                <w:sz w:val="24"/>
                <w:szCs w:val="24"/>
                <w:lang w:val="en-US" w:eastAsia="zh-CN" w:bidi="ar"/>
              </w:rPr>
              <w:t>。它主要包括对目的层进行射孔、洗井、</w:t>
            </w:r>
            <w:r>
              <w:rPr>
                <w:rFonts w:hint="eastAsia" w:ascii="Times New Roman" w:hAnsi="Times New Roman" w:eastAsia="宋体" w:cs="Times New Roman"/>
                <w:color w:val="auto"/>
                <w:sz w:val="24"/>
                <w:szCs w:val="24"/>
                <w:highlight w:val="none"/>
                <w:lang w:val="en-US" w:eastAsia="zh-CN"/>
              </w:rPr>
              <w:t xml:space="preserve">诱流和测试等。 </w:t>
            </w:r>
          </w:p>
          <w:p w14:paraId="48A03D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⑵封井</w:t>
            </w:r>
          </w:p>
          <w:p w14:paraId="4E933B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试油完成后，确定井场具备工业开采的价值，进行临时关井。根据开发区域油藏地质特点，完井方式选择套管射孔完井，套管头采用卡瓦简易套管头</w:t>
            </w:r>
            <w:r>
              <w:rPr>
                <w:rFonts w:hint="eastAsia" w:ascii="Times New Roman" w:hAnsi="Times New Roman" w:eastAsia="宋体" w:cs="Times New Roman"/>
                <w:color w:val="auto"/>
                <w:sz w:val="24"/>
                <w:szCs w:val="24"/>
                <w:lang w:val="en-US" w:eastAsia="zh-CN"/>
              </w:rPr>
              <w:t>。</w:t>
            </w:r>
          </w:p>
          <w:p w14:paraId="5110FB0A">
            <w:pPr>
              <w:keepNext w:val="0"/>
              <w:keepLines w:val="0"/>
              <w:widowControl/>
              <w:suppressLineNumbers w:val="0"/>
              <w:spacing w:before="0" w:beforeAutospacing="0" w:afterAutospacing="0"/>
              <w:ind w:left="0" w:right="0" w:firstLine="482" w:firstLineChars="200"/>
              <w:jc w:val="left"/>
              <w:rPr>
                <w:rFonts w:hint="default"/>
                <w:color w:val="auto"/>
              </w:rPr>
            </w:pPr>
            <w:r>
              <w:rPr>
                <w:rFonts w:hint="default" w:ascii="Times New Roman" w:hAnsi="Times New Roman" w:eastAsia="宋体" w:cs="Times New Roman"/>
                <w:b/>
                <w:bCs/>
                <w:color w:val="auto"/>
                <w:kern w:val="0"/>
                <w:sz w:val="24"/>
                <w:szCs w:val="24"/>
                <w:lang w:val="en-US" w:eastAsia="zh-CN" w:bidi="ar"/>
              </w:rPr>
              <w:t>4</w:t>
            </w:r>
            <w:r>
              <w:rPr>
                <w:rFonts w:hint="eastAsia" w:ascii="宋体" w:hAnsi="宋体" w:eastAsia="宋体" w:cs="宋体"/>
                <w:b/>
                <w:bCs/>
                <w:color w:val="auto"/>
                <w:kern w:val="0"/>
                <w:sz w:val="24"/>
                <w:szCs w:val="24"/>
                <w:lang w:val="en-US" w:eastAsia="zh-CN" w:bidi="ar"/>
              </w:rPr>
              <w:t xml:space="preserve">、完井搬迁 </w:t>
            </w:r>
          </w:p>
          <w:p w14:paraId="59302C9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29758A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7D2C3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施工期主要工艺流程及产污环节见图</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w:t>
            </w:r>
          </w:p>
          <w:p w14:paraId="6901096F">
            <w:pPr>
              <w:keepNext w:val="0"/>
              <w:keepLines w:val="0"/>
              <w:widowControl/>
              <w:suppressLineNumbers w:val="0"/>
              <w:spacing w:before="0" w:beforeAutospacing="0" w:afterAutospacing="0"/>
              <w:ind w:left="0" w:right="0" w:firstLine="420" w:firstLineChars="200"/>
              <w:jc w:val="center"/>
              <w:rPr>
                <w:rFonts w:hint="default" w:ascii="Times New Roman" w:hAnsi="Times New Roman" w:cs="Times New Roman"/>
                <w:color w:val="auto"/>
                <w:sz w:val="24"/>
              </w:rPr>
            </w:pPr>
            <w:r>
              <w:rPr>
                <w:rFonts w:hint="default" w:ascii="Times New Roman" w:hAnsi="Times New Roman" w:eastAsia="宋体" w:cs="Times New Roman"/>
                <w:color w:val="auto"/>
                <w:sz w:val="21"/>
                <w:szCs w:val="21"/>
                <w:highlight w:val="none"/>
              </w:rPr>
              <w:object>
                <v:shape id="_x0000_i1025" o:spt="75" type="#_x0000_t75" style="height:309.65pt;width:359.1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14:paraId="2E95F13F">
            <w:pPr>
              <w:keepNext w:val="0"/>
              <w:keepLines w:val="0"/>
              <w:widowControl/>
              <w:suppressLineNumbers w:val="0"/>
              <w:spacing w:before="0" w:beforeAutospacing="0" w:afterAutospacing="0"/>
              <w:ind w:left="0" w:right="0" w:firstLine="482" w:firstLineChars="200"/>
              <w:jc w:val="center"/>
              <w:rPr>
                <w:rFonts w:hint="default" w:ascii="Times New Roman" w:hAnsi="Times New Roman" w:eastAsia="宋体" w:cs="Times New Roman"/>
                <w:b/>
                <w:bCs/>
                <w:color w:val="auto"/>
                <w:spacing w:val="0"/>
                <w:sz w:val="24"/>
                <w:szCs w:val="24"/>
                <w:highlight w:val="none"/>
              </w:rPr>
            </w:pPr>
            <w:r>
              <w:rPr>
                <w:rFonts w:hint="eastAsia" w:ascii="Times New Roman" w:hAnsi="Times New Roman" w:eastAsia="宋体" w:cs="Times New Roman"/>
                <w:b/>
                <w:bCs/>
                <w:color w:val="auto"/>
                <w:spacing w:val="0"/>
                <w:sz w:val="24"/>
                <w:szCs w:val="24"/>
                <w:highlight w:val="none"/>
                <w:lang w:val="en-US" w:eastAsia="zh-CN"/>
              </w:rPr>
              <w:t>图4</w:t>
            </w:r>
            <w:r>
              <w:rPr>
                <w:rFonts w:hint="default" w:ascii="Times New Roman" w:hAnsi="Times New Roman" w:eastAsia="宋体" w:cs="Times New Roman"/>
                <w:b/>
                <w:bCs/>
                <w:color w:val="auto"/>
                <w:spacing w:val="0"/>
                <w:sz w:val="24"/>
                <w:szCs w:val="24"/>
                <w:highlight w:val="none"/>
                <w:lang w:val="en-US" w:eastAsia="zh-CN"/>
              </w:rPr>
              <w:t>-</w:t>
            </w:r>
            <w:r>
              <w:rPr>
                <w:rFonts w:hint="eastAsia" w:ascii="Times New Roman" w:hAnsi="Times New Roman" w:eastAsia="宋体" w:cs="Times New Roman"/>
                <w:b/>
                <w:bCs/>
                <w:color w:val="auto"/>
                <w:spacing w:val="0"/>
                <w:sz w:val="24"/>
                <w:szCs w:val="24"/>
                <w:highlight w:val="none"/>
                <w:lang w:val="en-US" w:eastAsia="zh-CN"/>
              </w:rPr>
              <w:t>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二、运营期 </w:t>
            </w:r>
          </w:p>
          <w:p w14:paraId="091DA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试油结果</w:t>
            </w:r>
            <w:r>
              <w:rPr>
                <w:rFonts w:hint="default" w:ascii="Times New Roman" w:hAnsi="Times New Roman" w:eastAsia="宋体" w:cs="Times New Roman"/>
                <w:color w:val="auto"/>
                <w:kern w:val="0"/>
                <w:sz w:val="24"/>
                <w:szCs w:val="24"/>
                <w:lang w:val="en-US" w:eastAsia="zh-CN" w:bidi="ar"/>
              </w:rPr>
              <w:t>表明，</w:t>
            </w:r>
            <w:r>
              <w:rPr>
                <w:rFonts w:hint="eastAsia" w:ascii="Times New Roman" w:hAnsi="Times New Roman" w:eastAsia="宋体" w:cs="Times New Roman"/>
                <w:color w:val="auto"/>
                <w:spacing w:val="0"/>
                <w:w w:val="100"/>
                <w:sz w:val="24"/>
                <w:szCs w:val="24"/>
                <w:highlight w:val="none"/>
                <w:lang w:val="en-US" w:eastAsia="zh-CN"/>
              </w:rPr>
              <w:t>JH55P2</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具有开采价值，已</w:t>
            </w:r>
            <w:r>
              <w:rPr>
                <w:rFonts w:hint="default" w:ascii="Times New Roman" w:hAnsi="Times New Roman" w:eastAsia="宋体" w:cs="Times New Roman"/>
                <w:color w:val="auto"/>
                <w:sz w:val="24"/>
                <w:szCs w:val="24"/>
                <w:highlight w:val="none"/>
              </w:rPr>
              <w:t>暂时关井</w:t>
            </w:r>
            <w:r>
              <w:rPr>
                <w:rFonts w:hint="eastAsia" w:ascii="Times New Roman" w:hAnsi="Times New Roman" w:eastAsia="宋体" w:cs="Times New Roman"/>
                <w:color w:val="auto"/>
                <w:sz w:val="24"/>
                <w:szCs w:val="24"/>
                <w:highlight w:val="none"/>
                <w:lang w:val="en-US" w:eastAsia="zh-CN"/>
              </w:rPr>
              <w:t>待转产，</w:t>
            </w:r>
            <w:r>
              <w:rPr>
                <w:rFonts w:hint="eastAsia" w:ascii="Times New Roman" w:hAnsi="Times New Roman" w:eastAsia="宋体" w:cs="Times New Roman"/>
                <w:color w:val="auto"/>
                <w:sz w:val="24"/>
                <w:szCs w:val="24"/>
                <w:highlight w:val="none"/>
                <w:lang w:eastAsia="zh-CN"/>
              </w:rPr>
              <w:t>井场</w:t>
            </w:r>
            <w:r>
              <w:rPr>
                <w:rFonts w:hint="eastAsia" w:ascii="宋体" w:hAnsi="宋体" w:eastAsia="宋体" w:cs="宋体"/>
                <w:color w:val="auto"/>
                <w:kern w:val="0"/>
                <w:sz w:val="24"/>
                <w:szCs w:val="24"/>
                <w:lang w:val="en-US" w:eastAsia="zh-CN" w:bidi="ar"/>
              </w:rPr>
              <w:t>已拆除与采油无关的设备，保留临时关井设施，后续进行环境影响评价等工作。</w:t>
            </w:r>
          </w:p>
          <w:p w14:paraId="4AAD7BD9">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三、封井期主要工艺过程 </w:t>
            </w:r>
          </w:p>
          <w:p w14:paraId="13AD701D">
            <w:pPr>
              <w:pStyle w:val="2"/>
              <w:keepNext w:val="0"/>
              <w:keepLines w:val="0"/>
              <w:widowControl w:val="0"/>
              <w:suppressLineNumbers w:val="0"/>
              <w:spacing w:before="0" w:beforeAutospacing="0" w:afterAutospacing="0"/>
              <w:ind w:left="0" w:leftChars="0" w:right="0" w:firstLine="520" w:firstLineChars="200"/>
              <w:jc w:val="both"/>
              <w:rPr>
                <w:rFonts w:hint="default" w:ascii="Times New Roman" w:hAnsi="Times New Roman" w:cs="Times New Roman"/>
                <w:color w:val="auto"/>
                <w:highlight w:val="none"/>
                <w:lang w:val="en-US" w:eastAsia="zh-CN"/>
              </w:rPr>
            </w:pPr>
            <w:r>
              <w:rPr>
                <w:rFonts w:hint="eastAsia" w:ascii="宋体" w:hAnsi="宋体" w:eastAsia="宋体" w:cs="宋体"/>
                <w:color w:val="auto"/>
                <w:kern w:val="0"/>
                <w:sz w:val="24"/>
                <w:szCs w:val="24"/>
                <w:lang w:val="en-US" w:eastAsia="zh-CN" w:bidi="ar"/>
              </w:rPr>
              <w:t>本项目经勘探，进行完测井分析后随即临时关井，因此不涉及闭井期。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0C331B3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default" w:ascii="Times New Roman" w:hAnsi="Times New Roman" w:eastAsia="宋体" w:cs="Times New Roman"/>
                <w:b w:val="0"/>
                <w:color w:val="auto"/>
                <w:spacing w:val="0"/>
                <w:w w:val="100"/>
                <w:sz w:val="24"/>
                <w:szCs w:val="24"/>
                <w:highlight w:val="none"/>
                <w:lang w:val="en-US" w:eastAsia="zh-CN" w:bidi="ar-SA"/>
              </w:rPr>
            </w:pPr>
            <w:r>
              <w:rPr>
                <w:rFonts w:hint="default" w:ascii="Times New Roman" w:hAnsi="Times New Roman" w:eastAsia="宋体" w:cs="Times New Roman"/>
                <w:b w:val="0"/>
                <w:color w:val="auto"/>
                <w:spacing w:val="0"/>
                <w:w w:val="100"/>
                <w:sz w:val="24"/>
                <w:szCs w:val="24"/>
                <w:highlight w:val="none"/>
                <w:lang w:val="en-US" w:eastAsia="zh-CN" w:bidi="ar-SA"/>
              </w:rPr>
              <w:t>该项目为勘探井建设项目，工程建设过程止于关井。场址临时占地主要包括井场</w:t>
            </w:r>
            <w:r>
              <w:rPr>
                <w:rFonts w:hint="eastAsia" w:cs="Times New Roman"/>
                <w:b w:val="0"/>
                <w:color w:val="auto"/>
                <w:spacing w:val="0"/>
                <w:w w:val="100"/>
                <w:sz w:val="24"/>
                <w:szCs w:val="24"/>
                <w:highlight w:val="none"/>
                <w:lang w:val="en-US" w:eastAsia="zh-CN" w:bidi="ar-SA"/>
              </w:rPr>
              <w:t>、进场道路</w:t>
            </w:r>
            <w:r>
              <w:rPr>
                <w:rFonts w:hint="default" w:ascii="Times New Roman" w:hAnsi="Times New Roman" w:eastAsia="宋体" w:cs="Times New Roman"/>
                <w:b w:val="0"/>
                <w:color w:val="auto"/>
                <w:spacing w:val="0"/>
                <w:w w:val="100"/>
                <w:sz w:val="24"/>
                <w:szCs w:val="24"/>
                <w:highlight w:val="none"/>
                <w:lang w:val="en-US" w:eastAsia="zh-CN" w:bidi="ar-SA"/>
              </w:rPr>
              <w:t>、附属设施占地及生活区占地；本项目占地均为临时占地，项目</w:t>
            </w:r>
            <w:r>
              <w:rPr>
                <w:rFonts w:hint="eastAsia" w:cs="Times New Roman"/>
                <w:b w:val="0"/>
                <w:color w:val="auto"/>
                <w:spacing w:val="0"/>
                <w:w w:val="100"/>
                <w:sz w:val="24"/>
                <w:szCs w:val="24"/>
                <w:highlight w:val="none"/>
                <w:lang w:val="en-US" w:eastAsia="zh-CN" w:bidi="ar-SA"/>
              </w:rPr>
              <w:t>临时</w:t>
            </w:r>
            <w:r>
              <w:rPr>
                <w:rFonts w:hint="default" w:ascii="Times New Roman" w:hAnsi="Times New Roman" w:eastAsia="宋体" w:cs="Times New Roman"/>
                <w:b w:val="0"/>
                <w:color w:val="auto"/>
                <w:spacing w:val="0"/>
                <w:w w:val="100"/>
                <w:sz w:val="24"/>
                <w:szCs w:val="24"/>
                <w:highlight w:val="none"/>
                <w:lang w:val="en-US" w:eastAsia="zh-CN" w:bidi="ar-SA"/>
              </w:rPr>
              <w:t>占地面积约</w:t>
            </w:r>
            <w:r>
              <w:rPr>
                <w:rFonts w:hint="eastAsia"/>
                <w:b w:val="0"/>
                <w:bCs w:val="0"/>
                <w:color w:val="auto"/>
                <w:sz w:val="24"/>
                <w:highlight w:val="none"/>
                <w:lang w:val="en-US" w:eastAsia="zh-CN"/>
              </w:rPr>
              <w:t>16347.46</w:t>
            </w:r>
            <w:r>
              <w:rPr>
                <w:rFonts w:hint="default" w:ascii="Times New Roman" w:hAnsi="Times New Roman" w:eastAsia="宋体" w:cs="Times New Roman"/>
                <w:b w:val="0"/>
                <w:color w:val="auto"/>
                <w:spacing w:val="0"/>
                <w:w w:val="100"/>
                <w:sz w:val="24"/>
                <w:szCs w:val="24"/>
                <w:highlight w:val="none"/>
                <w:lang w:val="en-US" w:eastAsia="zh-CN" w:bidi="ar-SA"/>
              </w:rPr>
              <w:t>m</w:t>
            </w:r>
            <w:r>
              <w:rPr>
                <w:rFonts w:hint="default" w:ascii="Times New Roman" w:hAnsi="Times New Roman" w:eastAsia="宋体" w:cs="Times New Roman"/>
                <w:b w:val="0"/>
                <w:color w:val="auto"/>
                <w:spacing w:val="0"/>
                <w:w w:val="100"/>
                <w:sz w:val="24"/>
                <w:szCs w:val="24"/>
                <w:highlight w:val="none"/>
                <w:vertAlign w:val="superscript"/>
                <w:lang w:val="en-US" w:eastAsia="zh-CN" w:bidi="ar-SA"/>
              </w:rPr>
              <w:t>2</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eastAsia" w:cs="Times New Roman"/>
                <w:b w:val="0"/>
                <w:color w:val="auto"/>
                <w:spacing w:val="0"/>
                <w:w w:val="100"/>
                <w:sz w:val="24"/>
                <w:szCs w:val="24"/>
                <w:highlight w:val="none"/>
                <w:lang w:val="en-US" w:eastAsia="zh-CN" w:bidi="ar-SA"/>
              </w:rPr>
              <w:t>耕地。</w:t>
            </w:r>
            <w:r>
              <w:rPr>
                <w:rFonts w:hint="default" w:ascii="Times New Roman" w:hAnsi="Times New Roman" w:cs="Times New Roman"/>
                <w:b w:val="0"/>
                <w:color w:val="auto"/>
                <w:spacing w:val="0"/>
                <w:w w:val="100"/>
                <w:sz w:val="24"/>
                <w:szCs w:val="24"/>
                <w:highlight w:val="none"/>
                <w:lang w:val="en-US" w:eastAsia="zh-CN" w:bidi="ar-SA"/>
              </w:rPr>
              <w:t>根据现场踏勘，</w:t>
            </w:r>
            <w:r>
              <w:rPr>
                <w:rFonts w:hint="eastAsia" w:cs="Times New Roman"/>
                <w:b w:val="0"/>
                <w:color w:val="auto"/>
                <w:spacing w:val="0"/>
                <w:w w:val="100"/>
                <w:sz w:val="24"/>
                <w:szCs w:val="24"/>
                <w:highlight w:val="none"/>
                <w:lang w:val="en-US" w:eastAsia="zh-CN" w:bidi="ar-SA"/>
              </w:rPr>
              <w:t>JH55P2</w:t>
            </w:r>
            <w:r>
              <w:rPr>
                <w:rFonts w:hint="default" w:ascii="Times New Roman" w:hAnsi="Times New Roman" w:cs="Times New Roman"/>
                <w:b w:val="0"/>
                <w:color w:val="auto"/>
                <w:spacing w:val="0"/>
                <w:w w:val="100"/>
                <w:sz w:val="24"/>
                <w:szCs w:val="24"/>
                <w:highlight w:val="none"/>
                <w:lang w:val="en-US" w:eastAsia="zh-CN" w:bidi="ar-SA"/>
              </w:rPr>
              <w:t>场地已恢复平整，井口进行临时关井，待转产，除预留转为生产开发所需的面积外，对其余临时占地进行了恢复，对进场道路及井场周边等及时进行了绿化</w:t>
            </w:r>
            <w:r>
              <w:rPr>
                <w:rFonts w:hint="default" w:ascii="Times New Roman" w:hAnsi="Times New Roman" w:eastAsia="宋体" w:cs="Times New Roman"/>
                <w:b w:val="0"/>
                <w:color w:val="auto"/>
                <w:spacing w:val="0"/>
                <w:w w:val="100"/>
                <w:sz w:val="24"/>
                <w:szCs w:val="24"/>
                <w:highlight w:val="none"/>
                <w:lang w:val="en-US" w:eastAsia="zh-CN" w:bidi="ar-SA"/>
              </w:rPr>
              <w:t xml:space="preserve">。 </w:t>
            </w:r>
          </w:p>
          <w:p w14:paraId="2FB74BD4">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color w:val="auto"/>
                <w:lang w:val="en-US" w:eastAsia="zh-CN"/>
              </w:rPr>
            </w:pPr>
            <w:r>
              <w:rPr>
                <w:rFonts w:hint="default"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项目平面布置按照《钻前工程及井场布置技术要求》（SY/T5466-2013）等石油天然气行业标准的要求进行。据调查，项目平面布置图与环评阶段一致。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根据环评文本，</w:t>
            </w:r>
            <w:r>
              <w:rPr>
                <w:rFonts w:hint="default" w:ascii="Times New Roman" w:hAnsi="Times New Roman" w:eastAsia="宋体" w:cs="Times New Roman"/>
                <w:color w:val="auto"/>
                <w:spacing w:val="0"/>
                <w:w w:val="100"/>
                <w:sz w:val="24"/>
                <w:szCs w:val="24"/>
                <w:highlight w:val="none"/>
                <w:lang w:val="en-US" w:eastAsia="zh-CN" w:bidi="ar-SA"/>
              </w:rPr>
              <w:t>本项目总投资共1</w:t>
            </w:r>
            <w:r>
              <w:rPr>
                <w:rFonts w:hint="eastAsia" w:ascii="Times New Roman" w:hAnsi="Times New Roman" w:eastAsia="宋体" w:cs="Times New Roman"/>
                <w:color w:val="auto"/>
                <w:spacing w:val="0"/>
                <w:w w:val="100"/>
                <w:sz w:val="24"/>
                <w:szCs w:val="24"/>
                <w:highlight w:val="none"/>
                <w:lang w:val="en-US" w:eastAsia="zh-CN" w:bidi="ar-SA"/>
              </w:rPr>
              <w:t>3</w:t>
            </w:r>
            <w:r>
              <w:rPr>
                <w:rFonts w:hint="default" w:ascii="Times New Roman" w:hAnsi="Times New Roman" w:eastAsia="宋体" w:cs="Times New Roman"/>
                <w:color w:val="auto"/>
                <w:spacing w:val="0"/>
                <w:w w:val="100"/>
                <w:sz w:val="24"/>
                <w:szCs w:val="24"/>
                <w:highlight w:val="none"/>
                <w:lang w:val="en-US" w:eastAsia="zh-CN" w:bidi="ar-SA"/>
              </w:rPr>
              <w:t>00万元</w:t>
            </w:r>
            <w:r>
              <w:rPr>
                <w:rFonts w:hint="eastAsia" w:ascii="Times New Roman" w:hAnsi="Times New Roman" w:eastAsia="宋体" w:cs="Times New Roman"/>
                <w:color w:val="auto"/>
                <w:spacing w:val="0"/>
                <w:w w:val="100"/>
                <w:sz w:val="24"/>
                <w:szCs w:val="24"/>
                <w:highlight w:val="none"/>
                <w:lang w:val="en-US" w:eastAsia="zh-CN" w:bidi="ar-SA"/>
              </w:rPr>
              <w:t>，</w:t>
            </w:r>
            <w:r>
              <w:rPr>
                <w:rFonts w:hint="default" w:ascii="Times New Roman" w:hAnsi="Times New Roman" w:eastAsia="宋体" w:cs="Times New Roman"/>
                <w:color w:val="auto"/>
                <w:spacing w:val="0"/>
                <w:w w:val="100"/>
                <w:sz w:val="24"/>
                <w:szCs w:val="24"/>
                <w:highlight w:val="none"/>
                <w:lang w:val="en-US" w:eastAsia="zh-CN" w:bidi="ar-SA"/>
              </w:rPr>
              <w:t>其中环保投资约</w:t>
            </w:r>
            <w:r>
              <w:rPr>
                <w:rFonts w:hint="eastAsia" w:ascii="Times New Roman" w:hAnsi="Times New Roman" w:eastAsia="宋体" w:cs="Times New Roman"/>
                <w:color w:val="auto"/>
                <w:spacing w:val="0"/>
                <w:w w:val="100"/>
                <w:sz w:val="24"/>
                <w:szCs w:val="24"/>
                <w:highlight w:val="none"/>
                <w:lang w:val="en-US" w:eastAsia="zh-CN" w:bidi="ar-SA"/>
              </w:rPr>
              <w:t>189.7</w:t>
            </w:r>
            <w:r>
              <w:rPr>
                <w:rFonts w:hint="default" w:ascii="Times New Roman" w:hAnsi="Times New Roman" w:eastAsia="宋体" w:cs="Times New Roman"/>
                <w:color w:val="auto"/>
                <w:spacing w:val="0"/>
                <w:w w:val="100"/>
                <w:sz w:val="24"/>
                <w:szCs w:val="24"/>
                <w:highlight w:val="none"/>
                <w:lang w:val="en-US" w:eastAsia="zh-CN" w:bidi="ar-SA"/>
              </w:rPr>
              <w:t>万元</w:t>
            </w:r>
            <w:r>
              <w:rPr>
                <w:rFonts w:hint="eastAsia" w:ascii="Times New Roman" w:hAnsi="Times New Roman" w:eastAsia="宋体" w:cs="Times New Roman"/>
                <w:color w:val="auto"/>
                <w:spacing w:val="0"/>
                <w:w w:val="100"/>
                <w:sz w:val="24"/>
                <w:szCs w:val="24"/>
                <w:highlight w:val="none"/>
                <w:lang w:val="en-US" w:eastAsia="zh-CN" w:bidi="ar-SA"/>
              </w:rPr>
              <w:t>，</w:t>
            </w:r>
            <w:r>
              <w:rPr>
                <w:rFonts w:hint="default" w:ascii="Times New Roman" w:hAnsi="Times New Roman" w:eastAsia="宋体" w:cs="Times New Roman"/>
                <w:color w:val="auto"/>
                <w:spacing w:val="0"/>
                <w:w w:val="100"/>
                <w:sz w:val="24"/>
                <w:szCs w:val="24"/>
                <w:highlight w:val="none"/>
                <w:lang w:val="en-US" w:eastAsia="zh-CN" w:bidi="ar-SA"/>
              </w:rPr>
              <w:t>占总投资的</w:t>
            </w:r>
            <w:r>
              <w:rPr>
                <w:rFonts w:hint="eastAsia" w:ascii="Times New Roman" w:hAnsi="Times New Roman" w:cs="Times New Roman"/>
                <w:color w:val="auto"/>
                <w:sz w:val="24"/>
                <w:lang w:eastAsia="zh-CN"/>
              </w:rPr>
              <w:t>14.6%</w:t>
            </w:r>
            <w:r>
              <w:rPr>
                <w:rFonts w:hint="eastAsia" w:ascii="Times New Roman" w:hAnsi="Times New Roman" w:eastAsia="宋体" w:cs="Times New Roman"/>
                <w:color w:val="auto"/>
                <w:spacing w:val="0"/>
                <w:w w:val="100"/>
                <w:sz w:val="24"/>
                <w:szCs w:val="24"/>
                <w:highlight w:val="none"/>
                <w:lang w:val="en-US" w:eastAsia="zh-CN" w:bidi="ar-SA"/>
              </w:rPr>
              <w:t>。</w:t>
            </w:r>
            <w:r>
              <w:rPr>
                <w:rFonts w:hint="default" w:ascii="Times New Roman" w:hAnsi="Times New Roman" w:eastAsia="宋体" w:cs="Times New Roman"/>
                <w:color w:val="auto"/>
                <w:spacing w:val="0"/>
                <w:w w:val="100"/>
                <w:sz w:val="24"/>
                <w:szCs w:val="24"/>
                <w:highlight w:val="none"/>
                <w:lang w:val="en-US" w:eastAsia="zh-CN" w:bidi="ar-SA"/>
              </w:rPr>
              <w:t>根据现场踏勘，并核实实际环保设施情况可知，</w:t>
            </w:r>
            <w:r>
              <w:rPr>
                <w:rFonts w:hint="default" w:ascii="Times New Roman" w:hAnsi="Times New Roman" w:eastAsia="宋体" w:cs="Times New Roman"/>
                <w:color w:val="auto"/>
                <w:sz w:val="24"/>
                <w:szCs w:val="24"/>
                <w:highlight w:val="none"/>
                <w:lang w:val="en-US" w:eastAsia="zh-CN" w:bidi="ar-SA"/>
              </w:rPr>
              <w:t>实际总投资</w:t>
            </w:r>
            <w:r>
              <w:rPr>
                <w:rFonts w:hint="eastAsia" w:ascii="Times New Roman" w:hAnsi="Times New Roman" w:eastAsia="宋体" w:cs="Times New Roman"/>
                <w:color w:val="auto"/>
                <w:sz w:val="24"/>
                <w:szCs w:val="24"/>
                <w:highlight w:val="none"/>
                <w:lang w:val="en-US" w:eastAsia="zh-CN" w:bidi="ar-SA"/>
              </w:rPr>
              <w:t>500</w:t>
            </w:r>
            <w:r>
              <w:rPr>
                <w:rFonts w:hint="default" w:ascii="Times New Roman" w:hAnsi="Times New Roman" w:eastAsia="宋体" w:cs="Times New Roman"/>
                <w:color w:val="auto"/>
                <w:sz w:val="24"/>
                <w:szCs w:val="24"/>
                <w:highlight w:val="none"/>
                <w:lang w:val="en-US" w:eastAsia="zh-CN" w:bidi="ar-SA"/>
              </w:rPr>
              <w:t>万元，实际环保投资</w:t>
            </w:r>
            <w:r>
              <w:rPr>
                <w:rFonts w:hint="eastAsia" w:ascii="Times New Roman" w:hAnsi="Times New Roman" w:eastAsia="宋体" w:cs="Times New Roman"/>
                <w:color w:val="auto"/>
                <w:sz w:val="24"/>
                <w:szCs w:val="24"/>
                <w:highlight w:val="none"/>
                <w:lang w:val="en-US" w:eastAsia="zh-CN" w:bidi="ar-SA"/>
              </w:rPr>
              <w:t>55.04万</w:t>
            </w:r>
            <w:r>
              <w:rPr>
                <w:rFonts w:hint="default" w:ascii="Times New Roman" w:hAnsi="Times New Roman" w:eastAsia="宋体" w:cs="Times New Roman"/>
                <w:color w:val="auto"/>
                <w:sz w:val="24"/>
                <w:szCs w:val="24"/>
                <w:highlight w:val="none"/>
                <w:lang w:val="en-US" w:eastAsia="zh-CN" w:bidi="ar-SA"/>
              </w:rPr>
              <w:t>元，占实际总投资的</w:t>
            </w:r>
            <w:r>
              <w:rPr>
                <w:rFonts w:hint="eastAsia" w:ascii="Times New Roman" w:hAnsi="Times New Roman" w:eastAsia="宋体" w:cs="Times New Roman"/>
                <w:color w:val="auto"/>
                <w:sz w:val="24"/>
                <w:szCs w:val="24"/>
                <w:highlight w:val="none"/>
                <w:lang w:val="en-US" w:eastAsia="zh-CN" w:bidi="ar-SA"/>
              </w:rPr>
              <w:t>11.0%</w:t>
            </w:r>
            <w:r>
              <w:rPr>
                <w:rFonts w:hint="default" w:ascii="Times New Roman" w:hAnsi="Times New Roman" w:eastAsia="宋体" w:cs="Times New Roman"/>
                <w:color w:val="auto"/>
                <w:sz w:val="24"/>
                <w:szCs w:val="24"/>
                <w:highlight w:val="none"/>
                <w:lang w:val="en-US" w:eastAsia="zh-CN" w:bidi="ar-SA"/>
              </w:rPr>
              <w:t>。（见表4-</w:t>
            </w:r>
            <w:r>
              <w:rPr>
                <w:rFonts w:hint="eastAsia" w:ascii="Times New Roman" w:hAnsi="Times New Roman" w:eastAsia="宋体" w:cs="Times New Roman"/>
                <w:color w:val="auto"/>
                <w:sz w:val="24"/>
                <w:szCs w:val="24"/>
                <w:highlight w:val="none"/>
                <w:lang w:val="en-US" w:eastAsia="zh-CN" w:bidi="ar-SA"/>
              </w:rPr>
              <w:t>4</w:t>
            </w:r>
            <w:r>
              <w:rPr>
                <w:rFonts w:hint="default" w:ascii="Times New Roman" w:hAnsi="Times New Roman" w:eastAsia="宋体" w:cs="Times New Roman"/>
                <w:color w:val="auto"/>
                <w:sz w:val="24"/>
                <w:szCs w:val="24"/>
                <w:highlight w:val="none"/>
                <w:lang w:val="en-US" w:eastAsia="zh-CN" w:bidi="ar-SA"/>
              </w:rPr>
              <w:t>）。</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表4-</w:t>
            </w:r>
            <w:r>
              <w:rPr>
                <w:rFonts w:hint="eastAsia" w:ascii="Times New Roman" w:hAnsi="Times New Roman" w:eastAsia="宋体" w:cs="Times New Roman"/>
                <w:b/>
                <w:bCs/>
                <w:color w:val="auto"/>
                <w:sz w:val="21"/>
                <w:szCs w:val="21"/>
                <w:highlight w:val="none"/>
                <w:lang w:val="en-US" w:eastAsia="zh-CN" w:bidi="ar-SA"/>
              </w:rPr>
              <w:t>4</w:t>
            </w:r>
            <w:r>
              <w:rPr>
                <w:rFonts w:hint="default" w:ascii="Times New Roman" w:hAnsi="Times New Roman" w:eastAsia="宋体" w:cs="Times New Roman"/>
                <w:b/>
                <w:bCs/>
                <w:color w:val="auto"/>
                <w:sz w:val="21"/>
                <w:szCs w:val="21"/>
                <w:highlight w:val="none"/>
                <w:lang w:val="en-US" w:eastAsia="zh-CN" w:bidi="ar-SA"/>
              </w:rPr>
              <w:t>项目实际环保投资和环评阶段变化情况对比一览表   单位：（万元）</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779"/>
              <w:gridCol w:w="2300"/>
              <w:gridCol w:w="753"/>
              <w:gridCol w:w="759"/>
              <w:gridCol w:w="2129"/>
              <w:gridCol w:w="703"/>
            </w:tblGrid>
            <w:tr w14:paraId="33AC37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1DB6F6B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序号</w:t>
                  </w:r>
                </w:p>
              </w:tc>
              <w:tc>
                <w:tcPr>
                  <w:tcW w:w="727" w:type="pct"/>
                  <w:gridSpan w:val="2"/>
                  <w:vMerge w:val="restart"/>
                  <w:tcBorders>
                    <w:tl2br w:val="nil"/>
                    <w:tr2bl w:val="nil"/>
                  </w:tcBorders>
                  <w:noWrap w:val="0"/>
                  <w:vAlign w:val="center"/>
                </w:tcPr>
                <w:p w14:paraId="10959F9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项目</w:t>
                  </w:r>
                </w:p>
              </w:tc>
              <w:tc>
                <w:tcPr>
                  <w:tcW w:w="2303" w:type="pct"/>
                  <w:gridSpan w:val="3"/>
                  <w:tcBorders>
                    <w:tl2br w:val="nil"/>
                    <w:tr2bl w:val="nil"/>
                  </w:tcBorders>
                  <w:noWrap w:val="0"/>
                  <w:vAlign w:val="center"/>
                </w:tcPr>
                <w:p w14:paraId="710624D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环评阶段采取环保措施及投资</w:t>
                  </w:r>
                </w:p>
              </w:tc>
              <w:tc>
                <w:tcPr>
                  <w:tcW w:w="1711" w:type="pct"/>
                  <w:gridSpan w:val="2"/>
                  <w:tcBorders>
                    <w:tl2br w:val="nil"/>
                    <w:tr2bl w:val="nil"/>
                  </w:tcBorders>
                  <w:noWrap w:val="0"/>
                  <w:vAlign w:val="center"/>
                </w:tcPr>
                <w:p w14:paraId="666C3F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施工采取环保措施及实际投资</w:t>
                  </w:r>
                </w:p>
              </w:tc>
            </w:tr>
            <w:tr w14:paraId="4A9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2B1B861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27" w:type="pct"/>
                  <w:gridSpan w:val="2"/>
                  <w:vMerge w:val="continue"/>
                  <w:tcBorders>
                    <w:tl2br w:val="nil"/>
                    <w:tr2bl w:val="nil"/>
                  </w:tcBorders>
                  <w:noWrap w:val="0"/>
                  <w:vAlign w:val="center"/>
                </w:tcPr>
                <w:p w14:paraId="114F945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noWrap w:val="0"/>
                  <w:vAlign w:val="center"/>
                </w:tcPr>
                <w:p w14:paraId="1A71F82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55" w:type="pct"/>
                  <w:tcBorders>
                    <w:tl2br w:val="nil"/>
                    <w:tr2bl w:val="nil"/>
                  </w:tcBorders>
                  <w:noWrap w:val="0"/>
                  <w:vAlign w:val="center"/>
                </w:tcPr>
                <w:p w14:paraId="21A36A0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数量</w:t>
                  </w:r>
                </w:p>
              </w:tc>
              <w:tc>
                <w:tcPr>
                  <w:tcW w:w="458" w:type="pct"/>
                  <w:tcBorders>
                    <w:tl2br w:val="nil"/>
                    <w:tr2bl w:val="nil"/>
                  </w:tcBorders>
                  <w:noWrap w:val="0"/>
                  <w:vAlign w:val="center"/>
                </w:tcPr>
                <w:p w14:paraId="71DB8E5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c>
                <w:tcPr>
                  <w:tcW w:w="1286" w:type="pct"/>
                  <w:tcBorders>
                    <w:tl2br w:val="nil"/>
                    <w:tr2bl w:val="nil"/>
                  </w:tcBorders>
                  <w:noWrap w:val="0"/>
                  <w:vAlign w:val="center"/>
                </w:tcPr>
                <w:p w14:paraId="059228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24" w:type="pct"/>
                  <w:tcBorders>
                    <w:tl2br w:val="nil"/>
                    <w:tr2bl w:val="nil"/>
                  </w:tcBorders>
                  <w:noWrap w:val="0"/>
                  <w:vAlign w:val="center"/>
                </w:tcPr>
                <w:p w14:paraId="03C1E2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r>
            <w:tr w14:paraId="70182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56" w:type="pct"/>
                  <w:vMerge w:val="restart"/>
                  <w:tcBorders>
                    <w:tl2br w:val="nil"/>
                    <w:tr2bl w:val="nil"/>
                  </w:tcBorders>
                  <w:noWrap w:val="0"/>
                  <w:vAlign w:val="center"/>
                </w:tcPr>
                <w:p w14:paraId="5F153E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w:t>
                  </w:r>
                </w:p>
              </w:tc>
              <w:tc>
                <w:tcPr>
                  <w:tcW w:w="256" w:type="pct"/>
                  <w:vMerge w:val="restart"/>
                  <w:tcBorders>
                    <w:tl2br w:val="nil"/>
                    <w:tr2bl w:val="nil"/>
                  </w:tcBorders>
                  <w:noWrap w:val="0"/>
                  <w:vAlign w:val="center"/>
                </w:tcPr>
                <w:p w14:paraId="78FF189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废气</w:t>
                  </w:r>
                </w:p>
                <w:p w14:paraId="58775E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noWrap w:val="0"/>
                  <w:vAlign w:val="center"/>
                </w:tcPr>
                <w:p w14:paraId="66577E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施工扬尘</w:t>
                  </w:r>
                </w:p>
              </w:tc>
              <w:tc>
                <w:tcPr>
                  <w:tcW w:w="1390" w:type="pct"/>
                  <w:tcBorders>
                    <w:tl2br w:val="nil"/>
                    <w:tr2bl w:val="nil"/>
                  </w:tcBorders>
                  <w:shd w:val="clear" w:color="auto" w:fill="auto"/>
                  <w:noWrap w:val="0"/>
                  <w:vAlign w:val="center"/>
                </w:tcPr>
                <w:p w14:paraId="0C864D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rPr>
                    <w:t>洒水设备、设置挡板、车辆运输遮盖苫布</w:t>
                  </w:r>
                </w:p>
              </w:tc>
              <w:tc>
                <w:tcPr>
                  <w:tcW w:w="455" w:type="pct"/>
                  <w:tcBorders>
                    <w:tl2br w:val="nil"/>
                    <w:tr2bl w:val="nil"/>
                  </w:tcBorders>
                  <w:shd w:val="clear" w:color="auto" w:fill="auto"/>
                  <w:noWrap w:val="0"/>
                  <w:vAlign w:val="center"/>
                </w:tcPr>
                <w:p w14:paraId="4D6E9F4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81728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11.25</w:t>
                  </w:r>
                </w:p>
              </w:tc>
              <w:tc>
                <w:tcPr>
                  <w:tcW w:w="1286" w:type="pct"/>
                  <w:tcBorders>
                    <w:tl2br w:val="nil"/>
                    <w:tr2bl w:val="nil"/>
                  </w:tcBorders>
                  <w:noWrap w:val="0"/>
                  <w:vAlign w:val="center"/>
                </w:tcPr>
                <w:p w14:paraId="76586B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洒水设备、设置挡板、车辆运输遮盖苫布</w:t>
                  </w:r>
                </w:p>
              </w:tc>
              <w:tc>
                <w:tcPr>
                  <w:tcW w:w="703" w:type="dxa"/>
                  <w:tcBorders>
                    <w:tl2br w:val="nil"/>
                    <w:tr2bl w:val="nil"/>
                  </w:tcBorders>
                  <w:noWrap w:val="0"/>
                  <w:vAlign w:val="center"/>
                </w:tcPr>
                <w:p w14:paraId="015F8A2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3</w:t>
                  </w:r>
                </w:p>
              </w:tc>
            </w:tr>
            <w:tr w14:paraId="133BF6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4D00A4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6A1F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3C29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柴油燃烧烟气</w:t>
                  </w:r>
                </w:p>
              </w:tc>
              <w:tc>
                <w:tcPr>
                  <w:tcW w:w="1390" w:type="pct"/>
                  <w:tcBorders>
                    <w:tl2br w:val="nil"/>
                    <w:tr2bl w:val="nil"/>
                  </w:tcBorders>
                  <w:shd w:val="clear" w:color="auto" w:fill="auto"/>
                  <w:noWrap w:val="0"/>
                  <w:vAlign w:val="center"/>
                </w:tcPr>
                <w:p w14:paraId="037E411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rPr>
                    <w:t>柴油发电机简易排气筒</w:t>
                  </w:r>
                </w:p>
              </w:tc>
              <w:tc>
                <w:tcPr>
                  <w:tcW w:w="455" w:type="pct"/>
                  <w:tcBorders>
                    <w:tl2br w:val="nil"/>
                    <w:tr2bl w:val="nil"/>
                  </w:tcBorders>
                  <w:shd w:val="clear" w:color="auto" w:fill="auto"/>
                  <w:noWrap w:val="0"/>
                  <w:vAlign w:val="center"/>
                </w:tcPr>
                <w:p w14:paraId="1D21D5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套</w:t>
                  </w:r>
                </w:p>
              </w:tc>
              <w:tc>
                <w:tcPr>
                  <w:tcW w:w="458" w:type="pct"/>
                  <w:tcBorders>
                    <w:tl2br w:val="nil"/>
                    <w:tr2bl w:val="nil"/>
                  </w:tcBorders>
                  <w:shd w:val="clear" w:color="auto" w:fill="auto"/>
                  <w:noWrap w:val="0"/>
                  <w:vAlign w:val="center"/>
                </w:tcPr>
                <w:p w14:paraId="560E7C2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1.13</w:t>
                  </w:r>
                </w:p>
              </w:tc>
              <w:tc>
                <w:tcPr>
                  <w:tcW w:w="1286" w:type="pct"/>
                  <w:tcBorders>
                    <w:tl2br w:val="nil"/>
                    <w:tr2bl w:val="nil"/>
                  </w:tcBorders>
                  <w:noWrap w:val="0"/>
                  <w:vAlign w:val="center"/>
                </w:tcPr>
                <w:p w14:paraId="5A6D21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套</w:t>
                  </w:r>
                </w:p>
              </w:tc>
              <w:tc>
                <w:tcPr>
                  <w:tcW w:w="703" w:type="dxa"/>
                  <w:tcBorders>
                    <w:tl2br w:val="nil"/>
                    <w:tr2bl w:val="nil"/>
                  </w:tcBorders>
                  <w:noWrap w:val="0"/>
                  <w:vAlign w:val="center"/>
                </w:tcPr>
                <w:p w14:paraId="7D4776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0.4</w:t>
                  </w:r>
                </w:p>
              </w:tc>
            </w:tr>
            <w:tr w14:paraId="3DB1A4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53" w:hRule="atLeast"/>
              </w:trPr>
              <w:tc>
                <w:tcPr>
                  <w:tcW w:w="256" w:type="pct"/>
                  <w:vMerge w:val="continue"/>
                  <w:tcBorders>
                    <w:tl2br w:val="nil"/>
                    <w:tr2bl w:val="nil"/>
                  </w:tcBorders>
                  <w:noWrap w:val="0"/>
                  <w:vAlign w:val="center"/>
                </w:tcPr>
                <w:p w14:paraId="0223A58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C4368A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1AC8CB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w:t>
                  </w:r>
                </w:p>
              </w:tc>
              <w:tc>
                <w:tcPr>
                  <w:tcW w:w="1390" w:type="pct"/>
                  <w:tcBorders>
                    <w:tl2br w:val="nil"/>
                    <w:tr2bl w:val="nil"/>
                  </w:tcBorders>
                  <w:shd w:val="clear" w:color="auto" w:fill="auto"/>
                  <w:noWrap w:val="0"/>
                  <w:vAlign w:val="center"/>
                </w:tcPr>
                <w:p w14:paraId="5A27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伴生气产生量很小</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无法量化</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无组织排放</w:t>
                  </w:r>
                </w:p>
              </w:tc>
              <w:tc>
                <w:tcPr>
                  <w:tcW w:w="455" w:type="pct"/>
                  <w:tcBorders>
                    <w:tl2br w:val="nil"/>
                    <w:tr2bl w:val="nil"/>
                  </w:tcBorders>
                  <w:shd w:val="clear" w:color="auto" w:fill="auto"/>
                  <w:noWrap w:val="0"/>
                  <w:vAlign w:val="center"/>
                </w:tcPr>
                <w:p w14:paraId="73F1FD0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79DA4C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1286" w:type="pct"/>
                  <w:tcBorders>
                    <w:tl2br w:val="nil"/>
                    <w:tr2bl w:val="nil"/>
                  </w:tcBorders>
                  <w:noWrap w:val="0"/>
                  <w:vAlign w:val="center"/>
                </w:tcPr>
                <w:p w14:paraId="4211511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无组织排放</w:t>
                  </w:r>
                </w:p>
              </w:tc>
              <w:tc>
                <w:tcPr>
                  <w:tcW w:w="703" w:type="dxa"/>
                  <w:tcBorders>
                    <w:tl2br w:val="nil"/>
                    <w:tr2bl w:val="nil"/>
                  </w:tcBorders>
                  <w:noWrap w:val="0"/>
                  <w:vAlign w:val="center"/>
                </w:tcPr>
                <w:p w14:paraId="154C2E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w:t>
                  </w:r>
                </w:p>
              </w:tc>
            </w:tr>
            <w:tr w14:paraId="0E5A6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56" w:type="pct"/>
                  <w:vMerge w:val="restart"/>
                  <w:tcBorders>
                    <w:tl2br w:val="nil"/>
                    <w:tr2bl w:val="nil"/>
                  </w:tcBorders>
                  <w:noWrap w:val="0"/>
                  <w:vAlign w:val="center"/>
                </w:tcPr>
                <w:p w14:paraId="5B7E7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2</w:t>
                  </w:r>
                </w:p>
              </w:tc>
              <w:tc>
                <w:tcPr>
                  <w:tcW w:w="256" w:type="pct"/>
                  <w:vMerge w:val="restart"/>
                  <w:tcBorders>
                    <w:tl2br w:val="nil"/>
                    <w:tr2bl w:val="nil"/>
                  </w:tcBorders>
                  <w:noWrap w:val="0"/>
                  <w:vAlign w:val="center"/>
                </w:tcPr>
                <w:p w14:paraId="4AE78AD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w:t>
                  </w:r>
                </w:p>
                <w:p w14:paraId="4BD3E1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vMerge w:val="restart"/>
                  <w:tcBorders>
                    <w:tl2br w:val="nil"/>
                    <w:tr2bl w:val="nil"/>
                  </w:tcBorders>
                  <w:shd w:val="clear" w:color="auto" w:fill="auto"/>
                  <w:noWrap w:val="0"/>
                  <w:vAlign w:val="center"/>
                </w:tcPr>
                <w:p w14:paraId="235551F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钻井、洗井、井下作业废水</w:t>
                  </w:r>
                </w:p>
              </w:tc>
              <w:tc>
                <w:tcPr>
                  <w:tcW w:w="1390" w:type="pct"/>
                  <w:tcBorders>
                    <w:tl2br w:val="nil"/>
                    <w:tr2bl w:val="nil"/>
                  </w:tcBorders>
                  <w:shd w:val="clear" w:color="auto" w:fill="auto"/>
                  <w:noWrap w:val="0"/>
                  <w:vAlign w:val="center"/>
                </w:tcPr>
                <w:p w14:paraId="67D18B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地上废水收集罐</w:t>
                  </w:r>
                </w:p>
              </w:tc>
              <w:tc>
                <w:tcPr>
                  <w:tcW w:w="455" w:type="pct"/>
                  <w:tcBorders>
                    <w:tl2br w:val="nil"/>
                    <w:tr2bl w:val="nil"/>
                  </w:tcBorders>
                  <w:shd w:val="clear" w:color="auto" w:fill="auto"/>
                  <w:noWrap w:val="0"/>
                  <w:vAlign w:val="center"/>
                </w:tcPr>
                <w:p w14:paraId="77691BE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套</w:t>
                  </w:r>
                </w:p>
              </w:tc>
              <w:tc>
                <w:tcPr>
                  <w:tcW w:w="458" w:type="pct"/>
                  <w:tcBorders>
                    <w:tl2br w:val="nil"/>
                    <w:tr2bl w:val="nil"/>
                  </w:tcBorders>
                  <w:shd w:val="clear" w:color="auto" w:fill="auto"/>
                  <w:noWrap w:val="0"/>
                  <w:vAlign w:val="center"/>
                </w:tcPr>
                <w:p w14:paraId="447062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1.13</w:t>
                  </w:r>
                </w:p>
              </w:tc>
              <w:tc>
                <w:tcPr>
                  <w:tcW w:w="1286" w:type="pct"/>
                  <w:vMerge w:val="restart"/>
                  <w:tcBorders>
                    <w:tl2br w:val="nil"/>
                    <w:tr2bl w:val="nil"/>
                  </w:tcBorders>
                  <w:noWrap w:val="0"/>
                  <w:vAlign w:val="center"/>
                </w:tcPr>
                <w:p w14:paraId="652BC2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地上废水收集罐及拉运费用</w:t>
                  </w:r>
                </w:p>
              </w:tc>
              <w:tc>
                <w:tcPr>
                  <w:tcW w:w="703" w:type="dxa"/>
                  <w:vMerge w:val="restart"/>
                  <w:tcBorders>
                    <w:tl2br w:val="nil"/>
                    <w:tr2bl w:val="nil"/>
                  </w:tcBorders>
                  <w:noWrap w:val="0"/>
                  <w:vAlign w:val="center"/>
                </w:tcPr>
                <w:p w14:paraId="146508B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6</w:t>
                  </w:r>
                </w:p>
              </w:tc>
            </w:tr>
            <w:tr w14:paraId="5685B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256" w:type="pct"/>
                  <w:vMerge w:val="continue"/>
                  <w:tcBorders>
                    <w:tl2br w:val="nil"/>
                    <w:tr2bl w:val="nil"/>
                  </w:tcBorders>
                  <w:noWrap w:val="0"/>
                  <w:vAlign w:val="center"/>
                </w:tcPr>
                <w:p w14:paraId="4E7C29E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98E3A6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vMerge w:val="continue"/>
                  <w:tcBorders>
                    <w:tl2br w:val="nil"/>
                    <w:tr2bl w:val="nil"/>
                  </w:tcBorders>
                  <w:noWrap w:val="0"/>
                  <w:vAlign w:val="center"/>
                </w:tcPr>
                <w:p w14:paraId="5ADA455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shd w:val="clear" w:color="auto" w:fill="auto"/>
                  <w:noWrap w:val="0"/>
                  <w:vAlign w:val="center"/>
                </w:tcPr>
                <w:p w14:paraId="48917A3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废水拉运处理费用</w:t>
                  </w:r>
                </w:p>
              </w:tc>
              <w:tc>
                <w:tcPr>
                  <w:tcW w:w="455" w:type="pct"/>
                  <w:tcBorders>
                    <w:tl2br w:val="nil"/>
                    <w:tr2bl w:val="nil"/>
                  </w:tcBorders>
                  <w:shd w:val="clear" w:color="auto" w:fill="auto"/>
                  <w:noWrap w:val="0"/>
                  <w:vAlign w:val="center"/>
                </w:tcPr>
                <w:p w14:paraId="4337C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60C4AC4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18.00</w:t>
                  </w:r>
                </w:p>
              </w:tc>
              <w:tc>
                <w:tcPr>
                  <w:tcW w:w="1286" w:type="pct"/>
                  <w:vMerge w:val="continue"/>
                  <w:tcBorders>
                    <w:tl2br w:val="nil"/>
                    <w:tr2bl w:val="nil"/>
                  </w:tcBorders>
                  <w:noWrap w:val="0"/>
                  <w:vAlign w:val="center"/>
                </w:tcPr>
                <w:p w14:paraId="23C3B0B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24" w:type="pct"/>
                  <w:vMerge w:val="continue"/>
                  <w:tcBorders>
                    <w:tl2br w:val="nil"/>
                    <w:tr2bl w:val="nil"/>
                  </w:tcBorders>
                  <w:noWrap w:val="0"/>
                  <w:vAlign w:val="center"/>
                </w:tcPr>
                <w:p w14:paraId="08EA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p>
              </w:tc>
            </w:tr>
            <w:tr w14:paraId="5A5FD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56" w:type="pct"/>
                  <w:vMerge w:val="continue"/>
                  <w:tcBorders>
                    <w:tl2br w:val="nil"/>
                    <w:tr2bl w:val="nil"/>
                  </w:tcBorders>
                  <w:noWrap w:val="0"/>
                  <w:vAlign w:val="center"/>
                </w:tcPr>
                <w:p w14:paraId="6C3685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10911BB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A469AE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生活污水</w:t>
                  </w:r>
                </w:p>
              </w:tc>
              <w:tc>
                <w:tcPr>
                  <w:tcW w:w="1390" w:type="pct"/>
                  <w:tcBorders>
                    <w:tl2br w:val="nil"/>
                    <w:tr2bl w:val="nil"/>
                  </w:tcBorders>
                  <w:shd w:val="clear" w:color="auto" w:fill="auto"/>
                  <w:noWrap w:val="0"/>
                  <w:vAlign w:val="center"/>
                </w:tcPr>
                <w:p w14:paraId="190B91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p>
              </w:tc>
              <w:tc>
                <w:tcPr>
                  <w:tcW w:w="455" w:type="pct"/>
                  <w:tcBorders>
                    <w:tl2br w:val="nil"/>
                    <w:tr2bl w:val="nil"/>
                  </w:tcBorders>
                  <w:shd w:val="clear" w:color="auto" w:fill="auto"/>
                  <w:noWrap w:val="0"/>
                  <w:vAlign w:val="center"/>
                </w:tcPr>
                <w:p w14:paraId="77750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座</w:t>
                  </w:r>
                </w:p>
              </w:tc>
              <w:tc>
                <w:tcPr>
                  <w:tcW w:w="458" w:type="pct"/>
                  <w:tcBorders>
                    <w:tl2br w:val="nil"/>
                    <w:tr2bl w:val="nil"/>
                  </w:tcBorders>
                  <w:shd w:val="clear" w:color="auto" w:fill="auto"/>
                  <w:noWrap w:val="0"/>
                  <w:vAlign w:val="center"/>
                </w:tcPr>
                <w:p w14:paraId="158CCC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3.00</w:t>
                  </w:r>
                </w:p>
              </w:tc>
              <w:tc>
                <w:tcPr>
                  <w:tcW w:w="1286" w:type="pct"/>
                  <w:tcBorders>
                    <w:tl2br w:val="nil"/>
                    <w:tr2bl w:val="nil"/>
                  </w:tcBorders>
                  <w:noWrap w:val="0"/>
                  <w:vAlign w:val="center"/>
                </w:tcPr>
                <w:p w14:paraId="7B37AB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座</w:t>
                  </w:r>
                </w:p>
              </w:tc>
              <w:tc>
                <w:tcPr>
                  <w:tcW w:w="703" w:type="dxa"/>
                  <w:tcBorders>
                    <w:tl2br w:val="nil"/>
                    <w:tr2bl w:val="nil"/>
                  </w:tcBorders>
                  <w:noWrap w:val="0"/>
                  <w:vAlign w:val="center"/>
                </w:tcPr>
                <w:p w14:paraId="51ADC2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w:t>
                  </w:r>
                </w:p>
              </w:tc>
            </w:tr>
            <w:tr w14:paraId="1D489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25E999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3</w:t>
                  </w:r>
                </w:p>
              </w:tc>
              <w:tc>
                <w:tcPr>
                  <w:tcW w:w="256" w:type="pct"/>
                  <w:vMerge w:val="restart"/>
                  <w:tcBorders>
                    <w:tl2br w:val="nil"/>
                    <w:tr2bl w:val="nil"/>
                  </w:tcBorders>
                  <w:noWrap w:val="0"/>
                  <w:vAlign w:val="center"/>
                </w:tcPr>
                <w:p w14:paraId="6E21FE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噪声</w:t>
                  </w:r>
                </w:p>
                <w:p w14:paraId="70258C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073C37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w:t>
                  </w:r>
                </w:p>
              </w:tc>
              <w:tc>
                <w:tcPr>
                  <w:tcW w:w="1390" w:type="pct"/>
                  <w:tcBorders>
                    <w:tl2br w:val="nil"/>
                    <w:tr2bl w:val="nil"/>
                  </w:tcBorders>
                  <w:shd w:val="clear" w:color="auto" w:fill="auto"/>
                  <w:noWrap w:val="0"/>
                  <w:vAlign w:val="center"/>
                </w:tcPr>
                <w:p w14:paraId="338CA0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减震</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安装活动板房隔声</w:t>
                  </w:r>
                </w:p>
              </w:tc>
              <w:tc>
                <w:tcPr>
                  <w:tcW w:w="455" w:type="pct"/>
                  <w:tcBorders>
                    <w:tl2br w:val="nil"/>
                    <w:tr2bl w:val="nil"/>
                  </w:tcBorders>
                  <w:shd w:val="clear" w:color="auto" w:fill="auto"/>
                  <w:noWrap w:val="0"/>
                  <w:vAlign w:val="center"/>
                </w:tcPr>
                <w:p w14:paraId="547F623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2E3016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18.75</w:t>
                  </w:r>
                </w:p>
              </w:tc>
              <w:tc>
                <w:tcPr>
                  <w:tcW w:w="1286" w:type="pct"/>
                  <w:tcBorders>
                    <w:tl2br w:val="nil"/>
                    <w:tr2bl w:val="nil"/>
                  </w:tcBorders>
                  <w:noWrap w:val="0"/>
                  <w:vAlign w:val="center"/>
                </w:tcPr>
                <w:p w14:paraId="20A3BF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703" w:type="dxa"/>
                  <w:tcBorders>
                    <w:tl2br w:val="nil"/>
                    <w:tr2bl w:val="nil"/>
                  </w:tcBorders>
                  <w:noWrap w:val="0"/>
                  <w:vAlign w:val="center"/>
                </w:tcPr>
                <w:p w14:paraId="6A28597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6</w:t>
                  </w:r>
                </w:p>
              </w:tc>
            </w:tr>
            <w:tr w14:paraId="60282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2685B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C05B7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5727F08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泥浆泵</w:t>
                  </w:r>
                </w:p>
              </w:tc>
              <w:tc>
                <w:tcPr>
                  <w:tcW w:w="1390" w:type="pct"/>
                  <w:tcBorders>
                    <w:tl2br w:val="nil"/>
                    <w:tr2bl w:val="nil"/>
                  </w:tcBorders>
                  <w:shd w:val="clear" w:color="auto" w:fill="auto"/>
                  <w:noWrap w:val="0"/>
                  <w:vAlign w:val="center"/>
                </w:tcPr>
                <w:p w14:paraId="766190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455" w:type="pct"/>
                  <w:tcBorders>
                    <w:tl2br w:val="nil"/>
                    <w:tr2bl w:val="nil"/>
                  </w:tcBorders>
                  <w:shd w:val="clear" w:color="auto" w:fill="auto"/>
                  <w:noWrap w:val="0"/>
                  <w:vAlign w:val="center"/>
                </w:tcPr>
                <w:p w14:paraId="12AA08B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套</w:t>
                  </w:r>
                </w:p>
              </w:tc>
              <w:tc>
                <w:tcPr>
                  <w:tcW w:w="458" w:type="pct"/>
                  <w:tcBorders>
                    <w:tl2br w:val="nil"/>
                    <w:tr2bl w:val="nil"/>
                  </w:tcBorders>
                  <w:shd w:val="clear" w:color="auto" w:fill="auto"/>
                  <w:noWrap w:val="0"/>
                  <w:vAlign w:val="center"/>
                </w:tcPr>
                <w:p w14:paraId="5651E0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0.68</w:t>
                  </w:r>
                </w:p>
              </w:tc>
              <w:tc>
                <w:tcPr>
                  <w:tcW w:w="1286" w:type="pct"/>
                  <w:tcBorders>
                    <w:tl2br w:val="nil"/>
                    <w:tr2bl w:val="nil"/>
                  </w:tcBorders>
                  <w:noWrap w:val="0"/>
                  <w:vAlign w:val="center"/>
                </w:tcPr>
                <w:p w14:paraId="280A82F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703" w:type="dxa"/>
                  <w:tcBorders>
                    <w:tl2br w:val="nil"/>
                    <w:tr2bl w:val="nil"/>
                  </w:tcBorders>
                  <w:shd w:val="clear" w:color="auto" w:fill="auto"/>
                  <w:noWrap w:val="0"/>
                  <w:vAlign w:val="center"/>
                </w:tcPr>
                <w:p w14:paraId="17B057E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0.2</w:t>
                  </w:r>
                </w:p>
              </w:tc>
            </w:tr>
            <w:tr w14:paraId="72D29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256" w:type="pct"/>
                  <w:vMerge w:val="restart"/>
                  <w:tcBorders>
                    <w:tl2br w:val="nil"/>
                    <w:tr2bl w:val="nil"/>
                  </w:tcBorders>
                  <w:noWrap w:val="0"/>
                  <w:vAlign w:val="center"/>
                </w:tcPr>
                <w:p w14:paraId="164C0A8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4</w:t>
                  </w:r>
                </w:p>
              </w:tc>
              <w:tc>
                <w:tcPr>
                  <w:tcW w:w="256" w:type="pct"/>
                  <w:vMerge w:val="restart"/>
                  <w:tcBorders>
                    <w:tl2br w:val="nil"/>
                    <w:tr2bl w:val="nil"/>
                  </w:tcBorders>
                  <w:noWrap w:val="0"/>
                  <w:vAlign w:val="center"/>
                </w:tcPr>
                <w:p w14:paraId="4D54E0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固废</w:t>
                  </w:r>
                </w:p>
                <w:p w14:paraId="72249A2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1A19224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废弃钻井泥浆、钻井岩屑（不含油）</w:t>
                  </w:r>
                </w:p>
              </w:tc>
              <w:tc>
                <w:tcPr>
                  <w:tcW w:w="1390" w:type="pct"/>
                  <w:tcBorders>
                    <w:tl2br w:val="nil"/>
                    <w:tr2bl w:val="nil"/>
                  </w:tcBorders>
                  <w:shd w:val="clear" w:color="auto" w:fill="auto"/>
                  <w:noWrap w:val="0"/>
                  <w:vAlign w:val="center"/>
                </w:tcPr>
                <w:p w14:paraId="5D533D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钻井井场设置移动式泥浆不落地设施</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配套有污水罐、泥浆罐、压滤设施等</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并在下方铺设防渗布等防渗措施。</w:t>
                  </w:r>
                </w:p>
              </w:tc>
              <w:tc>
                <w:tcPr>
                  <w:tcW w:w="455" w:type="pct"/>
                  <w:tcBorders>
                    <w:tl2br w:val="nil"/>
                    <w:tr2bl w:val="nil"/>
                  </w:tcBorders>
                  <w:shd w:val="clear" w:color="auto" w:fill="auto"/>
                  <w:noWrap w:val="0"/>
                  <w:vAlign w:val="center"/>
                </w:tcPr>
                <w:p w14:paraId="0141B87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套</w:t>
                  </w:r>
                </w:p>
              </w:tc>
              <w:tc>
                <w:tcPr>
                  <w:tcW w:w="458" w:type="pct"/>
                  <w:tcBorders>
                    <w:tl2br w:val="nil"/>
                    <w:tr2bl w:val="nil"/>
                  </w:tcBorders>
                  <w:shd w:val="clear" w:color="auto" w:fill="auto"/>
                  <w:noWrap w:val="0"/>
                  <w:vAlign w:val="center"/>
                </w:tcPr>
                <w:p w14:paraId="6641ADE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21.00</w:t>
                  </w:r>
                </w:p>
              </w:tc>
              <w:tc>
                <w:tcPr>
                  <w:tcW w:w="1286" w:type="pct"/>
                  <w:tcBorders>
                    <w:tl2br w:val="nil"/>
                    <w:tr2bl w:val="nil"/>
                  </w:tcBorders>
                  <w:shd w:val="clear" w:color="auto" w:fill="auto"/>
                  <w:noWrap w:val="0"/>
                  <w:vAlign w:val="center"/>
                </w:tcPr>
                <w:p w14:paraId="75904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z w:val="21"/>
                      <w:szCs w:val="21"/>
                      <w:highlight w:val="none"/>
                      <w:lang w:val="en-US" w:eastAsia="zh-CN"/>
                    </w:rPr>
                    <w:t>泥浆不落地装置</w:t>
                  </w:r>
                  <w:r>
                    <w:rPr>
                      <w:rFonts w:hint="eastAsia" w:ascii="Times New Roman" w:hAnsi="Times New Roman" w:eastAsia="宋体" w:cs="Times New Roman"/>
                      <w:bCs/>
                      <w:color w:val="auto"/>
                      <w:sz w:val="21"/>
                      <w:szCs w:val="21"/>
                      <w:highlight w:val="none"/>
                      <w:lang w:val="en-US" w:eastAsia="zh-CN"/>
                    </w:rPr>
                    <w:t>1</w:t>
                  </w:r>
                  <w:r>
                    <w:rPr>
                      <w:rFonts w:hint="default" w:ascii="Times New Roman" w:hAnsi="Times New Roman" w:eastAsia="宋体" w:cs="Times New Roman"/>
                      <w:bCs/>
                      <w:color w:val="auto"/>
                      <w:sz w:val="21"/>
                      <w:szCs w:val="21"/>
                      <w:highlight w:val="none"/>
                      <w:lang w:val="en-US" w:eastAsia="zh-CN"/>
                    </w:rPr>
                    <w:t>套。</w:t>
                  </w:r>
                  <w:r>
                    <w:rPr>
                      <w:rFonts w:hint="default"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 w:val="0"/>
                      <w:bCs w:val="0"/>
                      <w:color w:val="auto"/>
                      <w:sz w:val="21"/>
                      <w:szCs w:val="21"/>
                      <w:lang w:val="en-US" w:eastAsia="zh-CN"/>
                    </w:rPr>
                    <w:t>。未产生二次污染</w:t>
                  </w:r>
                </w:p>
              </w:tc>
              <w:tc>
                <w:tcPr>
                  <w:tcW w:w="703" w:type="dxa"/>
                  <w:tcBorders>
                    <w:tl2br w:val="nil"/>
                    <w:tr2bl w:val="nil"/>
                  </w:tcBorders>
                  <w:noWrap w:val="0"/>
                  <w:vAlign w:val="center"/>
                </w:tcPr>
                <w:p w14:paraId="292911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7</w:t>
                  </w:r>
                </w:p>
              </w:tc>
            </w:tr>
            <w:tr w14:paraId="49DF66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56" w:type="pct"/>
                  <w:vMerge w:val="continue"/>
                  <w:tcBorders>
                    <w:tl2br w:val="nil"/>
                    <w:tr2bl w:val="nil"/>
                  </w:tcBorders>
                  <w:noWrap w:val="0"/>
                  <w:vAlign w:val="center"/>
                </w:tcPr>
                <w:p w14:paraId="5092CFE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F209F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BE1B4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纯碱、膨润土废弃包装</w:t>
                  </w:r>
                </w:p>
              </w:tc>
              <w:tc>
                <w:tcPr>
                  <w:tcW w:w="1390" w:type="pct"/>
                  <w:tcBorders>
                    <w:tl2br w:val="nil"/>
                    <w:tr2bl w:val="nil"/>
                  </w:tcBorders>
                  <w:shd w:val="clear" w:color="auto" w:fill="auto"/>
                  <w:noWrap w:val="0"/>
                  <w:vAlign w:val="center"/>
                </w:tcPr>
                <w:p w14:paraId="371258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54DD76A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46CDD2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1.50</w:t>
                  </w:r>
                </w:p>
              </w:tc>
              <w:tc>
                <w:tcPr>
                  <w:tcW w:w="1286" w:type="pct"/>
                  <w:tcBorders>
                    <w:tl2br w:val="nil"/>
                    <w:tr2bl w:val="nil"/>
                  </w:tcBorders>
                  <w:shd w:val="clear" w:color="auto" w:fill="auto"/>
                  <w:noWrap w:val="0"/>
                  <w:vAlign w:val="center"/>
                </w:tcPr>
                <w:p w14:paraId="7F1E70C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纯碱、膨润土废弃包装袋经收集后由</w:t>
                  </w:r>
                  <w:r>
                    <w:rPr>
                      <w:rFonts w:hint="eastAsia" w:ascii="Times New Roman" w:hAnsi="Times New Roman" w:eastAsia="宋体" w:cs="Times New Roman"/>
                      <w:i w:val="0"/>
                      <w:iCs w:val="0"/>
                      <w:color w:val="auto"/>
                      <w:kern w:val="0"/>
                      <w:sz w:val="21"/>
                      <w:szCs w:val="21"/>
                      <w:u w:val="none"/>
                      <w:lang w:val="en-US" w:eastAsia="zh-CN" w:bidi="ar"/>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756CB72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0.6</w:t>
                  </w:r>
                </w:p>
              </w:tc>
            </w:tr>
            <w:tr w14:paraId="62808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1986FD3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4FB44E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290FA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废防渗布</w:t>
                  </w:r>
                </w:p>
                <w:p w14:paraId="01B947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（不含油）</w:t>
                  </w:r>
                </w:p>
              </w:tc>
              <w:tc>
                <w:tcPr>
                  <w:tcW w:w="1390" w:type="pct"/>
                  <w:tcBorders>
                    <w:tl2br w:val="nil"/>
                    <w:tr2bl w:val="nil"/>
                  </w:tcBorders>
                  <w:shd w:val="clear" w:color="auto" w:fill="auto"/>
                  <w:noWrap w:val="0"/>
                  <w:vAlign w:val="center"/>
                </w:tcPr>
                <w:p w14:paraId="72DDA37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2CEB128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1F3990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1.50</w:t>
                  </w:r>
                </w:p>
              </w:tc>
              <w:tc>
                <w:tcPr>
                  <w:tcW w:w="1286" w:type="pct"/>
                  <w:tcBorders>
                    <w:tl2br w:val="nil"/>
                    <w:tr2bl w:val="nil"/>
                  </w:tcBorders>
                  <w:shd w:val="clear" w:color="auto" w:fill="auto"/>
                  <w:noWrap w:val="0"/>
                  <w:vAlign w:val="center"/>
                </w:tcPr>
                <w:p w14:paraId="1DFB6F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废防渗布（不含油）经收集后由</w:t>
                  </w:r>
                  <w:r>
                    <w:rPr>
                      <w:rFonts w:hint="eastAsia" w:ascii="Times New Roman" w:hAnsi="Times New Roman" w:eastAsia="宋体" w:cs="Times New Roman"/>
                      <w:i w:val="0"/>
                      <w:iCs w:val="0"/>
                      <w:color w:val="auto"/>
                      <w:kern w:val="0"/>
                      <w:sz w:val="21"/>
                      <w:szCs w:val="21"/>
                      <w:u w:val="none"/>
                      <w:lang w:val="en-US" w:eastAsia="zh-CN" w:bidi="ar"/>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003F2A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w:t>
                  </w:r>
                </w:p>
              </w:tc>
            </w:tr>
            <w:tr w14:paraId="2B13EC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9CD0F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66F45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92F11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建筑垃圾</w:t>
                  </w:r>
                </w:p>
              </w:tc>
              <w:tc>
                <w:tcPr>
                  <w:tcW w:w="1390" w:type="pct"/>
                  <w:tcBorders>
                    <w:tl2br w:val="nil"/>
                    <w:tr2bl w:val="nil"/>
                  </w:tcBorders>
                  <w:shd w:val="clear" w:color="auto" w:fill="auto"/>
                  <w:noWrap w:val="0"/>
                  <w:vAlign w:val="center"/>
                </w:tcPr>
                <w:p w14:paraId="76BDB6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回收利用</w:t>
                  </w:r>
                </w:p>
              </w:tc>
              <w:tc>
                <w:tcPr>
                  <w:tcW w:w="455" w:type="pct"/>
                  <w:tcBorders>
                    <w:tl2br w:val="nil"/>
                    <w:tr2bl w:val="nil"/>
                  </w:tcBorders>
                  <w:shd w:val="clear" w:color="auto" w:fill="auto"/>
                  <w:noWrap w:val="0"/>
                  <w:vAlign w:val="center"/>
                </w:tcPr>
                <w:p w14:paraId="54F310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397690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0.75</w:t>
                  </w:r>
                </w:p>
              </w:tc>
              <w:tc>
                <w:tcPr>
                  <w:tcW w:w="1286" w:type="pct"/>
                  <w:tcBorders>
                    <w:tl2br w:val="nil"/>
                    <w:tr2bl w:val="nil"/>
                  </w:tcBorders>
                  <w:shd w:val="clear" w:color="auto" w:fill="auto"/>
                  <w:noWrap w:val="0"/>
                  <w:vAlign w:val="center"/>
                </w:tcPr>
                <w:p w14:paraId="513976B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未产生</w:t>
                  </w:r>
                </w:p>
              </w:tc>
              <w:tc>
                <w:tcPr>
                  <w:tcW w:w="703" w:type="dxa"/>
                  <w:tcBorders>
                    <w:tl2br w:val="nil"/>
                    <w:tr2bl w:val="nil"/>
                  </w:tcBorders>
                  <w:noWrap w:val="0"/>
                  <w:vAlign w:val="center"/>
                </w:tcPr>
                <w:p w14:paraId="2A155EF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w:t>
                  </w:r>
                </w:p>
              </w:tc>
            </w:tr>
            <w:tr w14:paraId="6F4B8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30A98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7B05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EB3869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废过硫酸钾包装袋</w:t>
                  </w:r>
                </w:p>
              </w:tc>
              <w:tc>
                <w:tcPr>
                  <w:tcW w:w="1390" w:type="pct"/>
                  <w:tcBorders>
                    <w:tl2br w:val="nil"/>
                    <w:tr2bl w:val="nil"/>
                  </w:tcBorders>
                  <w:shd w:val="clear" w:color="auto" w:fill="auto"/>
                  <w:noWrap w:val="0"/>
                  <w:vAlign w:val="center"/>
                </w:tcPr>
                <w:p w14:paraId="64422D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废过硫酸钾包装袋入桶</w:t>
                  </w:r>
                  <w:r>
                    <w:rPr>
                      <w:rFonts w:hint="eastAsia" w:ascii="Times New Roman" w:hAnsi="Times New Roman" w:eastAsia="宋体" w:cs="Times New Roman"/>
                      <w:b w:val="0"/>
                      <w:bCs w:val="0"/>
                      <w:color w:val="auto"/>
                      <w:spacing w:val="0"/>
                      <w:sz w:val="21"/>
                      <w:szCs w:val="21"/>
                      <w:highlight w:val="none"/>
                      <w:lang w:val="en-US" w:eastAsia="zh-CN"/>
                    </w:rPr>
                    <w:t>（0.5m</w:t>
                  </w:r>
                  <w:r>
                    <w:rPr>
                      <w:rFonts w:hint="eastAsia" w:ascii="Times New Roman" w:hAnsi="Times New Roman" w:eastAsia="宋体" w:cs="Times New Roman"/>
                      <w:b w:val="0"/>
                      <w:bCs w:val="0"/>
                      <w:color w:val="auto"/>
                      <w:spacing w:val="0"/>
                      <w:sz w:val="21"/>
                      <w:szCs w:val="21"/>
                      <w:highlight w:val="none"/>
                      <w:vertAlign w:val="superscript"/>
                      <w:lang w:val="en-US" w:eastAsia="zh-CN"/>
                    </w:rPr>
                    <w:t>3</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收集至</w:t>
                  </w:r>
                  <w:r>
                    <w:rPr>
                      <w:rFonts w:hint="eastAsia" w:ascii="Times New Roman" w:hAnsi="Times New Roman" w:eastAsia="宋体" w:cs="Times New Roman"/>
                      <w:b w:val="0"/>
                      <w:bCs w:val="0"/>
                      <w:color w:val="auto"/>
                      <w:spacing w:val="0"/>
                      <w:sz w:val="21"/>
                      <w:szCs w:val="21"/>
                      <w:highlight w:val="none"/>
                      <w:lang w:val="en-US" w:eastAsia="zh-CN"/>
                    </w:rPr>
                    <w:t>临时危废贮存库</w:t>
                  </w:r>
                  <w:r>
                    <w:rPr>
                      <w:rFonts w:hint="default" w:ascii="Times New Roman" w:hAnsi="Times New Roman" w:eastAsia="宋体" w:cs="Times New Roman"/>
                      <w:b w:val="0"/>
                      <w:bCs w:val="0"/>
                      <w:color w:val="auto"/>
                      <w:spacing w:val="0"/>
                      <w:sz w:val="21"/>
                      <w:szCs w:val="21"/>
                      <w:highlight w:val="none"/>
                      <w:lang w:val="en-US" w:eastAsia="zh-CN"/>
                    </w:rPr>
                    <w:t>暂存后</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定期委托有资质单位处置</w:t>
                  </w:r>
                </w:p>
              </w:tc>
              <w:tc>
                <w:tcPr>
                  <w:tcW w:w="455" w:type="pct"/>
                  <w:tcBorders>
                    <w:tl2br w:val="nil"/>
                    <w:tr2bl w:val="nil"/>
                  </w:tcBorders>
                  <w:shd w:val="clear" w:color="auto" w:fill="auto"/>
                  <w:noWrap w:val="0"/>
                  <w:vAlign w:val="center"/>
                </w:tcPr>
                <w:p w14:paraId="32C10E7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3个</w:t>
                  </w:r>
                </w:p>
              </w:tc>
              <w:tc>
                <w:tcPr>
                  <w:tcW w:w="458" w:type="pct"/>
                  <w:tcBorders>
                    <w:tl2br w:val="nil"/>
                    <w:tr2bl w:val="nil"/>
                  </w:tcBorders>
                  <w:shd w:val="clear" w:color="auto" w:fill="auto"/>
                  <w:noWrap w:val="0"/>
                  <w:vAlign w:val="center"/>
                </w:tcPr>
                <w:p w14:paraId="52C7E55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0.15</w:t>
                  </w:r>
                </w:p>
              </w:tc>
              <w:tc>
                <w:tcPr>
                  <w:tcW w:w="1286" w:type="pct"/>
                  <w:tcBorders>
                    <w:tl2br w:val="nil"/>
                    <w:tr2bl w:val="nil"/>
                  </w:tcBorders>
                  <w:noWrap w:val="0"/>
                  <w:vAlign w:val="center"/>
                </w:tcPr>
                <w:p w14:paraId="1F6BE0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39A85D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0.05</w:t>
                  </w:r>
                </w:p>
              </w:tc>
            </w:tr>
            <w:tr w14:paraId="0F878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BDB87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E740C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112546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废弃防渗布（沾落地油）</w:t>
                  </w:r>
                </w:p>
              </w:tc>
              <w:tc>
                <w:tcPr>
                  <w:tcW w:w="1390" w:type="pct"/>
                  <w:tcBorders>
                    <w:tl2br w:val="nil"/>
                    <w:tr2bl w:val="nil"/>
                  </w:tcBorders>
                  <w:shd w:val="clear" w:color="auto" w:fill="auto"/>
                  <w:noWrap w:val="0"/>
                  <w:vAlign w:val="center"/>
                </w:tcPr>
                <w:p w14:paraId="1CDFE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袋装后收集至</w:t>
                  </w:r>
                  <w:r>
                    <w:rPr>
                      <w:rFonts w:hint="eastAsia" w:ascii="Times New Roman" w:hAnsi="Times New Roman" w:eastAsia="宋体" w:cs="Times New Roman"/>
                      <w:b w:val="0"/>
                      <w:bCs w:val="0"/>
                      <w:color w:val="auto"/>
                      <w:spacing w:val="0"/>
                      <w:sz w:val="21"/>
                      <w:szCs w:val="21"/>
                      <w:highlight w:val="none"/>
                      <w:lang w:val="en-US" w:eastAsia="zh-CN"/>
                    </w:rPr>
                    <w:t>临时危废贮存库</w:t>
                  </w:r>
                  <w:r>
                    <w:rPr>
                      <w:rFonts w:hint="default" w:ascii="Times New Roman" w:hAnsi="Times New Roman" w:eastAsia="宋体" w:cs="Times New Roman"/>
                      <w:b w:val="0"/>
                      <w:bCs w:val="0"/>
                      <w:color w:val="auto"/>
                      <w:spacing w:val="0"/>
                      <w:sz w:val="21"/>
                      <w:szCs w:val="21"/>
                      <w:highlight w:val="none"/>
                      <w:lang w:val="en-US" w:eastAsia="zh-CN"/>
                    </w:rPr>
                    <w:t>暂存后</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定期委托有资质单位外运处置</w:t>
                  </w:r>
                </w:p>
              </w:tc>
              <w:tc>
                <w:tcPr>
                  <w:tcW w:w="455" w:type="pct"/>
                  <w:tcBorders>
                    <w:tl2br w:val="nil"/>
                    <w:tr2bl w:val="nil"/>
                  </w:tcBorders>
                  <w:shd w:val="clear" w:color="auto" w:fill="auto"/>
                  <w:noWrap w:val="0"/>
                  <w:vAlign w:val="center"/>
                </w:tcPr>
                <w:p w14:paraId="08C3C1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6009D5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0.15</w:t>
                  </w:r>
                </w:p>
              </w:tc>
              <w:tc>
                <w:tcPr>
                  <w:tcW w:w="1286" w:type="pct"/>
                  <w:tcBorders>
                    <w:tl2br w:val="nil"/>
                    <w:tr2bl w:val="nil"/>
                  </w:tcBorders>
                  <w:noWrap w:val="0"/>
                  <w:vAlign w:val="center"/>
                </w:tcPr>
                <w:p w14:paraId="4E5F5A7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43BD82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0.06</w:t>
                  </w:r>
                </w:p>
              </w:tc>
            </w:tr>
            <w:tr w14:paraId="6B40F6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FE3EE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4E6952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66E726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落地油</w:t>
                  </w:r>
                </w:p>
              </w:tc>
              <w:tc>
                <w:tcPr>
                  <w:tcW w:w="1390" w:type="pct"/>
                  <w:tcBorders>
                    <w:tl2br w:val="nil"/>
                    <w:tr2bl w:val="nil"/>
                  </w:tcBorders>
                  <w:shd w:val="clear" w:color="auto" w:fill="auto"/>
                  <w:noWrap w:val="0"/>
                  <w:vAlign w:val="center"/>
                </w:tcPr>
                <w:p w14:paraId="28FE81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落地油泥收集桶</w:t>
                  </w:r>
                  <w:r>
                    <w:rPr>
                      <w:rFonts w:hint="eastAsia" w:ascii="Times New Roman" w:hAnsi="Times New Roman" w:eastAsia="宋体" w:cs="Times New Roman"/>
                      <w:b w:val="0"/>
                      <w:bCs w:val="0"/>
                      <w:color w:val="auto"/>
                      <w:spacing w:val="0"/>
                      <w:sz w:val="21"/>
                      <w:szCs w:val="21"/>
                      <w:highlight w:val="none"/>
                      <w:lang w:val="en-US" w:eastAsia="zh-CN"/>
                    </w:rPr>
                    <w:t>收集（</w:t>
                  </w:r>
                  <w:r>
                    <w:rPr>
                      <w:rFonts w:hint="default" w:ascii="Times New Roman" w:hAnsi="Times New Roman" w:eastAsia="宋体" w:cs="Times New Roman"/>
                      <w:b w:val="0"/>
                      <w:bCs w:val="0"/>
                      <w:color w:val="auto"/>
                      <w:spacing w:val="0"/>
                      <w:sz w:val="21"/>
                      <w:szCs w:val="21"/>
                      <w:highlight w:val="none"/>
                      <w:lang w:val="en-US" w:eastAsia="zh-CN"/>
                    </w:rPr>
                    <w:t>铁桶</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容量约500L</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地上式设置</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可以移动）</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定期委托有资质的单位进行安全处置</w:t>
                  </w:r>
                </w:p>
              </w:tc>
              <w:tc>
                <w:tcPr>
                  <w:tcW w:w="455" w:type="pct"/>
                  <w:tcBorders>
                    <w:tl2br w:val="nil"/>
                    <w:tr2bl w:val="nil"/>
                  </w:tcBorders>
                  <w:shd w:val="clear" w:color="auto" w:fill="auto"/>
                  <w:noWrap w:val="0"/>
                  <w:vAlign w:val="center"/>
                </w:tcPr>
                <w:p w14:paraId="62FD0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3座</w:t>
                  </w:r>
                </w:p>
              </w:tc>
              <w:tc>
                <w:tcPr>
                  <w:tcW w:w="458" w:type="pct"/>
                  <w:tcBorders>
                    <w:tl2br w:val="nil"/>
                    <w:tr2bl w:val="nil"/>
                  </w:tcBorders>
                  <w:shd w:val="clear" w:color="auto" w:fill="auto"/>
                  <w:noWrap w:val="0"/>
                  <w:vAlign w:val="center"/>
                </w:tcPr>
                <w:p w14:paraId="726B99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0.15</w:t>
                  </w:r>
                </w:p>
              </w:tc>
              <w:tc>
                <w:tcPr>
                  <w:tcW w:w="1286" w:type="pct"/>
                  <w:tcBorders>
                    <w:tl2br w:val="nil"/>
                    <w:tr2bl w:val="nil"/>
                  </w:tcBorders>
                  <w:noWrap w:val="0"/>
                  <w:vAlign w:val="center"/>
                </w:tcPr>
                <w:p w14:paraId="7E9A8A4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收集桶4个，容量约500L，收集暂存于临时危废贮存库后，定期委托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8696C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0.07</w:t>
                  </w:r>
                </w:p>
              </w:tc>
            </w:tr>
            <w:tr w14:paraId="39EF41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B8AD39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143ADD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E83E06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废机油、废润滑油</w:t>
                  </w:r>
                </w:p>
              </w:tc>
              <w:tc>
                <w:tcPr>
                  <w:tcW w:w="1390" w:type="pct"/>
                  <w:tcBorders>
                    <w:tl2br w:val="nil"/>
                    <w:tr2bl w:val="nil"/>
                  </w:tcBorders>
                  <w:shd w:val="clear" w:color="auto" w:fill="auto"/>
                  <w:noWrap w:val="0"/>
                  <w:vAlign w:val="center"/>
                </w:tcPr>
                <w:p w14:paraId="189AA3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采用废油回收桶</w:t>
                  </w:r>
                  <w:r>
                    <w:rPr>
                      <w:rFonts w:hint="eastAsia" w:ascii="Times New Roman" w:hAnsi="Times New Roman" w:eastAsia="宋体" w:cs="Times New Roman"/>
                      <w:b w:val="0"/>
                      <w:bCs w:val="0"/>
                      <w:color w:val="auto"/>
                      <w:spacing w:val="0"/>
                      <w:sz w:val="21"/>
                      <w:szCs w:val="21"/>
                      <w:highlight w:val="none"/>
                      <w:lang w:val="en-US" w:eastAsia="zh-CN"/>
                    </w:rPr>
                    <w:t>（0.5m</w:t>
                  </w:r>
                  <w:r>
                    <w:rPr>
                      <w:rFonts w:hint="eastAsia" w:ascii="Times New Roman" w:hAnsi="Times New Roman" w:eastAsia="宋体" w:cs="Times New Roman"/>
                      <w:b w:val="0"/>
                      <w:bCs w:val="0"/>
                      <w:color w:val="auto"/>
                      <w:spacing w:val="0"/>
                      <w:sz w:val="21"/>
                      <w:szCs w:val="21"/>
                      <w:highlight w:val="none"/>
                      <w:vertAlign w:val="superscript"/>
                      <w:lang w:val="en-US" w:eastAsia="zh-CN"/>
                    </w:rPr>
                    <w:t>3</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收集至</w:t>
                  </w:r>
                  <w:r>
                    <w:rPr>
                      <w:rFonts w:hint="eastAsia" w:ascii="Times New Roman" w:hAnsi="Times New Roman" w:eastAsia="宋体" w:cs="Times New Roman"/>
                      <w:b w:val="0"/>
                      <w:bCs w:val="0"/>
                      <w:color w:val="auto"/>
                      <w:spacing w:val="0"/>
                      <w:sz w:val="21"/>
                      <w:szCs w:val="21"/>
                      <w:highlight w:val="none"/>
                      <w:lang w:val="en-US" w:eastAsia="zh-CN"/>
                    </w:rPr>
                    <w:t>临时危废贮存库</w:t>
                  </w:r>
                  <w:r>
                    <w:rPr>
                      <w:rFonts w:hint="default" w:ascii="Times New Roman" w:hAnsi="Times New Roman" w:eastAsia="宋体" w:cs="Times New Roman"/>
                      <w:b w:val="0"/>
                      <w:bCs w:val="0"/>
                      <w:color w:val="auto"/>
                      <w:spacing w:val="0"/>
                      <w:sz w:val="21"/>
                      <w:szCs w:val="21"/>
                      <w:highlight w:val="none"/>
                      <w:lang w:val="en-US" w:eastAsia="zh-CN"/>
                    </w:rPr>
                    <w:t>暂存后</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定期委托有资质单位外运处置</w:t>
                  </w:r>
                </w:p>
              </w:tc>
              <w:tc>
                <w:tcPr>
                  <w:tcW w:w="455" w:type="pct"/>
                  <w:tcBorders>
                    <w:tl2br w:val="nil"/>
                    <w:tr2bl w:val="nil"/>
                  </w:tcBorders>
                  <w:shd w:val="clear" w:color="auto" w:fill="auto"/>
                  <w:noWrap w:val="0"/>
                  <w:vAlign w:val="center"/>
                </w:tcPr>
                <w:p w14:paraId="0F8C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3个</w:t>
                  </w:r>
                </w:p>
              </w:tc>
              <w:tc>
                <w:tcPr>
                  <w:tcW w:w="458" w:type="pct"/>
                  <w:tcBorders>
                    <w:tl2br w:val="nil"/>
                    <w:tr2bl w:val="nil"/>
                  </w:tcBorders>
                  <w:shd w:val="clear" w:color="auto" w:fill="auto"/>
                  <w:noWrap w:val="0"/>
                  <w:vAlign w:val="center"/>
                </w:tcPr>
                <w:p w14:paraId="1E7F9DD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0.15</w:t>
                  </w:r>
                </w:p>
              </w:tc>
              <w:tc>
                <w:tcPr>
                  <w:tcW w:w="1286" w:type="pct"/>
                  <w:tcBorders>
                    <w:tl2br w:val="nil"/>
                    <w:tr2bl w:val="nil"/>
                  </w:tcBorders>
                  <w:noWrap w:val="0"/>
                  <w:vAlign w:val="center"/>
                </w:tcPr>
                <w:p w14:paraId="7D93F0A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FF0000"/>
                      <w:spacing w:val="0"/>
                      <w:sz w:val="21"/>
                      <w:szCs w:val="21"/>
                      <w:highlight w:val="none"/>
                      <w:lang w:val="en-US" w:eastAsia="zh-CN" w:bidi="ar-SA"/>
                    </w:rPr>
                    <w:t>未产生</w:t>
                  </w:r>
                  <w:r>
                    <w:rPr>
                      <w:rFonts w:hint="eastAsia" w:ascii="Times New Roman" w:hAnsi="Times New Roman" w:eastAsia="宋体" w:cs="Times New Roman"/>
                      <w:color w:val="auto"/>
                      <w:spacing w:val="0"/>
                      <w:sz w:val="21"/>
                      <w:szCs w:val="21"/>
                      <w:highlight w:val="none"/>
                      <w:lang w:val="en-US" w:eastAsia="zh-CN" w:bidi="ar-SA"/>
                    </w:rPr>
                    <w:t>废机油、废润滑油</w:t>
                  </w:r>
                </w:p>
              </w:tc>
              <w:tc>
                <w:tcPr>
                  <w:tcW w:w="703" w:type="dxa"/>
                  <w:tcBorders>
                    <w:tl2br w:val="nil"/>
                    <w:tr2bl w:val="nil"/>
                  </w:tcBorders>
                  <w:noWrap w:val="0"/>
                  <w:vAlign w:val="center"/>
                </w:tcPr>
                <w:p w14:paraId="6CEFFE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w:t>
                  </w:r>
                </w:p>
              </w:tc>
            </w:tr>
            <w:tr w14:paraId="54505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677DD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4F44AC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3F28BD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废含油抹布</w:t>
                  </w:r>
                </w:p>
              </w:tc>
              <w:tc>
                <w:tcPr>
                  <w:tcW w:w="1390" w:type="pct"/>
                  <w:tcBorders>
                    <w:tl2br w:val="nil"/>
                    <w:tr2bl w:val="nil"/>
                  </w:tcBorders>
                  <w:shd w:val="clear" w:color="auto" w:fill="auto"/>
                  <w:noWrap w:val="0"/>
                  <w:vAlign w:val="center"/>
                </w:tcPr>
                <w:p w14:paraId="0D763EB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废含油抹布采用废含油抹布回收桶</w:t>
                  </w:r>
                  <w:r>
                    <w:rPr>
                      <w:rFonts w:hint="eastAsia" w:ascii="Times New Roman" w:hAnsi="Times New Roman" w:eastAsia="宋体" w:cs="Times New Roman"/>
                      <w:b w:val="0"/>
                      <w:bCs w:val="0"/>
                      <w:color w:val="auto"/>
                      <w:spacing w:val="0"/>
                      <w:sz w:val="21"/>
                      <w:szCs w:val="21"/>
                      <w:highlight w:val="none"/>
                      <w:lang w:val="en-US" w:eastAsia="zh-CN"/>
                    </w:rPr>
                    <w:t>（0.5m</w:t>
                  </w:r>
                  <w:r>
                    <w:rPr>
                      <w:rFonts w:hint="eastAsia" w:ascii="Times New Roman" w:hAnsi="Times New Roman" w:eastAsia="宋体" w:cs="Times New Roman"/>
                      <w:b w:val="0"/>
                      <w:bCs w:val="0"/>
                      <w:color w:val="auto"/>
                      <w:spacing w:val="0"/>
                      <w:sz w:val="21"/>
                      <w:szCs w:val="21"/>
                      <w:highlight w:val="none"/>
                      <w:vertAlign w:val="superscript"/>
                      <w:lang w:val="en-US" w:eastAsia="zh-CN"/>
                    </w:rPr>
                    <w:t>3</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收集至</w:t>
                  </w:r>
                  <w:r>
                    <w:rPr>
                      <w:rFonts w:hint="eastAsia" w:ascii="Times New Roman" w:hAnsi="Times New Roman" w:eastAsia="宋体" w:cs="Times New Roman"/>
                      <w:b w:val="0"/>
                      <w:bCs w:val="0"/>
                      <w:color w:val="auto"/>
                      <w:spacing w:val="0"/>
                      <w:sz w:val="21"/>
                      <w:szCs w:val="21"/>
                      <w:highlight w:val="none"/>
                      <w:lang w:val="en-US" w:eastAsia="zh-CN"/>
                    </w:rPr>
                    <w:t>临时危废贮存库</w:t>
                  </w:r>
                  <w:r>
                    <w:rPr>
                      <w:rFonts w:hint="default" w:ascii="Times New Roman" w:hAnsi="Times New Roman" w:eastAsia="宋体" w:cs="Times New Roman"/>
                      <w:b w:val="0"/>
                      <w:bCs w:val="0"/>
                      <w:color w:val="auto"/>
                      <w:spacing w:val="0"/>
                      <w:sz w:val="21"/>
                      <w:szCs w:val="21"/>
                      <w:highlight w:val="none"/>
                      <w:lang w:val="en-US" w:eastAsia="zh-CN"/>
                    </w:rPr>
                    <w:t>暂存后</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定期委托有资质单位外运处置</w:t>
                  </w:r>
                </w:p>
              </w:tc>
              <w:tc>
                <w:tcPr>
                  <w:tcW w:w="455" w:type="pct"/>
                  <w:tcBorders>
                    <w:tl2br w:val="nil"/>
                    <w:tr2bl w:val="nil"/>
                  </w:tcBorders>
                  <w:shd w:val="clear" w:color="auto" w:fill="auto"/>
                  <w:noWrap w:val="0"/>
                  <w:vAlign w:val="center"/>
                </w:tcPr>
                <w:p w14:paraId="384AFE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3个</w:t>
                  </w:r>
                </w:p>
              </w:tc>
              <w:tc>
                <w:tcPr>
                  <w:tcW w:w="458" w:type="pct"/>
                  <w:tcBorders>
                    <w:tl2br w:val="nil"/>
                    <w:tr2bl w:val="nil"/>
                  </w:tcBorders>
                  <w:shd w:val="clear" w:color="auto" w:fill="auto"/>
                  <w:noWrap w:val="0"/>
                  <w:vAlign w:val="center"/>
                </w:tcPr>
                <w:p w14:paraId="7E1345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0.15</w:t>
                  </w:r>
                </w:p>
              </w:tc>
              <w:tc>
                <w:tcPr>
                  <w:tcW w:w="1286" w:type="pct"/>
                  <w:tcBorders>
                    <w:tl2br w:val="nil"/>
                    <w:tr2bl w:val="nil"/>
                  </w:tcBorders>
                  <w:noWrap w:val="0"/>
                  <w:vAlign w:val="center"/>
                </w:tcPr>
                <w:p w14:paraId="1A79D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5127C0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0.05</w:t>
                  </w:r>
                </w:p>
              </w:tc>
            </w:tr>
            <w:tr w14:paraId="7FB90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8AE152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478E79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9C80D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含油岩屑</w:t>
                  </w:r>
                </w:p>
              </w:tc>
              <w:tc>
                <w:tcPr>
                  <w:tcW w:w="1390" w:type="pct"/>
                  <w:tcBorders>
                    <w:tl2br w:val="nil"/>
                    <w:tr2bl w:val="nil"/>
                  </w:tcBorders>
                  <w:shd w:val="clear" w:color="auto" w:fill="auto"/>
                  <w:noWrap w:val="0"/>
                  <w:vAlign w:val="center"/>
                </w:tcPr>
                <w:p w14:paraId="2EB215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含油岩屑</w:t>
                  </w:r>
                  <w:r>
                    <w:rPr>
                      <w:rFonts w:hint="eastAsia" w:ascii="Times New Roman" w:hAnsi="Times New Roman" w:eastAsia="宋体" w:cs="Times New Roman"/>
                      <w:b w:val="0"/>
                      <w:bCs w:val="0"/>
                      <w:color w:val="auto"/>
                      <w:spacing w:val="0"/>
                      <w:sz w:val="21"/>
                      <w:szCs w:val="21"/>
                      <w:highlight w:val="none"/>
                      <w:lang w:val="en-US" w:eastAsia="zh-CN"/>
                    </w:rPr>
                    <w:t>产生后</w:t>
                  </w:r>
                  <w:r>
                    <w:rPr>
                      <w:rFonts w:hint="default" w:ascii="Times New Roman" w:hAnsi="Times New Roman" w:eastAsia="宋体" w:cs="Times New Roman"/>
                      <w:b w:val="0"/>
                      <w:bCs w:val="0"/>
                      <w:color w:val="auto"/>
                      <w:spacing w:val="0"/>
                      <w:sz w:val="21"/>
                      <w:szCs w:val="21"/>
                      <w:highlight w:val="none"/>
                      <w:lang w:val="en-US" w:eastAsia="zh-CN"/>
                    </w:rPr>
                    <w:t>立即装袋、密封</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全部由专用车辆运送至污油泥临时储存点暂存</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最终交由有资质单位进行妥善处理</w:t>
                  </w:r>
                  <w:r>
                    <w:rPr>
                      <w:rFonts w:hint="eastAsia" w:ascii="Times New Roman" w:hAnsi="Times New Roman" w:eastAsia="宋体" w:cs="Times New Roman"/>
                      <w:b w:val="0"/>
                      <w:bCs w:val="0"/>
                      <w:color w:val="auto"/>
                      <w:spacing w:val="0"/>
                      <w:sz w:val="21"/>
                      <w:szCs w:val="21"/>
                      <w:highlight w:val="none"/>
                      <w:lang w:val="en-US" w:eastAsia="zh-CN"/>
                    </w:rPr>
                    <w:t>。</w:t>
                  </w:r>
                </w:p>
              </w:tc>
              <w:tc>
                <w:tcPr>
                  <w:tcW w:w="455" w:type="pct"/>
                  <w:tcBorders>
                    <w:tl2br w:val="nil"/>
                    <w:tr2bl w:val="nil"/>
                  </w:tcBorders>
                  <w:shd w:val="clear" w:color="auto" w:fill="auto"/>
                  <w:noWrap w:val="0"/>
                  <w:vAlign w:val="center"/>
                </w:tcPr>
                <w:p w14:paraId="09A61A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1BC69D4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0.5</w:t>
                  </w:r>
                </w:p>
              </w:tc>
              <w:tc>
                <w:tcPr>
                  <w:tcW w:w="1286" w:type="pct"/>
                  <w:tcBorders>
                    <w:tl2br w:val="nil"/>
                    <w:tr2bl w:val="nil"/>
                  </w:tcBorders>
                  <w:noWrap w:val="0"/>
                  <w:vAlign w:val="center"/>
                </w:tcPr>
                <w:p w14:paraId="030AAF7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2A90F5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0.1</w:t>
                  </w:r>
                </w:p>
              </w:tc>
            </w:tr>
            <w:tr w14:paraId="0DDD1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4AAE95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99B98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4F3C95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临时危废贮存库</w:t>
                  </w:r>
                </w:p>
              </w:tc>
              <w:tc>
                <w:tcPr>
                  <w:tcW w:w="1390" w:type="pct"/>
                  <w:tcBorders>
                    <w:tl2br w:val="nil"/>
                    <w:tr2bl w:val="nil"/>
                  </w:tcBorders>
                  <w:shd w:val="clear" w:color="auto" w:fill="auto"/>
                  <w:noWrap w:val="0"/>
                  <w:vAlign w:val="center"/>
                </w:tcPr>
                <w:p w14:paraId="3710A6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10m</w:t>
                  </w:r>
                  <w:r>
                    <w:rPr>
                      <w:rFonts w:hint="eastAsia" w:ascii="Times New Roman" w:hAnsi="Times New Roman" w:eastAsia="宋体" w:cs="Times New Roman"/>
                      <w:b w:val="0"/>
                      <w:bCs w:val="0"/>
                      <w:color w:val="auto"/>
                      <w:spacing w:val="0"/>
                      <w:sz w:val="21"/>
                      <w:szCs w:val="21"/>
                      <w:highlight w:val="none"/>
                      <w:vertAlign w:val="superscript"/>
                      <w:lang w:val="en-US" w:eastAsia="zh-CN"/>
                    </w:rPr>
                    <w:t>2</w:t>
                  </w:r>
                </w:p>
              </w:tc>
              <w:tc>
                <w:tcPr>
                  <w:tcW w:w="455" w:type="pct"/>
                  <w:tcBorders>
                    <w:tl2br w:val="nil"/>
                    <w:tr2bl w:val="nil"/>
                  </w:tcBorders>
                  <w:shd w:val="clear" w:color="auto" w:fill="auto"/>
                  <w:noWrap w:val="0"/>
                  <w:vAlign w:val="center"/>
                </w:tcPr>
                <w:p w14:paraId="23BB40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3座</w:t>
                  </w:r>
                </w:p>
              </w:tc>
              <w:tc>
                <w:tcPr>
                  <w:tcW w:w="458" w:type="pct"/>
                  <w:tcBorders>
                    <w:tl2br w:val="nil"/>
                    <w:tr2bl w:val="nil"/>
                  </w:tcBorders>
                  <w:shd w:val="clear" w:color="auto" w:fill="auto"/>
                  <w:noWrap w:val="0"/>
                  <w:vAlign w:val="center"/>
                </w:tcPr>
                <w:p w14:paraId="554548B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1.50</w:t>
                  </w:r>
                </w:p>
              </w:tc>
              <w:tc>
                <w:tcPr>
                  <w:tcW w:w="1286" w:type="pct"/>
                  <w:tcBorders>
                    <w:tl2br w:val="nil"/>
                    <w:tr2bl w:val="nil"/>
                  </w:tcBorders>
                  <w:noWrap w:val="0"/>
                  <w:vAlign w:val="center"/>
                </w:tcPr>
                <w:p w14:paraId="029074E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设置临时危废贮存库</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座，10m</w:t>
                  </w:r>
                  <w:r>
                    <w:rPr>
                      <w:rFonts w:hint="default" w:ascii="Times New Roman" w:hAnsi="Times New Roman" w:eastAsia="宋体" w:cs="Times New Roman"/>
                      <w:b w:val="0"/>
                      <w:bCs w:val="0"/>
                      <w:color w:val="auto"/>
                      <w:spacing w:val="0"/>
                      <w:sz w:val="21"/>
                      <w:szCs w:val="21"/>
                      <w:highlight w:val="none"/>
                      <w:vertAlign w:val="superscript"/>
                      <w:lang w:val="en-US" w:eastAsia="zh-CN"/>
                    </w:rPr>
                    <w:t>2</w:t>
                  </w:r>
                </w:p>
              </w:tc>
              <w:tc>
                <w:tcPr>
                  <w:tcW w:w="703" w:type="dxa"/>
                  <w:tcBorders>
                    <w:tl2br w:val="nil"/>
                    <w:tr2bl w:val="nil"/>
                  </w:tcBorders>
                  <w:noWrap w:val="0"/>
                  <w:vAlign w:val="center"/>
                </w:tcPr>
                <w:p w14:paraId="360E8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0.5</w:t>
                  </w:r>
                </w:p>
              </w:tc>
            </w:tr>
            <w:tr w14:paraId="6F94C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148F98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A1AB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31FEC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w:t>
                  </w:r>
                </w:p>
              </w:tc>
              <w:tc>
                <w:tcPr>
                  <w:tcW w:w="1390" w:type="pct"/>
                  <w:tcBorders>
                    <w:tl2br w:val="nil"/>
                    <w:tr2bl w:val="nil"/>
                  </w:tcBorders>
                  <w:shd w:val="clear" w:color="auto" w:fill="auto"/>
                  <w:noWrap w:val="0"/>
                  <w:vAlign w:val="center"/>
                </w:tcPr>
                <w:p w14:paraId="1BB5E11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生活垃圾桶</w:t>
                  </w:r>
                  <w:r>
                    <w:rPr>
                      <w:rFonts w:hint="eastAsia" w:ascii="Times New Roman" w:hAnsi="Times New Roman" w:eastAsia="宋体" w:cs="Times New Roman"/>
                      <w:b w:val="0"/>
                      <w:bCs w:val="0"/>
                      <w:color w:val="auto"/>
                      <w:spacing w:val="0"/>
                      <w:sz w:val="21"/>
                      <w:szCs w:val="21"/>
                      <w:highlight w:val="none"/>
                      <w:lang w:val="en-US" w:eastAsia="zh-CN"/>
                    </w:rPr>
                    <w:t>收集后，运至</w:t>
                  </w:r>
                  <w:r>
                    <w:rPr>
                      <w:rFonts w:hint="default" w:ascii="Times New Roman" w:hAnsi="Times New Roman" w:eastAsia="宋体" w:cs="Times New Roman"/>
                      <w:b w:val="0"/>
                      <w:bCs w:val="0"/>
                      <w:color w:val="auto"/>
                      <w:spacing w:val="0"/>
                      <w:sz w:val="21"/>
                      <w:szCs w:val="21"/>
                      <w:highlight w:val="none"/>
                      <w:lang w:val="en-US" w:eastAsia="zh-CN"/>
                    </w:rPr>
                    <w:t>政府部门指定地点处置</w:t>
                  </w:r>
                </w:p>
              </w:tc>
              <w:tc>
                <w:tcPr>
                  <w:tcW w:w="455" w:type="pct"/>
                  <w:tcBorders>
                    <w:tl2br w:val="nil"/>
                    <w:tr2bl w:val="nil"/>
                  </w:tcBorders>
                  <w:shd w:val="clear" w:color="auto" w:fill="auto"/>
                  <w:noWrap w:val="0"/>
                  <w:vAlign w:val="center"/>
                </w:tcPr>
                <w:p w14:paraId="236AADB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个</w:t>
                  </w:r>
                </w:p>
              </w:tc>
              <w:tc>
                <w:tcPr>
                  <w:tcW w:w="458" w:type="pct"/>
                  <w:tcBorders>
                    <w:tl2br w:val="nil"/>
                    <w:tr2bl w:val="nil"/>
                  </w:tcBorders>
                  <w:shd w:val="clear" w:color="auto" w:fill="auto"/>
                  <w:noWrap w:val="0"/>
                  <w:vAlign w:val="center"/>
                </w:tcPr>
                <w:p w14:paraId="02E1B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0.04</w:t>
                  </w:r>
                </w:p>
              </w:tc>
              <w:tc>
                <w:tcPr>
                  <w:tcW w:w="1286" w:type="pct"/>
                  <w:tcBorders>
                    <w:tl2br w:val="nil"/>
                    <w:tr2bl w:val="nil"/>
                  </w:tcBorders>
                  <w:noWrap w:val="0"/>
                  <w:vAlign w:val="center"/>
                </w:tcPr>
                <w:p w14:paraId="3FE114A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w:t>
                  </w:r>
                </w:p>
              </w:tc>
              <w:tc>
                <w:tcPr>
                  <w:tcW w:w="703" w:type="dxa"/>
                  <w:tcBorders>
                    <w:tl2br w:val="nil"/>
                    <w:tr2bl w:val="nil"/>
                  </w:tcBorders>
                  <w:noWrap w:val="0"/>
                  <w:vAlign w:val="center"/>
                </w:tcPr>
                <w:p w14:paraId="3BBA725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0.01</w:t>
                  </w:r>
                </w:p>
              </w:tc>
            </w:tr>
            <w:tr w14:paraId="17BCB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56" w:type="pct"/>
                  <w:tcBorders>
                    <w:tl2br w:val="nil"/>
                    <w:tr2bl w:val="nil"/>
                  </w:tcBorders>
                  <w:noWrap w:val="0"/>
                  <w:vAlign w:val="center"/>
                </w:tcPr>
                <w:p w14:paraId="00D99F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5</w:t>
                  </w:r>
                </w:p>
              </w:tc>
              <w:tc>
                <w:tcPr>
                  <w:tcW w:w="727" w:type="pct"/>
                  <w:gridSpan w:val="2"/>
                  <w:tcBorders>
                    <w:tl2br w:val="nil"/>
                    <w:tr2bl w:val="nil"/>
                  </w:tcBorders>
                  <w:shd w:val="clear" w:color="auto" w:fill="auto"/>
                  <w:noWrap w:val="0"/>
                  <w:vAlign w:val="center"/>
                </w:tcPr>
                <w:p w14:paraId="39FE5E4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防渗</w:t>
                  </w:r>
                </w:p>
              </w:tc>
              <w:tc>
                <w:tcPr>
                  <w:tcW w:w="1390" w:type="pct"/>
                  <w:tcBorders>
                    <w:tl2br w:val="nil"/>
                    <w:tr2bl w:val="nil"/>
                  </w:tcBorders>
                  <w:shd w:val="clear" w:color="auto" w:fill="auto"/>
                  <w:noWrap w:val="0"/>
                  <w:vAlign w:val="center"/>
                </w:tcPr>
                <w:p w14:paraId="663D1B3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钻井平台、泥浆不落地系统区、泥浆循环罐区、柴油罐区、</w:t>
                  </w:r>
                  <w:r>
                    <w:rPr>
                      <w:rFonts w:hint="eastAsia" w:ascii="Times New Roman" w:hAnsi="Times New Roman" w:eastAsia="宋体" w:cs="Times New Roman"/>
                      <w:b w:val="0"/>
                      <w:bCs w:val="0"/>
                      <w:color w:val="auto"/>
                      <w:spacing w:val="0"/>
                      <w:sz w:val="21"/>
                      <w:szCs w:val="21"/>
                      <w:highlight w:val="none"/>
                      <w:lang w:val="en-US" w:eastAsia="zh-CN"/>
                    </w:rPr>
                    <w:t>临时危废贮存库</w:t>
                  </w:r>
                  <w:r>
                    <w:rPr>
                      <w:rFonts w:hint="default" w:ascii="Times New Roman" w:hAnsi="Times New Roman" w:eastAsia="宋体" w:cs="Times New Roman"/>
                      <w:b w:val="0"/>
                      <w:bCs w:val="0"/>
                      <w:color w:val="auto"/>
                      <w:spacing w:val="0"/>
                      <w:sz w:val="21"/>
                      <w:szCs w:val="21"/>
                      <w:highlight w:val="none"/>
                      <w:lang w:val="en-US" w:eastAsia="zh-CN"/>
                    </w:rPr>
                    <w:t>等划分为重点防渗区</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原辅材料存储区、环保厕所划分为一般防渗区</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其余办公室、值班室、机房、泵房、配电房、发电机房、录井房、远控房井场道路区域等划分为简单防渗区。</w:t>
                  </w:r>
                </w:p>
              </w:tc>
              <w:tc>
                <w:tcPr>
                  <w:tcW w:w="455" w:type="pct"/>
                  <w:tcBorders>
                    <w:tl2br w:val="nil"/>
                    <w:tr2bl w:val="nil"/>
                  </w:tcBorders>
                  <w:shd w:val="clear" w:color="auto" w:fill="auto"/>
                  <w:noWrap w:val="0"/>
                  <w:vAlign w:val="center"/>
                </w:tcPr>
                <w:p w14:paraId="0DFA4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16784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33.25</w:t>
                  </w:r>
                </w:p>
              </w:tc>
              <w:tc>
                <w:tcPr>
                  <w:tcW w:w="1286" w:type="pct"/>
                  <w:tcBorders>
                    <w:tl2br w:val="nil"/>
                    <w:tr2bl w:val="nil"/>
                  </w:tcBorders>
                  <w:noWrap w:val="0"/>
                  <w:vAlign w:val="center"/>
                </w:tcPr>
                <w:p w14:paraId="664359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p>
              </w:tc>
              <w:tc>
                <w:tcPr>
                  <w:tcW w:w="703" w:type="dxa"/>
                  <w:tcBorders>
                    <w:tl2br w:val="nil"/>
                    <w:tr2bl w:val="nil"/>
                  </w:tcBorders>
                  <w:noWrap w:val="0"/>
                  <w:vAlign w:val="center"/>
                </w:tcPr>
                <w:p w14:paraId="608AD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bidi="ar-SA"/>
                    </w:rPr>
                    <w:t>10</w:t>
                  </w:r>
                </w:p>
              </w:tc>
            </w:tr>
            <w:tr w14:paraId="4172E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53E615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6</w:t>
                  </w:r>
                </w:p>
              </w:tc>
              <w:tc>
                <w:tcPr>
                  <w:tcW w:w="727" w:type="pct"/>
                  <w:gridSpan w:val="2"/>
                  <w:tcBorders>
                    <w:tl2br w:val="nil"/>
                    <w:tr2bl w:val="nil"/>
                  </w:tcBorders>
                  <w:shd w:val="clear" w:color="auto" w:fill="auto"/>
                  <w:noWrap w:val="0"/>
                  <w:vAlign w:val="center"/>
                </w:tcPr>
                <w:p w14:paraId="17D1FE0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环境风险</w:t>
                  </w:r>
                </w:p>
              </w:tc>
              <w:tc>
                <w:tcPr>
                  <w:tcW w:w="1390" w:type="pct"/>
                  <w:tcBorders>
                    <w:tl2br w:val="nil"/>
                    <w:tr2bl w:val="nil"/>
                  </w:tcBorders>
                  <w:shd w:val="clear" w:color="auto" w:fill="auto"/>
                  <w:noWrap w:val="0"/>
                  <w:vAlign w:val="center"/>
                </w:tcPr>
                <w:p w14:paraId="56D780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井场配备灭火器、沙土；井场厂界距居民100m范围内的是JH55P2（西北侧82m处有5户村民、东北侧71m处有9户村民）</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JH55P2、</w:t>
                  </w:r>
                  <w:r>
                    <w:rPr>
                      <w:rFonts w:hint="eastAsia" w:ascii="Times New Roman" w:hAnsi="Times New Roman" w:eastAsia="宋体" w:cs="Times New Roman"/>
                      <w:b w:val="0"/>
                      <w:bCs w:val="0"/>
                      <w:color w:val="auto"/>
                      <w:spacing w:val="0"/>
                      <w:sz w:val="21"/>
                      <w:szCs w:val="21"/>
                      <w:highlight w:val="none"/>
                      <w:lang w:val="en-US" w:eastAsia="zh-CN"/>
                    </w:rPr>
                    <w:t>永平1H</w:t>
                  </w:r>
                  <w:r>
                    <w:rPr>
                      <w:rFonts w:hint="default" w:ascii="Times New Roman" w:hAnsi="Times New Roman" w:eastAsia="宋体" w:cs="Times New Roman"/>
                      <w:b w:val="0"/>
                      <w:bCs w:val="0"/>
                      <w:color w:val="auto"/>
                      <w:spacing w:val="0"/>
                      <w:sz w:val="21"/>
                      <w:szCs w:val="21"/>
                      <w:highlight w:val="none"/>
                      <w:lang w:val="en-US" w:eastAsia="zh-CN"/>
                    </w:rPr>
                    <w:t>、</w:t>
                  </w:r>
                  <w:r>
                    <w:rPr>
                      <w:rFonts w:hint="eastAsia" w:ascii="Times New Roman" w:hAnsi="Times New Roman" w:eastAsia="宋体" w:cs="Times New Roman"/>
                      <w:b w:val="0"/>
                      <w:bCs w:val="0"/>
                      <w:color w:val="auto"/>
                      <w:spacing w:val="0"/>
                      <w:sz w:val="21"/>
                      <w:szCs w:val="21"/>
                      <w:highlight w:val="none"/>
                      <w:lang w:val="en-US" w:eastAsia="zh-CN"/>
                    </w:rPr>
                    <w:t>永平2H</w:t>
                  </w:r>
                  <w:r>
                    <w:rPr>
                      <w:rFonts w:hint="default" w:ascii="Times New Roman" w:hAnsi="Times New Roman" w:eastAsia="宋体" w:cs="Times New Roman"/>
                      <w:b w:val="0"/>
                      <w:bCs w:val="0"/>
                      <w:color w:val="auto"/>
                      <w:spacing w:val="0"/>
                      <w:sz w:val="21"/>
                      <w:szCs w:val="21"/>
                      <w:highlight w:val="none"/>
                      <w:lang w:val="en-US" w:eastAsia="zh-CN"/>
                    </w:rPr>
                    <w:t>井场距离干沟位置较近</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评价井开钻前</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以上井场周围应当设置不低于50cm的砖混围墙。</w:t>
                  </w:r>
                </w:p>
              </w:tc>
              <w:tc>
                <w:tcPr>
                  <w:tcW w:w="455" w:type="pct"/>
                  <w:tcBorders>
                    <w:tl2br w:val="nil"/>
                    <w:tr2bl w:val="nil"/>
                  </w:tcBorders>
                  <w:shd w:val="clear" w:color="auto" w:fill="auto"/>
                  <w:noWrap w:val="0"/>
                  <w:vAlign w:val="center"/>
                </w:tcPr>
                <w:p w14:paraId="7A6E736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460A5A3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22.50</w:t>
                  </w:r>
                </w:p>
              </w:tc>
              <w:tc>
                <w:tcPr>
                  <w:tcW w:w="1286" w:type="pct"/>
                  <w:tcBorders>
                    <w:tl2br w:val="nil"/>
                    <w:tr2bl w:val="nil"/>
                  </w:tcBorders>
                  <w:noWrap w:val="0"/>
                  <w:vAlign w:val="center"/>
                </w:tcPr>
                <w:p w14:paraId="7911573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sz w:val="21"/>
                      <w:szCs w:val="21"/>
                      <w:lang w:val="en-US" w:eastAsia="zh-CN"/>
                    </w:rPr>
                    <w:t>井场配备灭火器、沙土，</w:t>
                  </w:r>
                  <w:r>
                    <w:rPr>
                      <w:rFonts w:hint="eastAsia" w:ascii="Times New Roman" w:hAnsi="Times New Roman" w:eastAsia="宋体" w:cs="Times New Roman"/>
                      <w:color w:val="0000FF"/>
                      <w:sz w:val="21"/>
                      <w:szCs w:val="21"/>
                      <w:highlight w:val="none"/>
                      <w:lang w:val="en-US" w:eastAsia="zh-CN"/>
                    </w:rPr>
                    <w:t>JH55P2</w:t>
                  </w:r>
                  <w:r>
                    <w:rPr>
                      <w:rFonts w:hint="eastAsia" w:ascii="Times New Roman" w:hAnsi="Times New Roman" w:eastAsia="宋体" w:cs="Times New Roman"/>
                      <w:color w:val="0000FF"/>
                      <w:szCs w:val="21"/>
                      <w:lang w:val="en-US" w:eastAsia="zh-CN"/>
                    </w:rPr>
                    <w:t>井场及防渗布周围设置20cm高土围堰。</w:t>
                  </w:r>
                  <w:r>
                    <w:rPr>
                      <w:rFonts w:hint="eastAsia" w:ascii="Times New Roman" w:hAnsi="Times New Roman" w:eastAsia="宋体" w:cs="Times New Roman"/>
                      <w:color w:val="0000FF"/>
                      <w:kern w:val="2"/>
                      <w:sz w:val="21"/>
                      <w:szCs w:val="22"/>
                      <w:lang w:val="en-US" w:eastAsia="zh-CN" w:bidi="ar-SA"/>
                    </w:rPr>
                    <w:t>井场周边设置50cm的砖混围墙，现已拆除</w:t>
                  </w:r>
                  <w:r>
                    <w:rPr>
                      <w:rFonts w:hint="eastAsia" w:ascii="Times New Roman" w:hAnsi="Times New Roman" w:eastAsia="宋体" w:cs="Times New Roman"/>
                      <w:color w:val="0000FF"/>
                      <w:spacing w:val="0"/>
                      <w:kern w:val="21"/>
                      <w:sz w:val="21"/>
                      <w:szCs w:val="21"/>
                      <w:highlight w:val="none"/>
                      <w:lang w:eastAsia="zh-CN"/>
                    </w:rPr>
                    <w:t>；</w:t>
                  </w:r>
                  <w:r>
                    <w:rPr>
                      <w:rFonts w:hint="default" w:ascii="Times New Roman" w:hAnsi="Times New Roman" w:eastAsia="宋体" w:cs="Times New Roman"/>
                      <w:bCs/>
                      <w:color w:val="auto"/>
                      <w:spacing w:val="10"/>
                      <w:sz w:val="21"/>
                      <w:szCs w:val="21"/>
                      <w:lang w:val="en-US" w:eastAsia="zh-CN"/>
                    </w:rPr>
                    <w:t>设置了30m</w:t>
                  </w:r>
                  <w:r>
                    <w:rPr>
                      <w:rFonts w:hint="default" w:ascii="Times New Roman" w:hAnsi="Times New Roman" w:eastAsia="宋体" w:cs="Times New Roman"/>
                      <w:bCs/>
                      <w:color w:val="auto"/>
                      <w:spacing w:val="10"/>
                      <w:sz w:val="21"/>
                      <w:szCs w:val="21"/>
                      <w:vertAlign w:val="superscript"/>
                      <w:lang w:val="en-US" w:eastAsia="zh-CN"/>
                    </w:rPr>
                    <w:t>3</w:t>
                  </w:r>
                  <w:r>
                    <w:rPr>
                      <w:rFonts w:hint="default" w:ascii="Times New Roman" w:hAnsi="Times New Roman" w:eastAsia="宋体" w:cs="Times New Roman"/>
                      <w:bCs/>
                      <w:color w:val="auto"/>
                      <w:spacing w:val="10"/>
                      <w:sz w:val="21"/>
                      <w:szCs w:val="21"/>
                      <w:lang w:val="en-US" w:eastAsia="zh-CN"/>
                    </w:rPr>
                    <w:t>污油罐（兼作事故罐），且井场大门处修建挡土梁，已编制突发环境事件应急预案，并于2023年1月11日取得了庆阳市生态环境局宁县分局预案备案文件，并按照预案中相关应急措施进行定期演练。该应急预案修编日期为2026年1月11日，在本项目验收时间范围内</w:t>
                  </w:r>
                  <w:r>
                    <w:rPr>
                      <w:rFonts w:hint="default" w:ascii="Times New Roman" w:hAnsi="Times New Roman" w:eastAsia="宋体" w:cs="Times New Roman"/>
                      <w:color w:val="auto"/>
                      <w:sz w:val="21"/>
                      <w:szCs w:val="21"/>
                      <w:highlight w:val="none"/>
                      <w:lang w:val="en-US" w:eastAsia="zh-CN"/>
                    </w:rPr>
                    <w:t>。</w:t>
                  </w:r>
                </w:p>
              </w:tc>
              <w:tc>
                <w:tcPr>
                  <w:tcW w:w="703" w:type="dxa"/>
                  <w:tcBorders>
                    <w:tl2br w:val="nil"/>
                    <w:tr2bl w:val="nil"/>
                  </w:tcBorders>
                  <w:noWrap w:val="0"/>
                  <w:vAlign w:val="center"/>
                </w:tcPr>
                <w:p w14:paraId="55A46A4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bidi="ar-SA"/>
                    </w:rPr>
                    <w:t>7</w:t>
                  </w:r>
                </w:p>
              </w:tc>
            </w:tr>
            <w:tr w14:paraId="1E4783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7EB374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7</w:t>
                  </w:r>
                </w:p>
              </w:tc>
              <w:tc>
                <w:tcPr>
                  <w:tcW w:w="727" w:type="pct"/>
                  <w:gridSpan w:val="2"/>
                  <w:tcBorders>
                    <w:tl2br w:val="nil"/>
                    <w:tr2bl w:val="nil"/>
                  </w:tcBorders>
                  <w:shd w:val="clear" w:color="auto" w:fill="auto"/>
                  <w:noWrap w:val="0"/>
                  <w:vAlign w:val="center"/>
                </w:tcPr>
                <w:p w14:paraId="533209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生态恢复</w:t>
                  </w:r>
                </w:p>
              </w:tc>
              <w:tc>
                <w:tcPr>
                  <w:tcW w:w="1390" w:type="pct"/>
                  <w:tcBorders>
                    <w:tl2br w:val="nil"/>
                    <w:tr2bl w:val="nil"/>
                  </w:tcBorders>
                  <w:shd w:val="clear" w:color="auto" w:fill="auto"/>
                  <w:noWrap w:val="0"/>
                  <w:vAlign w:val="center"/>
                </w:tcPr>
                <w:p w14:paraId="455BF1D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采取工程措施和植被绿化措施</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加快完成井场的绿化恢复措施</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减少水土流失量</w:t>
                  </w:r>
                </w:p>
              </w:tc>
              <w:tc>
                <w:tcPr>
                  <w:tcW w:w="455" w:type="pct"/>
                  <w:tcBorders>
                    <w:tl2br w:val="nil"/>
                    <w:tr2bl w:val="nil"/>
                  </w:tcBorders>
                  <w:shd w:val="clear" w:color="auto" w:fill="auto"/>
                  <w:noWrap w:val="0"/>
                  <w:vAlign w:val="center"/>
                </w:tcPr>
                <w:p w14:paraId="2440CB1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1E23E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52.50</w:t>
                  </w:r>
                </w:p>
              </w:tc>
              <w:tc>
                <w:tcPr>
                  <w:tcW w:w="1286" w:type="pct"/>
                  <w:tcBorders>
                    <w:tl2br w:val="nil"/>
                    <w:tr2bl w:val="nil"/>
                  </w:tcBorders>
                  <w:noWrap w:val="0"/>
                  <w:vAlign w:val="center"/>
                </w:tcPr>
                <w:p w14:paraId="7CA8584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JH55P2井场</w:t>
                  </w:r>
                  <w:r>
                    <w:rPr>
                      <w:rFonts w:hint="default" w:ascii="Times New Roman" w:hAnsi="Times New Roman" w:eastAsia="宋体" w:cs="Times New Roman"/>
                      <w:b w:val="0"/>
                      <w:bCs w:val="0"/>
                      <w:color w:val="auto"/>
                      <w:spacing w:val="0"/>
                      <w:sz w:val="21"/>
                      <w:szCs w:val="21"/>
                      <w:highlight w:val="none"/>
                      <w:lang w:val="en-US" w:eastAsia="zh-CN"/>
                    </w:rPr>
                    <w:t>已临时关井，扰动临时占地已完成平整并进行了植被恢复，减少水土流失量</w:t>
                  </w:r>
                </w:p>
              </w:tc>
              <w:tc>
                <w:tcPr>
                  <w:tcW w:w="703" w:type="dxa"/>
                  <w:tcBorders>
                    <w:tl2br w:val="nil"/>
                    <w:tr2bl w:val="nil"/>
                  </w:tcBorders>
                  <w:noWrap w:val="0"/>
                  <w:vAlign w:val="center"/>
                </w:tcPr>
                <w:p w14:paraId="6D9B6D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bidi="ar-SA"/>
                    </w:rPr>
                    <w:t>12</w:t>
                  </w:r>
                </w:p>
              </w:tc>
            </w:tr>
            <w:tr w14:paraId="502EBC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74" w:type="pct"/>
                  <w:gridSpan w:val="4"/>
                  <w:tcBorders>
                    <w:tl2br w:val="nil"/>
                    <w:tr2bl w:val="nil"/>
                  </w:tcBorders>
                  <w:noWrap w:val="0"/>
                  <w:vAlign w:val="center"/>
                </w:tcPr>
                <w:p w14:paraId="456E037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合计</w:t>
                  </w:r>
                </w:p>
              </w:tc>
              <w:tc>
                <w:tcPr>
                  <w:tcW w:w="455" w:type="pct"/>
                  <w:tcBorders>
                    <w:tl2br w:val="nil"/>
                    <w:tr2bl w:val="nil"/>
                  </w:tcBorders>
                  <w:noWrap w:val="0"/>
                  <w:vAlign w:val="center"/>
                </w:tcPr>
                <w:p w14:paraId="4868B2C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58" w:type="pct"/>
                  <w:tcBorders>
                    <w:tl2br w:val="nil"/>
                    <w:tr2bl w:val="nil"/>
                  </w:tcBorders>
                  <w:noWrap w:val="0"/>
                  <w:vAlign w:val="center"/>
                </w:tcPr>
                <w:p w14:paraId="67A924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189.7</w:t>
                  </w:r>
                  <w:r>
                    <w:rPr>
                      <w:rFonts w:hint="default" w:ascii="Times New Roman" w:hAnsi="Times New Roman" w:eastAsia="宋体" w:cs="Times New Roman"/>
                      <w:bCs/>
                      <w:color w:val="auto"/>
                      <w:spacing w:val="10"/>
                      <w:lang w:val="en-US" w:eastAsia="zh-CN"/>
                    </w:rPr>
                    <w:t xml:space="preserve"> </w:t>
                  </w:r>
                </w:p>
              </w:tc>
              <w:tc>
                <w:tcPr>
                  <w:tcW w:w="1286" w:type="pct"/>
                  <w:tcBorders>
                    <w:tl2br w:val="nil"/>
                    <w:tr2bl w:val="nil"/>
                  </w:tcBorders>
                  <w:noWrap w:val="0"/>
                  <w:vAlign w:val="center"/>
                </w:tcPr>
                <w:p w14:paraId="52147E1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03" w:type="dxa"/>
                  <w:tcBorders>
                    <w:tl2br w:val="nil"/>
                    <w:tr2bl w:val="nil"/>
                  </w:tcBorders>
                  <w:noWrap w:val="0"/>
                  <w:vAlign w:val="center"/>
                </w:tcPr>
                <w:p w14:paraId="79A1D66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cs="Times New Roman" w:eastAsiaTheme="minorEastAsia"/>
                      <w:bCs/>
                      <w:color w:val="auto"/>
                      <w:spacing w:val="10"/>
                      <w:sz w:val="21"/>
                      <w:szCs w:val="21"/>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55.04</w:t>
                  </w:r>
                </w:p>
              </w:tc>
            </w:tr>
            <w:tr w14:paraId="7EFC2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l2br w:val="nil"/>
                    <w:tr2bl w:val="nil"/>
                  </w:tcBorders>
                  <w:noWrap w:val="0"/>
                  <w:vAlign w:val="center"/>
                </w:tcPr>
                <w:p w14:paraId="4D7F78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备注：</w:t>
                  </w:r>
                  <w:r>
                    <w:rPr>
                      <w:rFonts w:hint="eastAsia" w:ascii="Times New Roman" w:hAnsi="Times New Roman" w:eastAsia="宋体" w:cs="Times New Roman"/>
                      <w:color w:val="auto"/>
                      <w:sz w:val="21"/>
                      <w:szCs w:val="21"/>
                      <w:highlight w:val="none"/>
                      <w:lang w:val="en-US" w:eastAsia="zh-CN"/>
                    </w:rPr>
                    <w:t>因工期较短，未产生废机油、废润滑油，费用降低。本项目井深变浅，导致施工废水、钻井泥浆、岩屑产生量较环评阶段估计值减小，导致处置费用变少；但由于建设单位施工部署发生变化，导致环评批复了的4口探井完工1口，本次验收针对1口探井进行。综上，总投资及环保投资均减少。</w:t>
                  </w:r>
                </w:p>
              </w:tc>
            </w:tr>
          </w:tbl>
          <w:p w14:paraId="7305420E">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4D95977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w:t>
            </w:r>
            <w:r>
              <w:rPr>
                <w:rFonts w:hint="eastAsia" w:ascii="Times New Roman" w:hAnsi="Times New Roman" w:eastAsia="宋体" w:cs="Times New Roman"/>
                <w:b w:val="0"/>
                <w:bCs w:val="0"/>
                <w:color w:val="auto"/>
                <w:spacing w:val="0"/>
                <w:w w:val="100"/>
                <w:sz w:val="24"/>
                <w:szCs w:val="24"/>
                <w:highlight w:val="none"/>
                <w:lang w:val="en-US" w:eastAsia="zh-CN" w:bidi="ar-SA"/>
              </w:rPr>
              <w:t>油</w:t>
            </w:r>
            <w:r>
              <w:rPr>
                <w:rFonts w:hint="default" w:ascii="Times New Roman" w:hAnsi="Times New Roman" w:eastAsia="宋体" w:cs="Times New Roman"/>
                <w:b w:val="0"/>
                <w:bCs w:val="0"/>
                <w:color w:val="auto"/>
                <w:spacing w:val="0"/>
                <w:w w:val="100"/>
                <w:sz w:val="24"/>
                <w:szCs w:val="24"/>
                <w:highlight w:val="none"/>
                <w:lang w:val="en-US" w:eastAsia="zh-CN" w:bidi="ar-SA"/>
              </w:rPr>
              <w:t>，只涉及施工期，无运营期，因此本次验收仅涉及施工期。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废气：扬尘、柴油机废气</w:t>
            </w:r>
            <w:r>
              <w:rPr>
                <w:rFonts w:hint="eastAsia" w:ascii="Times New Roman" w:hAnsi="Times New Roman" w:eastAsia="宋体" w:cs="Times New Roman"/>
                <w:b w:val="0"/>
                <w:bCs w:val="0"/>
                <w:color w:val="auto"/>
                <w:spacing w:val="0"/>
                <w:w w:val="100"/>
                <w:sz w:val="24"/>
                <w:szCs w:val="24"/>
                <w:highlight w:val="none"/>
                <w:lang w:val="en-US" w:eastAsia="zh-CN" w:bidi="ar-SA"/>
              </w:rPr>
              <w:t>、试油伴生气及车辆废气</w:t>
            </w:r>
            <w:r>
              <w:rPr>
                <w:rFonts w:hint="default" w:ascii="Times New Roman" w:hAnsi="Times New Roman" w:eastAsia="宋体" w:cs="Times New Roman"/>
                <w:b w:val="0"/>
                <w:bCs w:val="0"/>
                <w:color w:val="auto"/>
                <w:spacing w:val="0"/>
                <w:w w:val="100"/>
                <w:sz w:val="24"/>
                <w:szCs w:val="24"/>
                <w:highlight w:val="none"/>
                <w:lang w:val="en-US" w:eastAsia="zh-CN" w:bidi="ar-SA"/>
              </w:rPr>
              <w:t>。</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废水：生产废水（</w:t>
            </w:r>
            <w:r>
              <w:rPr>
                <w:rFonts w:hint="eastAsia" w:ascii="Times New Roman" w:hAnsi="Times New Roman" w:eastAsia="宋体" w:cs="Times New Roman"/>
                <w:b w:val="0"/>
                <w:bCs w:val="0"/>
                <w:color w:val="auto"/>
                <w:spacing w:val="0"/>
                <w:w w:val="100"/>
                <w:sz w:val="24"/>
                <w:szCs w:val="24"/>
                <w:highlight w:val="none"/>
                <w:lang w:val="en-US" w:eastAsia="zh-CN" w:bidi="ar-SA"/>
              </w:rPr>
              <w:t>钻井废水</w:t>
            </w:r>
            <w:r>
              <w:rPr>
                <w:rFonts w:hint="default" w:ascii="Times New Roman" w:hAnsi="Times New Roman" w:eastAsia="宋体" w:cs="Times New Roman"/>
                <w:b w:val="0"/>
                <w:bCs w:val="0"/>
                <w:color w:val="auto"/>
                <w:spacing w:val="0"/>
                <w:w w:val="100"/>
                <w:sz w:val="24"/>
                <w:szCs w:val="24"/>
                <w:highlight w:val="none"/>
                <w:lang w:val="en-US" w:eastAsia="zh-CN" w:bidi="ar-SA"/>
              </w:rPr>
              <w:t>、洗井废水</w:t>
            </w:r>
            <w:r>
              <w:rPr>
                <w:rFonts w:hint="eastAsia" w:ascii="Times New Roman" w:hAnsi="Times New Roman" w:eastAsia="宋体" w:cs="Times New Roman"/>
                <w:b w:val="0"/>
                <w:bCs w:val="0"/>
                <w:color w:val="auto"/>
                <w:spacing w:val="0"/>
                <w:w w:val="100"/>
                <w:sz w:val="24"/>
                <w:szCs w:val="24"/>
                <w:highlight w:val="none"/>
                <w:lang w:val="en-US" w:eastAsia="zh-CN" w:bidi="ar-SA"/>
              </w:rPr>
              <w:t>、压裂返排液</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eastAsia" w:ascii="Times New Roman" w:hAnsi="Times New Roman" w:eastAsia="宋体" w:cs="Times New Roman"/>
                <w:b w:val="0"/>
                <w:bCs w:val="0"/>
                <w:color w:val="auto"/>
                <w:spacing w:val="0"/>
                <w:w w:val="100"/>
                <w:sz w:val="24"/>
                <w:szCs w:val="24"/>
                <w:highlight w:val="none"/>
                <w:lang w:val="en-US" w:eastAsia="zh-CN" w:bidi="ar-SA"/>
              </w:rPr>
              <w:t>、初期雨水</w:t>
            </w:r>
            <w:r>
              <w:rPr>
                <w:rFonts w:hint="default" w:ascii="Times New Roman" w:hAnsi="Times New Roman" w:eastAsia="宋体" w:cs="Times New Roman"/>
                <w:b w:val="0"/>
                <w:bCs w:val="0"/>
                <w:color w:val="auto"/>
                <w:spacing w:val="0"/>
                <w:w w:val="100"/>
                <w:sz w:val="24"/>
                <w:szCs w:val="24"/>
                <w:highlight w:val="none"/>
                <w:lang w:val="en-US" w:eastAsia="zh-CN" w:bidi="ar-SA"/>
              </w:rPr>
              <w:t>和生活污水</w:t>
            </w:r>
            <w:r>
              <w:rPr>
                <w:rFonts w:hint="eastAsia" w:ascii="Times New Roman" w:hAnsi="Times New Roman" w:eastAsia="宋体" w:cs="Times New Roman"/>
                <w:b w:val="0"/>
                <w:bCs w:val="0"/>
                <w:color w:val="auto"/>
                <w:spacing w:val="0"/>
                <w:w w:val="100"/>
                <w:sz w:val="24"/>
                <w:szCs w:val="24"/>
                <w:highlight w:val="none"/>
                <w:lang w:val="en-US" w:eastAsia="zh-CN" w:bidi="ar-SA"/>
              </w:rPr>
              <w:t>。</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w:t>
            </w:r>
            <w:r>
              <w:rPr>
                <w:rFonts w:hint="default" w:ascii="Times New Roman" w:hAnsi="Times New Roman" w:eastAsia="宋体" w:cs="Times New Roman"/>
                <w:b w:val="0"/>
                <w:bCs w:val="0"/>
                <w:color w:val="auto"/>
                <w:spacing w:val="0"/>
                <w:w w:val="100"/>
                <w:sz w:val="24"/>
                <w:szCs w:val="24"/>
                <w:highlight w:val="none"/>
                <w:lang w:val="en-US" w:eastAsia="zh-CN" w:bidi="ar-SA"/>
              </w:rPr>
              <w:t>噪声：钻机、柴油发电机、泥浆泵、推土机、装载机、打桩机</w:t>
            </w:r>
            <w:r>
              <w:rPr>
                <w:rFonts w:hint="eastAsia" w:ascii="Times New Roman" w:hAnsi="Times New Roman" w:eastAsia="宋体" w:cs="Times New Roman"/>
                <w:b w:val="0"/>
                <w:bCs w:val="0"/>
                <w:color w:val="auto"/>
                <w:spacing w:val="0"/>
                <w:w w:val="100"/>
                <w:sz w:val="24"/>
                <w:szCs w:val="24"/>
                <w:highlight w:val="none"/>
                <w:lang w:val="en-US" w:eastAsia="zh-CN" w:bidi="ar-SA"/>
              </w:rPr>
              <w:t>、运输车辆</w:t>
            </w:r>
            <w:r>
              <w:rPr>
                <w:rFonts w:hint="default" w:ascii="Times New Roman" w:hAnsi="Times New Roman" w:eastAsia="宋体" w:cs="Times New Roman"/>
                <w:b w:val="0"/>
                <w:bCs w:val="0"/>
                <w:color w:val="auto"/>
                <w:spacing w:val="0"/>
                <w:w w:val="100"/>
                <w:sz w:val="24"/>
                <w:szCs w:val="24"/>
                <w:highlight w:val="none"/>
                <w:lang w:val="en-US" w:eastAsia="zh-CN" w:bidi="ar-SA"/>
              </w:rPr>
              <w:t>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w:t>
            </w:r>
            <w:r>
              <w:rPr>
                <w:rFonts w:hint="default" w:ascii="Times New Roman" w:hAnsi="Times New Roman" w:eastAsia="宋体" w:cs="Times New Roman"/>
                <w:b w:val="0"/>
                <w:bCs w:val="0"/>
                <w:color w:val="auto"/>
                <w:spacing w:val="0"/>
                <w:w w:val="100"/>
                <w:sz w:val="24"/>
                <w:szCs w:val="24"/>
                <w:highlight w:val="none"/>
                <w:lang w:val="en-US" w:eastAsia="zh-CN" w:bidi="ar-SA"/>
              </w:rPr>
              <w:t>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废弃钻井泥浆、钻井岩屑（不含油）、纯碱、膨润土废弃包装、废防渗布（不含油）、建筑垃圾</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废过硫酸钾包装袋</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落地油</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废机油</w:t>
            </w:r>
            <w:r>
              <w:rPr>
                <w:rFonts w:hint="eastAsia" w:ascii="Times New Roman" w:hAnsi="Times New Roman" w:eastAsia="宋体" w:cs="Times New Roman"/>
                <w:color w:val="auto"/>
                <w:sz w:val="24"/>
                <w:szCs w:val="22"/>
                <w:lang w:val="en-US" w:eastAsia="zh-CN"/>
              </w:rPr>
              <w:t>、废润滑油、废防渗布（沾落地油）、废含油抹布、含油岩屑</w:t>
            </w:r>
            <w:r>
              <w:rPr>
                <w:rFonts w:hint="default" w:ascii="Times New Roman" w:hAnsi="Times New Roman" w:eastAsia="宋体" w:cs="Times New Roman"/>
                <w:color w:val="auto"/>
                <w:sz w:val="24"/>
                <w:szCs w:val="22"/>
                <w:lang w:val="en-US" w:eastAsia="zh-CN"/>
              </w:rPr>
              <w:t>及生活垃圾</w:t>
            </w:r>
            <w:r>
              <w:rPr>
                <w:rFonts w:hint="eastAsia" w:ascii="Times New Roman" w:hAnsi="Times New Roman" w:eastAsia="宋体" w:cs="Times New Roman"/>
                <w:color w:val="auto"/>
                <w:sz w:val="24"/>
                <w:lang w:val="en-US" w:eastAsia="zh-CN"/>
              </w:rPr>
              <w:t>等</w:t>
            </w:r>
            <w:r>
              <w:rPr>
                <w:rFonts w:hint="eastAsia"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5）</w:t>
            </w:r>
            <w:r>
              <w:rPr>
                <w:rFonts w:hint="default" w:ascii="Times New Roman" w:hAnsi="Times New Roman" w:eastAsia="宋体" w:cs="Times New Roman"/>
                <w:b w:val="0"/>
                <w:bCs w:val="0"/>
                <w:color w:val="auto"/>
                <w:spacing w:val="0"/>
                <w:w w:val="100"/>
                <w:sz w:val="24"/>
                <w:szCs w:val="24"/>
                <w:highlight w:val="none"/>
                <w:lang w:val="en-US" w:eastAsia="zh-CN" w:bidi="ar-SA"/>
              </w:rPr>
              <w:t>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压占土地：施工中压占土地，临时占地在短期改变了土地利用的结构和功能。 </w:t>
            </w:r>
          </w:p>
          <w:p w14:paraId="6E2C0E2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破坏植被、动物影响：施工期对临时占地面积内原有植被的清理、压占及施工人群的干扰。周围无动物栖息地，对动物影响较小。</w:t>
            </w:r>
          </w:p>
          <w:p w14:paraId="5C76162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破坏、污染土壤：施工期间无表土的开挖及回填，对土壤肥力及植被的生长影响较小。 </w:t>
            </w:r>
          </w:p>
          <w:p w14:paraId="59EE6C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w:t>
            </w:r>
            <w:r>
              <w:rPr>
                <w:rFonts w:hint="eastAsia" w:ascii="Times New Roman" w:hAnsi="Times New Roman" w:eastAsia="宋体" w:cs="Times New Roman"/>
                <w:color w:val="auto"/>
                <w:sz w:val="24"/>
                <w:lang w:val="en-US" w:eastAsia="zh-CN"/>
              </w:rPr>
              <w:t>勘探</w:t>
            </w:r>
            <w:r>
              <w:rPr>
                <w:rFonts w:hint="default" w:ascii="Times New Roman" w:hAnsi="Times New Roman" w:eastAsia="宋体" w:cs="Times New Roman"/>
                <w:color w:val="auto"/>
                <w:sz w:val="24"/>
                <w:lang w:val="en-US" w:eastAsia="zh-CN"/>
              </w:rPr>
              <w:t>井项目，</w:t>
            </w:r>
            <w:r>
              <w:rPr>
                <w:rFonts w:hint="eastAsia" w:ascii="Times New Roman" w:hAnsi="Times New Roman" w:eastAsia="宋体" w:cs="Times New Roman"/>
                <w:color w:val="auto"/>
                <w:sz w:val="24"/>
                <w:lang w:val="en-US" w:eastAsia="zh-CN"/>
              </w:rPr>
              <w:t>井场</w:t>
            </w:r>
            <w:r>
              <w:rPr>
                <w:rFonts w:hint="default" w:ascii="Times New Roman" w:hAnsi="Times New Roman" w:eastAsia="宋体" w:cs="Times New Roman"/>
                <w:color w:val="auto"/>
                <w:sz w:val="24"/>
                <w:lang w:val="en-US" w:eastAsia="zh-CN"/>
              </w:rPr>
              <w:t>具有工业开采价值，临时</w:t>
            </w:r>
            <w:r>
              <w:rPr>
                <w:rFonts w:hint="eastAsia" w:ascii="Times New Roman" w:hAnsi="Times New Roman" w:eastAsia="宋体" w:cs="Times New Roman"/>
                <w:color w:val="auto"/>
                <w:sz w:val="24"/>
                <w:lang w:val="en-US" w:eastAsia="zh-CN"/>
              </w:rPr>
              <w:t>关</w:t>
            </w:r>
            <w:r>
              <w:rPr>
                <w:rFonts w:hint="default" w:ascii="Times New Roman" w:hAnsi="Times New Roman" w:eastAsia="宋体" w:cs="Times New Roman"/>
                <w:color w:val="auto"/>
                <w:sz w:val="24"/>
                <w:lang w:val="en-US" w:eastAsia="zh-CN"/>
              </w:rPr>
              <w:t>井，待转产</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根据现场调查了解，项目在建设过程</w:t>
            </w:r>
            <w:r>
              <w:rPr>
                <w:rFonts w:hint="default" w:ascii="Times New Roman" w:hAnsi="Times New Roman" w:eastAsia="宋体" w:cs="Times New Roman"/>
                <w:b w:val="0"/>
                <w:bCs w:val="0"/>
                <w:color w:val="auto"/>
                <w:spacing w:val="0"/>
                <w:w w:val="100"/>
                <w:sz w:val="24"/>
                <w:szCs w:val="24"/>
                <w:highlight w:val="none"/>
                <w:lang w:val="en-US" w:eastAsia="zh-CN" w:bidi="ar-SA"/>
              </w:rPr>
              <w:t>未发生重大污染或扰民事件</w:t>
            </w:r>
            <w:r>
              <w:rPr>
                <w:rFonts w:hint="eastAsia" w:ascii="Times New Roman" w:hAnsi="Times New Roman" w:eastAsia="宋体" w:cs="Times New Roman"/>
                <w:b w:val="0"/>
                <w:bCs w:val="0"/>
                <w:color w:val="auto"/>
                <w:spacing w:val="0"/>
                <w:w w:val="100"/>
                <w:sz w:val="24"/>
                <w:szCs w:val="24"/>
                <w:highlight w:val="none"/>
                <w:lang w:val="en-US" w:eastAsia="zh-CN" w:bidi="ar-SA"/>
              </w:rPr>
              <w:t>，未发生重大生态环境问题。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（1）施工期废气</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③ 选用环保型柴油发电机，使用优质轻柴油，简易排气筒排放；排气管朝向避开了农户分布及项目区工作人员办公生活的方位；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④ 少量试油伴生气逸散。本项目试油过程中无井喷事故发生。</w:t>
            </w:r>
          </w:p>
          <w:p w14:paraId="63B897BC">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根据试油结果，</w:t>
            </w:r>
            <w:r>
              <w:rPr>
                <w:rFonts w:hint="eastAsia" w:ascii="Times New Roman" w:hAnsi="Times New Roman" w:eastAsia="宋体" w:cs="Times New Roman"/>
                <w:color w:val="auto"/>
                <w:sz w:val="24"/>
                <w:lang w:val="en-US" w:eastAsia="zh-CN"/>
              </w:rPr>
              <w:t>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w:t>
            </w:r>
            <w:r>
              <w:rPr>
                <w:rFonts w:hint="eastAsia" w:ascii="Times New Roman" w:hAnsi="Times New Roman" w:eastAsia="宋体" w:cs="Times New Roman"/>
                <w:color w:val="auto"/>
                <w:sz w:val="24"/>
                <w:lang w:val="en-US" w:eastAsia="zh-CN"/>
              </w:rPr>
              <w:t>。</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施工现场周围无废水残留，可见本项目钻井、试油期产生的废水均得到了妥善处置。本项目落实了环评及批复中提出的各项水环境保护措施。具体采取的水环境保护措施如下：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w:t>
            </w:r>
            <w:r>
              <w:rPr>
                <w:rFonts w:hint="eastAsia"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w:t>
            </w:r>
            <w:r>
              <w:rPr>
                <w:rFonts w:hint="eastAsia"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（3）施工期噪声</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本工程井场周围地形空旷</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根据现场踏勘</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施工作业已全部结束</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施工机械及运输车辆已全部撤离</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①</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④</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60E8C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eastAsia" w:ascii="Times New Roman" w:hAnsi="Times New Roman" w:eastAsia="宋体" w:cs="Times New Roman"/>
                <w:color w:val="auto"/>
                <w:spacing w:val="0"/>
                <w:w w:val="100"/>
                <w:sz w:val="24"/>
                <w:szCs w:val="24"/>
                <w:highlight w:val="none"/>
                <w:lang w:val="en-US" w:eastAsia="zh-CN" w:bidi="ar-SA"/>
              </w:rPr>
              <w:t>废机油、废润滑油、落地油、废含油抹布、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w:t>
            </w:r>
          </w:p>
          <w:p w14:paraId="474C332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工期较短，未产生废机油、废润滑油；施工过程产生的落地油、废含油抹布、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、过硫酸钾废包装袋、含油岩屑均为危险废物，经收集暂存于临时危废贮存库，委托庆阳丰泰环保有限责任公司处置，未产生二次污染。</w:t>
            </w:r>
          </w:p>
          <w:p w14:paraId="665B4C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宋体"/>
                <w:bCs/>
                <w:color w:val="auto"/>
                <w:kern w:val="0"/>
                <w:sz w:val="24"/>
                <w:szCs w:val="24"/>
                <w:highlight w:val="none"/>
                <w:lang w:val="en-US" w:eastAsia="zh-CN" w:bidi="ar-SA"/>
              </w:rPr>
              <w:t>废膨润土、纯碱包装袋</w:t>
            </w:r>
            <w:r>
              <w:rPr>
                <w:rFonts w:hint="eastAsia"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项目钻井过程产生的废膨润土、纯碱包装袋</w:t>
            </w:r>
            <w:r>
              <w:rPr>
                <w:rFonts w:hint="eastAsia"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宋体"/>
                <w:bCs/>
                <w:color w:val="auto"/>
                <w:kern w:val="0"/>
                <w:sz w:val="24"/>
                <w:szCs w:val="24"/>
                <w:highlight w:val="none"/>
                <w:lang w:val="en-US" w:eastAsia="zh-CN" w:bidi="ar-SA"/>
              </w:rPr>
              <w:t>为一般工业固废</w:t>
            </w:r>
            <w:r>
              <w:rPr>
                <w:rFonts w:hint="eastAsia" w:ascii="Times New Roman" w:hAnsi="Times New Roman" w:eastAsia="宋体" w:cs="宋体"/>
                <w:bCs/>
                <w:color w:val="auto"/>
                <w:kern w:val="0"/>
                <w:sz w:val="24"/>
                <w:szCs w:val="24"/>
                <w:highlight w:val="none"/>
                <w:lang w:val="en-US" w:eastAsia="zh-CN" w:bidi="ar-SA"/>
              </w:rPr>
              <w:t>，</w:t>
            </w:r>
            <w:r>
              <w:rPr>
                <w:rFonts w:hint="default" w:ascii="Times New Roman" w:hAnsi="Times New Roman" w:eastAsia="宋体" w:cs="宋体"/>
                <w:bCs/>
                <w:color w:val="auto"/>
                <w:kern w:val="0"/>
                <w:sz w:val="24"/>
                <w:szCs w:val="24"/>
                <w:highlight w:val="none"/>
                <w:lang w:val="en-US" w:eastAsia="zh-CN" w:bidi="ar-SA"/>
              </w:rPr>
              <w:t>统一收集后</w:t>
            </w:r>
            <w:r>
              <w:rPr>
                <w:rFonts w:hint="eastAsia" w:ascii="Times New Roman" w:hAnsi="Times New Roman" w:eastAsia="宋体" w:cs="宋体"/>
                <w:bCs/>
                <w:color w:val="auto"/>
                <w:kern w:val="0"/>
                <w:sz w:val="24"/>
                <w:szCs w:val="24"/>
                <w:highlight w:val="none"/>
                <w:lang w:val="en-US" w:eastAsia="zh-CN" w:bidi="ar-SA"/>
              </w:rPr>
              <w:t>由</w:t>
            </w:r>
            <w:r>
              <w:rPr>
                <w:rFonts w:hint="default" w:ascii="Times New Roman" w:hAnsi="Times New Roman" w:eastAsia="宋体" w:cs="宋体"/>
                <w:bCs/>
                <w:color w:val="auto"/>
                <w:kern w:val="0"/>
                <w:sz w:val="24"/>
                <w:szCs w:val="24"/>
                <w:highlight w:val="none"/>
                <w:lang w:val="en-US" w:eastAsia="zh-CN" w:bidi="ar-SA"/>
              </w:rPr>
              <w:t>施工单位（</w:t>
            </w:r>
            <w:r>
              <w:rPr>
                <w:rFonts w:hint="eastAsia" w:ascii="Times New Roman" w:hAnsi="Times New Roman" w:eastAsia="宋体" w:cs="宋体"/>
                <w:bCs/>
                <w:color w:val="auto"/>
                <w:kern w:val="0"/>
                <w:sz w:val="24"/>
                <w:szCs w:val="24"/>
                <w:highlight w:val="none"/>
                <w:lang w:val="en-US" w:eastAsia="zh-CN" w:bidi="ar-SA"/>
              </w:rPr>
              <w:t>五普40837HB</w:t>
            </w:r>
            <w:r>
              <w:rPr>
                <w:rFonts w:hint="default" w:ascii="Times New Roman" w:hAnsi="Times New Roman" w:eastAsia="宋体" w:cs="宋体"/>
                <w:bCs/>
                <w:color w:val="auto"/>
                <w:kern w:val="0"/>
                <w:sz w:val="24"/>
                <w:szCs w:val="24"/>
                <w:highlight w:val="none"/>
                <w:lang w:val="en-US" w:eastAsia="zh-CN" w:bidi="ar-SA"/>
              </w:rPr>
              <w:t>）处置</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eastAsia" w:ascii="Times New Roman" w:hAnsi="Times New Roman" w:eastAsia="宋体" w:cs="宋体"/>
                <w:bCs/>
                <w:color w:val="auto"/>
                <w:kern w:val="0"/>
                <w:sz w:val="24"/>
                <w:szCs w:val="24"/>
                <w:highlight w:val="none"/>
                <w:lang w:val="en-US" w:eastAsia="zh-CN" w:bidi="ar-SA"/>
              </w:rPr>
              <w:fldChar w:fldCharType="begin"/>
            </w:r>
            <w:r>
              <w:rPr>
                <w:rFonts w:hint="eastAsia" w:ascii="Times New Roman" w:hAnsi="Times New Roman" w:eastAsia="宋体" w:cs="宋体"/>
                <w:bCs/>
                <w:color w:val="auto"/>
                <w:kern w:val="0"/>
                <w:sz w:val="24"/>
                <w:szCs w:val="24"/>
                <w:highlight w:val="none"/>
                <w:lang w:val="en-US" w:eastAsia="zh-CN" w:bidi="ar-SA"/>
              </w:rPr>
              <w:instrText xml:space="preserve"> = 5 \* GB3 \* MERGEFORMAT </w:instrText>
            </w:r>
            <w:r>
              <w:rPr>
                <w:rFonts w:hint="eastAsia" w:ascii="Times New Roman" w:hAnsi="Times New Roman" w:eastAsia="宋体" w:cs="宋体"/>
                <w:bCs/>
                <w:color w:val="auto"/>
                <w:kern w:val="0"/>
                <w:sz w:val="24"/>
                <w:szCs w:val="24"/>
                <w:highlight w:val="none"/>
                <w:lang w:val="en-US" w:eastAsia="zh-CN" w:bidi="ar-SA"/>
              </w:rPr>
              <w:fldChar w:fldCharType="separate"/>
            </w:r>
            <w:r>
              <w:rPr>
                <w:rFonts w:hint="default"/>
              </w:rPr>
              <w:t>⑤</w:t>
            </w:r>
            <w:r>
              <w:rPr>
                <w:rFonts w:hint="eastAsia" w:ascii="Times New Roman" w:hAnsi="Times New Roman" w:eastAsia="宋体" w:cs="宋体"/>
                <w:bCs/>
                <w:color w:val="auto"/>
                <w:kern w:val="0"/>
                <w:sz w:val="24"/>
                <w:szCs w:val="24"/>
                <w:highlight w:val="none"/>
                <w:lang w:val="en-US" w:eastAsia="zh-CN" w:bidi="ar-SA"/>
              </w:rPr>
              <w:fldChar w:fldCharType="end"/>
            </w:r>
            <w:r>
              <w:rPr>
                <w:rFonts w:hint="default" w:ascii="Times New Roman" w:hAnsi="Times New Roman" w:eastAsia="宋体" w:cs="宋体"/>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未产生建筑垃圾。</w:t>
            </w:r>
          </w:p>
          <w:p w14:paraId="6BAD6C5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eastAsia"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表4-</w:t>
            </w:r>
            <w:r>
              <w:rPr>
                <w:rFonts w:hint="eastAsia" w:ascii="Times New Roman" w:hAnsi="Times New Roman" w:eastAsia="宋体" w:cs="Times New Roman"/>
                <w:b/>
                <w:bCs/>
                <w:color w:val="auto"/>
                <w:sz w:val="21"/>
                <w:szCs w:val="21"/>
                <w:lang w:val="en-US" w:eastAsia="zh-CN"/>
              </w:rPr>
              <w:t>5</w:t>
            </w:r>
            <w:r>
              <w:rPr>
                <w:rFonts w:hint="default" w:ascii="Times New Roman" w:hAnsi="Times New Roman" w:eastAsia="宋体" w:cs="Times New Roman"/>
                <w:b/>
                <w:bCs/>
                <w:color w:val="auto"/>
                <w:sz w:val="21"/>
                <w:szCs w:val="21"/>
              </w:rPr>
              <w:t xml:space="preserve">  项目污染物产生</w:t>
            </w: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5"/>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12"/>
              <w:gridCol w:w="865"/>
              <w:gridCol w:w="451"/>
              <w:gridCol w:w="930"/>
              <w:gridCol w:w="780"/>
              <w:gridCol w:w="2570"/>
              <w:gridCol w:w="2165"/>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309"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序号</w:t>
                  </w:r>
                </w:p>
              </w:tc>
              <w:tc>
                <w:tcPr>
                  <w:tcW w:w="522"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名称</w:t>
                  </w:r>
                </w:p>
              </w:tc>
              <w:tc>
                <w:tcPr>
                  <w:tcW w:w="272"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单位</w:t>
                  </w:r>
                </w:p>
              </w:tc>
              <w:tc>
                <w:tcPr>
                  <w:tcW w:w="562"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环评阶段预计产生量</w:t>
                  </w:r>
                </w:p>
              </w:tc>
              <w:tc>
                <w:tcPr>
                  <w:tcW w:w="471"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实际产生量</w:t>
                  </w:r>
                </w:p>
              </w:tc>
              <w:tc>
                <w:tcPr>
                  <w:tcW w:w="1553"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处置方式</w:t>
                  </w:r>
                </w:p>
              </w:tc>
              <w:tc>
                <w:tcPr>
                  <w:tcW w:w="1308"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309" w:type="pct"/>
                  <w:tcBorders>
                    <w:tl2br w:val="nil"/>
                    <w:tr2bl w:val="nil"/>
                  </w:tcBorders>
                  <w:shd w:val="clear" w:color="auto" w:fill="auto"/>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bookmarkStart w:id="20" w:name="_GoBack" w:colFirst="4" w:colLast="4"/>
                  <w:r>
                    <w:rPr>
                      <w:rFonts w:hint="eastAsia" w:ascii="Times New Roman" w:hAnsi="Times New Roman" w:eastAsia="宋体" w:cs="Times New Roman"/>
                      <w:b w:val="0"/>
                      <w:bCs w:val="0"/>
                      <w:color w:val="auto"/>
                      <w:sz w:val="21"/>
                      <w:szCs w:val="21"/>
                      <w:lang w:val="en-US" w:eastAsia="zh-CN"/>
                    </w:rPr>
                    <w:t>1</w:t>
                  </w:r>
                </w:p>
              </w:tc>
              <w:tc>
                <w:tcPr>
                  <w:tcW w:w="522" w:type="pct"/>
                  <w:tcBorders>
                    <w:tl2br w:val="nil"/>
                    <w:tr2bl w:val="nil"/>
                  </w:tcBorders>
                  <w:shd w:val="clear" w:color="auto" w:fill="auto"/>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施工废液</w:t>
                  </w:r>
                </w:p>
              </w:tc>
              <w:tc>
                <w:tcPr>
                  <w:tcW w:w="272" w:type="pct"/>
                  <w:tcBorders>
                    <w:tl2br w:val="nil"/>
                    <w:tr2bl w:val="nil"/>
                  </w:tcBorders>
                  <w:shd w:val="clear" w:color="auto" w:fill="auto"/>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3010</w:t>
                  </w:r>
                </w:p>
              </w:tc>
              <w:tc>
                <w:tcPr>
                  <w:tcW w:w="471"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745</w:t>
                  </w:r>
                </w:p>
              </w:tc>
              <w:tc>
                <w:tcPr>
                  <w:tcW w:w="1553"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，施工废液实际产生量随着井深变浅而减少，本次只针对批复的1口进行验收。综上，废液产生量较环评预估值减少，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2</w:t>
                  </w:r>
                </w:p>
              </w:tc>
              <w:tc>
                <w:tcPr>
                  <w:tcW w:w="522" w:type="pct"/>
                  <w:tcBorders>
                    <w:tl2br w:val="nil"/>
                    <w:tr2bl w:val="nil"/>
                  </w:tcBorders>
                  <w:shd w:val="clear" w:color="auto" w:fill="auto"/>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生活污水</w:t>
                  </w:r>
                </w:p>
              </w:tc>
              <w:tc>
                <w:tcPr>
                  <w:tcW w:w="272" w:type="pct"/>
                  <w:tcBorders>
                    <w:tl2br w:val="nil"/>
                    <w:tr2bl w:val="nil"/>
                  </w:tcBorders>
                  <w:shd w:val="clear" w:color="auto" w:fill="auto"/>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100.8</w:t>
                  </w:r>
                </w:p>
              </w:tc>
              <w:tc>
                <w:tcPr>
                  <w:tcW w:w="471"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32.3</w:t>
                  </w:r>
                </w:p>
              </w:tc>
              <w:tc>
                <w:tcPr>
                  <w:tcW w:w="1553"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w:t>
                  </w:r>
                </w:p>
              </w:tc>
              <w:tc>
                <w:tcPr>
                  <w:tcW w:w="522" w:type="pct"/>
                  <w:tcBorders>
                    <w:tl2br w:val="nil"/>
                    <w:tr2bl w:val="nil"/>
                  </w:tcBorders>
                  <w:shd w:val="clear" w:color="auto" w:fill="auto"/>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rPr>
                    <w:t>钻井岩屑、废弃泥浆</w:t>
                  </w:r>
                </w:p>
              </w:tc>
              <w:tc>
                <w:tcPr>
                  <w:tcW w:w="272" w:type="pct"/>
                  <w:tcBorders>
                    <w:tl2br w:val="nil"/>
                    <w:tr2bl w:val="nil"/>
                  </w:tcBorders>
                  <w:shd w:val="clear" w:color="auto" w:fill="auto"/>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1263.07</w:t>
                  </w:r>
                </w:p>
              </w:tc>
              <w:tc>
                <w:tcPr>
                  <w:tcW w:w="471"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563</w:t>
                  </w:r>
                </w:p>
              </w:tc>
              <w:tc>
                <w:tcPr>
                  <w:tcW w:w="1553"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tcBorders>
                    <w:bottom w:val="single" w:color="auto" w:sz="4" w:space="0"/>
                    <w:tl2br w:val="nil"/>
                    <w:tr2bl w:val="nil"/>
                  </w:tcBorders>
                  <w:vAlign w:val="center"/>
                </w:tcPr>
                <w:p w14:paraId="3E5F0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，固体废物实际产生量随着井深变浅而增减少，本次只针对批复的1口进行验收。综上，固废产生量较环评预估值减少，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p w14:paraId="491ED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pacing w:val="0"/>
                      <w:sz w:val="21"/>
                      <w:szCs w:val="21"/>
                      <w:highlight w:val="none"/>
                      <w:lang w:val="en-US" w:eastAsia="zh-CN" w:bidi="ar-SA"/>
                    </w:rPr>
                  </w:pPr>
                </w:p>
              </w:tc>
            </w:tr>
            <w:bookmarkEnd w:id="20"/>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w:t>
                  </w:r>
                </w:p>
              </w:tc>
              <w:tc>
                <w:tcPr>
                  <w:tcW w:w="522" w:type="pct"/>
                  <w:tcBorders>
                    <w:tl2br w:val="nil"/>
                    <w:tr2bl w:val="nil"/>
                  </w:tcBorders>
                  <w:shd w:val="clear" w:color="auto" w:fill="auto"/>
                  <w:vAlign w:val="center"/>
                </w:tcPr>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废防渗布（不含油）</w:t>
                  </w:r>
                </w:p>
              </w:tc>
              <w:tc>
                <w:tcPr>
                  <w:tcW w:w="272" w:type="pct"/>
                  <w:tcBorders>
                    <w:tl2br w:val="nil"/>
                    <w:tr2bl w:val="nil"/>
                  </w:tcBorders>
                  <w:shd w:val="clear" w:color="auto" w:fill="auto"/>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7991492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0.03</w:t>
                  </w:r>
                </w:p>
              </w:tc>
              <w:tc>
                <w:tcPr>
                  <w:tcW w:w="471" w:type="pct"/>
                  <w:tcBorders>
                    <w:tl2br w:val="nil"/>
                    <w:tr2bl w:val="nil"/>
                  </w:tcBorders>
                  <w:shd w:val="clear" w:color="auto" w:fill="auto"/>
                  <w:vAlign w:val="center"/>
                </w:tcPr>
                <w:p w14:paraId="71A52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0.012</w:t>
                  </w:r>
                </w:p>
              </w:tc>
              <w:tc>
                <w:tcPr>
                  <w:tcW w:w="1553" w:type="pct"/>
                  <w:tcBorders>
                    <w:top w:val="single" w:color="auto" w:sz="4" w:space="0"/>
                    <w:tl2br w:val="nil"/>
                    <w:tr2bl w:val="nil"/>
                  </w:tcBorders>
                  <w:shd w:val="clear" w:color="auto" w:fill="auto"/>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由施工单位（五普40837HB）处置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本次只针对批复的1口进行验收，固体废物产生量较环评减少</w:t>
                  </w:r>
                  <w:r>
                    <w:rPr>
                      <w:rFonts w:hint="default" w:ascii="Times New Roman" w:hAnsi="Times New Roman" w:eastAsia="宋体" w:cs="Times New Roman"/>
                      <w:color w:val="auto"/>
                      <w:sz w:val="21"/>
                      <w:szCs w:val="21"/>
                      <w:lang w:val="en-US" w:eastAsia="zh-CN"/>
                    </w:rPr>
                    <w:t>，均得到了有效处置，该变化未导致环境影响或环境风险增大，未产生二次污染。不属于重大变更</w:t>
                  </w: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w:t>
                  </w:r>
                </w:p>
              </w:tc>
              <w:tc>
                <w:tcPr>
                  <w:tcW w:w="522" w:type="pct"/>
                  <w:tcBorders>
                    <w:tl2br w:val="nil"/>
                    <w:tr2bl w:val="nil"/>
                  </w:tcBorders>
                  <w:shd w:val="clear" w:color="auto" w:fill="auto"/>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2" w:type="pct"/>
                  <w:tcBorders>
                    <w:tl2br w:val="nil"/>
                    <w:tr2bl w:val="nil"/>
                  </w:tcBorders>
                  <w:shd w:val="clear" w:color="auto" w:fill="auto"/>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D199792">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bidi="ar-SA"/>
                    </w:rPr>
                    <w:t>0.0015</w:t>
                  </w:r>
                </w:p>
              </w:tc>
              <w:tc>
                <w:tcPr>
                  <w:tcW w:w="471" w:type="pct"/>
                  <w:tcBorders>
                    <w:tl2br w:val="nil"/>
                    <w:tr2bl w:val="nil"/>
                  </w:tcBorders>
                  <w:shd w:val="clear" w:color="auto" w:fill="auto"/>
                  <w:vAlign w:val="center"/>
                </w:tcPr>
                <w:p w14:paraId="77D0DFA1">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bidi="ar-SA"/>
                    </w:rPr>
                    <w:t>0.001</w:t>
                  </w:r>
                </w:p>
              </w:tc>
              <w:tc>
                <w:tcPr>
                  <w:tcW w:w="1553" w:type="pct"/>
                  <w:tcBorders>
                    <w:tl2br w:val="nil"/>
                    <w:tr2bl w:val="nil"/>
                  </w:tcBorders>
                  <w:shd w:val="clear" w:color="auto" w:fill="auto"/>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6</w:t>
                  </w:r>
                </w:p>
              </w:tc>
              <w:tc>
                <w:tcPr>
                  <w:tcW w:w="522" w:type="pct"/>
                  <w:tcBorders>
                    <w:tl2br w:val="nil"/>
                    <w:tr2bl w:val="nil"/>
                  </w:tcBorders>
                  <w:shd w:val="clear" w:color="auto" w:fill="auto"/>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2" w:type="pct"/>
                  <w:tcBorders>
                    <w:tl2br w:val="nil"/>
                    <w:tr2bl w:val="nil"/>
                  </w:tcBorders>
                  <w:shd w:val="clear" w:color="auto" w:fill="auto"/>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3DCF4FB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0.9</w:t>
                  </w:r>
                </w:p>
              </w:tc>
              <w:tc>
                <w:tcPr>
                  <w:tcW w:w="471" w:type="pct"/>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0.2</w:t>
                  </w:r>
                </w:p>
              </w:tc>
              <w:tc>
                <w:tcPr>
                  <w:tcW w:w="1553" w:type="pct"/>
                  <w:tcBorders>
                    <w:tl2br w:val="nil"/>
                    <w:tr2bl w:val="nil"/>
                  </w:tcBorders>
                  <w:shd w:val="clear" w:color="auto" w:fill="auto"/>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7</w:t>
                  </w:r>
                </w:p>
              </w:tc>
              <w:tc>
                <w:tcPr>
                  <w:tcW w:w="522" w:type="pct"/>
                  <w:tcBorders>
                    <w:tl2br w:val="nil"/>
                    <w:tr2bl w:val="nil"/>
                  </w:tcBorders>
                  <w:shd w:val="clear" w:color="auto" w:fill="auto"/>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2" w:type="pct"/>
                  <w:tcBorders>
                    <w:tl2br w:val="nil"/>
                    <w:tr2bl w:val="nil"/>
                  </w:tcBorders>
                  <w:shd w:val="clear" w:color="auto" w:fill="auto"/>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5BBEB7D0">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0.0045</w:t>
                  </w:r>
                </w:p>
              </w:tc>
              <w:tc>
                <w:tcPr>
                  <w:tcW w:w="471" w:type="pct"/>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0.0032</w:t>
                  </w:r>
                </w:p>
              </w:tc>
              <w:tc>
                <w:tcPr>
                  <w:tcW w:w="1553" w:type="pct"/>
                  <w:tcBorders>
                    <w:tl2br w:val="nil"/>
                    <w:tr2bl w:val="nil"/>
                  </w:tcBorders>
                  <w:shd w:val="clear" w:color="auto" w:fill="auto"/>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由施工单位（五普40837HB）处置。未产生二次污染</w:t>
                  </w:r>
                </w:p>
              </w:tc>
              <w:tc>
                <w:tcPr>
                  <w:tcW w:w="1308" w:type="pct"/>
                  <w:vMerge w:val="continue"/>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8</w:t>
                  </w:r>
                </w:p>
              </w:tc>
              <w:tc>
                <w:tcPr>
                  <w:tcW w:w="522"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废过硫酸钾包装袋</w:t>
                  </w:r>
                </w:p>
              </w:tc>
              <w:tc>
                <w:tcPr>
                  <w:tcW w:w="272"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09E1736D">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0.0015</w:t>
                  </w:r>
                </w:p>
              </w:tc>
              <w:tc>
                <w:tcPr>
                  <w:tcW w:w="471" w:type="pct"/>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0.0005</w:t>
                  </w:r>
                </w:p>
              </w:tc>
              <w:tc>
                <w:tcPr>
                  <w:tcW w:w="1553"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1656DF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37676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9</w:t>
                  </w:r>
                </w:p>
              </w:tc>
              <w:tc>
                <w:tcPr>
                  <w:tcW w:w="522" w:type="pct"/>
                  <w:shd w:val="clear" w:color="auto" w:fill="auto"/>
                  <w:vAlign w:val="center"/>
                </w:tcPr>
                <w:p w14:paraId="769515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废含油抹布</w:t>
                  </w:r>
                </w:p>
              </w:tc>
              <w:tc>
                <w:tcPr>
                  <w:tcW w:w="272" w:type="pct"/>
                  <w:shd w:val="clear" w:color="auto" w:fill="auto"/>
                  <w:vAlign w:val="center"/>
                </w:tcPr>
                <w:p w14:paraId="74DA9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B084EE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0.03</w:t>
                  </w:r>
                </w:p>
              </w:tc>
              <w:tc>
                <w:tcPr>
                  <w:tcW w:w="471" w:type="pct"/>
                  <w:shd w:val="clear" w:color="auto" w:fill="auto"/>
                  <w:vAlign w:val="center"/>
                </w:tcPr>
                <w:p w14:paraId="27671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0.01</w:t>
                  </w:r>
                </w:p>
              </w:tc>
              <w:tc>
                <w:tcPr>
                  <w:tcW w:w="1553" w:type="pct"/>
                  <w:shd w:val="clear" w:color="auto" w:fill="auto"/>
                  <w:vAlign w:val="center"/>
                </w:tcPr>
                <w:p w14:paraId="3FE98D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397BD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10</w:t>
                  </w:r>
                </w:p>
              </w:tc>
              <w:tc>
                <w:tcPr>
                  <w:tcW w:w="522" w:type="pct"/>
                  <w:shd w:val="clear" w:color="auto" w:fill="auto"/>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含油岩屑</w:t>
                  </w:r>
                </w:p>
              </w:tc>
              <w:tc>
                <w:tcPr>
                  <w:tcW w:w="272" w:type="pct"/>
                  <w:shd w:val="clear" w:color="auto" w:fill="auto"/>
                  <w:vAlign w:val="center"/>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40B0106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cs="Times New Roman"/>
                      <w:color w:val="auto"/>
                      <w:sz w:val="21"/>
                      <w:szCs w:val="21"/>
                      <w:highlight w:val="none"/>
                      <w:lang w:val="en-US" w:eastAsia="zh-CN" w:bidi="ar-SA"/>
                    </w:rPr>
                    <w:t>29.4</w:t>
                  </w:r>
                </w:p>
              </w:tc>
              <w:tc>
                <w:tcPr>
                  <w:tcW w:w="471" w:type="pct"/>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1.4</w:t>
                  </w:r>
                </w:p>
              </w:tc>
              <w:tc>
                <w:tcPr>
                  <w:tcW w:w="1553" w:type="pct"/>
                  <w:tcBorders>
                    <w:bottom w:val="single" w:color="auto" w:sz="4" w:space="0"/>
                  </w:tcBorders>
                  <w:shd w:val="clear" w:color="auto" w:fill="auto"/>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bottom w:val="single" w:color="auto" w:sz="4" w:space="0"/>
                  </w:tcBorders>
                  <w:shd w:val="clear" w:color="auto" w:fill="auto"/>
                  <w:vAlign w:val="top"/>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ECCDD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27A77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11</w:t>
                  </w:r>
                </w:p>
              </w:tc>
              <w:tc>
                <w:tcPr>
                  <w:tcW w:w="522" w:type="pct"/>
                  <w:shd w:val="clear" w:color="auto" w:fill="auto"/>
                  <w:vAlign w:val="center"/>
                </w:tcPr>
                <w:p w14:paraId="538BF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2" w:type="pct"/>
                  <w:shd w:val="clear" w:color="auto" w:fill="auto"/>
                  <w:vAlign w:val="center"/>
                </w:tcPr>
                <w:p w14:paraId="14B3A0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09364274">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1.05</w:t>
                  </w:r>
                </w:p>
              </w:tc>
              <w:tc>
                <w:tcPr>
                  <w:tcW w:w="471" w:type="pct"/>
                  <w:shd w:val="clear" w:color="auto" w:fill="auto"/>
                  <w:vAlign w:val="center"/>
                </w:tcPr>
                <w:p w14:paraId="371B7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0.54</w:t>
                  </w:r>
                </w:p>
              </w:tc>
              <w:tc>
                <w:tcPr>
                  <w:tcW w:w="1553" w:type="pct"/>
                  <w:tcBorders>
                    <w:top w:val="single" w:color="auto" w:sz="4" w:space="0"/>
                  </w:tcBorders>
                  <w:shd w:val="clear" w:color="auto" w:fill="auto"/>
                  <w:vAlign w:val="center"/>
                </w:tcPr>
                <w:p w14:paraId="1C8AD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未产生</w:t>
                  </w:r>
                </w:p>
              </w:tc>
              <w:tc>
                <w:tcPr>
                  <w:tcW w:w="1308" w:type="pct"/>
                  <w:tcBorders>
                    <w:top w:val="single" w:color="auto" w:sz="4" w:space="0"/>
                  </w:tcBorders>
                  <w:shd w:val="clear" w:color="auto" w:fill="auto"/>
                  <w:vAlign w:val="center"/>
                </w:tcPr>
                <w:p w14:paraId="1B16BC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w:t>
                  </w:r>
                </w:p>
              </w:tc>
            </w:tr>
            <w:tr w14:paraId="7D0048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6F111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12</w:t>
                  </w:r>
                </w:p>
              </w:tc>
              <w:tc>
                <w:tcPr>
                  <w:tcW w:w="522" w:type="pct"/>
                  <w:shd w:val="clear" w:color="auto" w:fill="auto"/>
                  <w:vAlign w:val="center"/>
                </w:tcPr>
                <w:p w14:paraId="2ABDE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2" w:type="pct"/>
                  <w:shd w:val="clear" w:color="auto" w:fill="auto"/>
                  <w:vAlign w:val="center"/>
                </w:tcPr>
                <w:p w14:paraId="44902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6FC3131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少量</w:t>
                  </w:r>
                </w:p>
              </w:tc>
              <w:tc>
                <w:tcPr>
                  <w:tcW w:w="471" w:type="pct"/>
                  <w:shd w:val="clear" w:color="auto" w:fill="auto"/>
                  <w:vAlign w:val="center"/>
                </w:tcPr>
                <w:p w14:paraId="6F896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w:t>
                  </w:r>
                </w:p>
              </w:tc>
              <w:tc>
                <w:tcPr>
                  <w:tcW w:w="1553" w:type="pct"/>
                  <w:shd w:val="clear" w:color="auto" w:fill="auto"/>
                  <w:vAlign w:val="center"/>
                </w:tcPr>
                <w:p w14:paraId="3023A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1308" w:type="pct"/>
                  <w:shd w:val="clear" w:color="auto" w:fill="auto"/>
                  <w:vAlign w:val="center"/>
                </w:tcPr>
                <w:p w14:paraId="32E71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w:t>
                  </w:r>
                </w:p>
              </w:tc>
            </w:tr>
            <w:tr w14:paraId="7DF317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7AC48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13</w:t>
                  </w:r>
                </w:p>
              </w:tc>
              <w:tc>
                <w:tcPr>
                  <w:tcW w:w="522" w:type="pct"/>
                  <w:shd w:val="clear" w:color="auto" w:fill="auto"/>
                  <w:vAlign w:val="center"/>
                </w:tcPr>
                <w:p w14:paraId="10E1D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w:t>
                  </w:r>
                  <w:r>
                    <w:rPr>
                      <w:rFonts w:hint="eastAsia" w:ascii="Times New Roman" w:hAnsi="Times New Roman" w:eastAsia="宋体" w:cs="Times New Roman"/>
                      <w:color w:val="auto"/>
                      <w:spacing w:val="0"/>
                      <w:sz w:val="21"/>
                      <w:szCs w:val="21"/>
                      <w:highlight w:val="none"/>
                      <w:lang w:val="en-US" w:eastAsia="zh-CN"/>
                    </w:rPr>
                    <w:t>、废润滑油</w:t>
                  </w:r>
                </w:p>
              </w:tc>
              <w:tc>
                <w:tcPr>
                  <w:tcW w:w="272" w:type="pct"/>
                  <w:shd w:val="clear" w:color="auto" w:fill="auto"/>
                  <w:vAlign w:val="center"/>
                </w:tcPr>
                <w:p w14:paraId="20048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3875A52A">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0.6</w:t>
                  </w:r>
                </w:p>
              </w:tc>
              <w:tc>
                <w:tcPr>
                  <w:tcW w:w="471" w:type="pct"/>
                  <w:shd w:val="clear" w:color="auto" w:fill="auto"/>
                  <w:vAlign w:val="center"/>
                </w:tcPr>
                <w:p w14:paraId="56B10D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w:t>
                  </w:r>
                </w:p>
              </w:tc>
              <w:tc>
                <w:tcPr>
                  <w:tcW w:w="1553" w:type="pct"/>
                  <w:shd w:val="clear" w:color="auto" w:fill="auto"/>
                  <w:vAlign w:val="center"/>
                </w:tcPr>
                <w:p w14:paraId="315ED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w:t>
                  </w:r>
                  <w:r>
                    <w:rPr>
                      <w:rFonts w:hint="eastAsia" w:ascii="Times New Roman" w:hAnsi="Times New Roman" w:eastAsia="宋体" w:cs="Times New Roman"/>
                      <w:bCs/>
                      <w:color w:val="auto"/>
                      <w:sz w:val="21"/>
                      <w:szCs w:val="21"/>
                      <w:highlight w:val="none"/>
                      <w:lang w:val="en-US" w:eastAsia="zh-CN" w:bidi="ar-SA"/>
                    </w:rPr>
                    <w:t>运至</w:t>
                  </w:r>
                  <w:r>
                    <w:rPr>
                      <w:rFonts w:hint="default" w:ascii="Times New Roman" w:hAnsi="Times New Roman" w:eastAsia="宋体" w:cs="Times New Roman"/>
                      <w:bCs/>
                      <w:color w:val="auto"/>
                      <w:sz w:val="21"/>
                      <w:szCs w:val="21"/>
                      <w:highlight w:val="none"/>
                      <w:lang w:val="en-US" w:eastAsia="zh-CN" w:bidi="ar-SA"/>
                    </w:rPr>
                    <w:t>就近的</w:t>
                  </w:r>
                  <w:r>
                    <w:rPr>
                      <w:rFonts w:hint="eastAsia" w:ascii="Times New Roman" w:hAnsi="Times New Roman" w:eastAsia="宋体" w:cs="Times New Roman"/>
                      <w:bCs/>
                      <w:color w:val="auto"/>
                      <w:sz w:val="21"/>
                      <w:szCs w:val="21"/>
                      <w:highlight w:val="none"/>
                      <w:lang w:val="en-US" w:eastAsia="zh-CN" w:bidi="ar-SA"/>
                    </w:rPr>
                    <w:t>垃圾中转站</w:t>
                  </w:r>
                  <w:r>
                    <w:rPr>
                      <w:rFonts w:hint="default" w:ascii="Times New Roman" w:hAnsi="Times New Roman" w:eastAsia="宋体" w:cs="Times New Roman"/>
                      <w:bCs/>
                      <w:color w:val="auto"/>
                      <w:sz w:val="21"/>
                      <w:szCs w:val="21"/>
                      <w:highlight w:val="none"/>
                      <w:lang w:val="en-US" w:eastAsia="zh-CN" w:bidi="ar-SA"/>
                    </w:rPr>
                    <w:t>，未产生二次污染</w:t>
                  </w:r>
                </w:p>
              </w:tc>
              <w:tc>
                <w:tcPr>
                  <w:tcW w:w="1308" w:type="pct"/>
                  <w:shd w:val="clear" w:color="auto" w:fill="auto"/>
                  <w:vAlign w:val="top"/>
                </w:tcPr>
                <w:p w14:paraId="4F2D8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sz w:val="21"/>
                      <w:szCs w:val="21"/>
                      <w:lang w:val="en-US" w:eastAsia="zh-CN"/>
                    </w:rPr>
                    <w:t>较环评预估值减少，</w:t>
                  </w:r>
                  <w:r>
                    <w:rPr>
                      <w:rFonts w:hint="default" w:ascii="Times New Roman" w:hAnsi="Times New Roman" w:eastAsia="宋体" w:cs="Times New Roman"/>
                      <w:sz w:val="21"/>
                      <w:szCs w:val="21"/>
                      <w:lang w:val="en-US" w:eastAsia="zh-CN"/>
                    </w:rPr>
                    <w:t>均得到了有效处置</w:t>
                  </w:r>
                  <w:r>
                    <w:rPr>
                      <w:rFonts w:hint="eastAsia" w:ascii="Times New Roman" w:hAnsi="Times New Roman" w:eastAsia="宋体" w:cs="Times New Roman"/>
                      <w:sz w:val="21"/>
                      <w:szCs w:val="21"/>
                      <w:lang w:val="en-US" w:eastAsia="zh-CN"/>
                    </w:rPr>
                    <w:t>，不属于重大变更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7966C74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default" w:ascii="Times New Roman" w:hAnsi="Times New Roman" w:eastAsia="宋体" w:cs="Times New Roman"/>
                <w:color w:val="auto"/>
                <w:spacing w:val="0"/>
                <w:w w:val="100"/>
                <w:sz w:val="24"/>
                <w:szCs w:val="24"/>
                <w:highlight w:val="none"/>
                <w:lang w:val="en-US" w:eastAsia="zh-CN" w:bidi="ar-SA"/>
              </w:rPr>
              <w:t>施工结束后，对施工场地进行了及时回填，平整地面，并覆土进行了井场四周植被恢复；</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④合理组织施工方式，土方施工中，选择了合理的施工方式，挖高填低，做到土方平衡；施工临时占地及时进行了回填及平整，防止水土流失。</w:t>
            </w:r>
          </w:p>
          <w:p w14:paraId="30F1A9D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钻井及试油</w:t>
            </w:r>
            <w:r>
              <w:rPr>
                <w:rFonts w:hint="eastAsia" w:ascii="Times New Roman" w:hAnsi="Times New Roman" w:eastAsia="宋体" w:cs="Times New Roman"/>
                <w:color w:val="auto"/>
                <w:spacing w:val="0"/>
                <w:w w:val="100"/>
                <w:sz w:val="24"/>
                <w:szCs w:val="24"/>
                <w:highlight w:val="none"/>
                <w:lang w:val="en-US" w:eastAsia="zh-CN" w:bidi="ar-SA"/>
              </w:rPr>
              <w:t>、气</w:t>
            </w:r>
            <w:r>
              <w:rPr>
                <w:rFonts w:hint="default" w:ascii="Times New Roman" w:hAnsi="Times New Roman" w:eastAsia="宋体" w:cs="Times New Roman"/>
                <w:color w:val="auto"/>
                <w:spacing w:val="0"/>
                <w:w w:val="100"/>
                <w:sz w:val="24"/>
                <w:szCs w:val="24"/>
                <w:highlight w:val="none"/>
                <w:lang w:val="en-US" w:eastAsia="zh-CN" w:bidi="ar-SA"/>
              </w:rPr>
              <w:t>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w:t>
            </w:r>
            <w:r>
              <w:rPr>
                <w:rFonts w:hint="eastAsia" w:ascii="Times New Roman" w:hAnsi="Times New Roman" w:eastAsia="宋体" w:cs="Times New Roman"/>
                <w:color w:val="auto"/>
                <w:spacing w:val="0"/>
                <w:w w:val="100"/>
                <w:sz w:val="24"/>
                <w:szCs w:val="24"/>
                <w:highlight w:val="none"/>
                <w:lang w:val="en-US" w:eastAsia="zh-CN" w:bidi="ar-SA"/>
              </w:rPr>
              <w:t xml:space="preserve">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z w:val="24"/>
                <w:lang w:val="en-US" w:eastAsia="zh-CN"/>
              </w:rPr>
              <w:t>JH55P2井场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具有开采利用价值，已临时关井、待转产。本次竣工环保验收调查仅针对勘探井钻井及试油工程。</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根据现场调查及了解，施工期</w:t>
            </w:r>
            <w:r>
              <w:rPr>
                <w:rFonts w:hint="eastAsia" w:ascii="Times New Roman" w:hAnsi="Times New Roman" w:eastAsia="宋体" w:cs="Times New Roman"/>
                <w:color w:val="auto"/>
                <w:spacing w:val="0"/>
                <w:w w:val="100"/>
                <w:sz w:val="24"/>
                <w:szCs w:val="24"/>
                <w:highlight w:val="none"/>
                <w:lang w:val="en-US" w:eastAsia="zh-CN" w:bidi="ar-SA"/>
              </w:rPr>
              <w:t>建设单位</w:t>
            </w:r>
            <w:r>
              <w:rPr>
                <w:rFonts w:hint="default" w:ascii="Times New Roman" w:hAnsi="Times New Roman" w:eastAsia="宋体" w:cs="Times New Roman"/>
                <w:color w:val="auto"/>
                <w:spacing w:val="0"/>
                <w:w w:val="100"/>
                <w:sz w:val="24"/>
                <w:szCs w:val="24"/>
                <w:highlight w:val="none"/>
                <w:lang w:val="en-US" w:eastAsia="zh-CN" w:bidi="ar-SA"/>
              </w:rPr>
              <w:t xml:space="preserve">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w:t>
            </w:r>
            <w:r>
              <w:rPr>
                <w:rFonts w:hint="eastAsia" w:ascii="Times New Roman" w:hAnsi="Times New Roman" w:eastAsia="宋体" w:cs="Times New Roman"/>
                <w:color w:val="auto"/>
                <w:spacing w:val="0"/>
                <w:w w:val="100"/>
                <w:sz w:val="24"/>
                <w:szCs w:val="24"/>
                <w:highlight w:val="none"/>
                <w:lang w:val="en-US" w:eastAsia="zh-CN" w:bidi="ar-SA"/>
              </w:rPr>
              <w:t>石油</w:t>
            </w:r>
            <w:r>
              <w:rPr>
                <w:rFonts w:hint="default" w:ascii="Times New Roman" w:hAnsi="Times New Roman" w:eastAsia="宋体" w:cs="Times New Roman"/>
                <w:color w:val="auto"/>
                <w:spacing w:val="0"/>
                <w:w w:val="100"/>
                <w:sz w:val="24"/>
                <w:szCs w:val="24"/>
                <w:highlight w:val="none"/>
                <w:lang w:val="en-US" w:eastAsia="zh-CN" w:bidi="ar-SA"/>
              </w:rPr>
              <w:t>泄漏事故制定了相关的风险防范措施并进行了落实，定期组织进行学习与培训；同时</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w:t>
            </w:r>
            <w:r>
              <w:rPr>
                <w:rFonts w:hint="eastAsia" w:ascii="Times New Roman" w:hAnsi="Times New Roman" w:eastAsia="宋体" w:cs="Times New Roman"/>
                <w:color w:val="auto"/>
                <w:spacing w:val="0"/>
                <w:w w:val="100"/>
                <w:sz w:val="24"/>
                <w:szCs w:val="24"/>
                <w:highlight w:val="none"/>
                <w:lang w:val="en-US" w:eastAsia="zh-CN" w:bidi="ar-SA"/>
              </w:rPr>
              <w:t>，并于2023年1月11日取得了庆阳市生态环境局宁县分局预案备案文件，并按照预案中相关应急措施进行定期演练。该应急预案修编日期为2026年1月11日，在本项目验收时间范围内。本项目</w:t>
            </w:r>
            <w:r>
              <w:rPr>
                <w:rFonts w:hint="default" w:ascii="Times New Roman" w:hAnsi="Times New Roman" w:eastAsia="宋体" w:cs="Times New Roman"/>
                <w:color w:val="auto"/>
                <w:spacing w:val="0"/>
                <w:w w:val="100"/>
                <w:sz w:val="24"/>
                <w:szCs w:val="24"/>
                <w:highlight w:val="none"/>
                <w:lang w:val="en-US" w:eastAsia="zh-CN" w:bidi="ar-SA"/>
              </w:rPr>
              <w:t>针对预案中相关应急措施进行定期演练</w:t>
            </w:r>
            <w:r>
              <w:rPr>
                <w:rFonts w:hint="eastAsia" w:ascii="Times New Roman" w:hAnsi="Times New Roman" w:eastAsia="宋体" w:cs="Times New Roman"/>
                <w:color w:val="auto"/>
                <w:spacing w:val="0"/>
                <w:w w:val="100"/>
                <w:sz w:val="24"/>
                <w:szCs w:val="24"/>
                <w:highlight w:val="none"/>
                <w:lang w:val="en-US" w:eastAsia="zh-CN" w:bidi="ar-SA"/>
              </w:rPr>
              <w:t>。</w:t>
            </w:r>
          </w:p>
          <w:p w14:paraId="1235D3C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目前</w:t>
            </w:r>
            <w:r>
              <w:rPr>
                <w:rFonts w:hint="eastAsia" w:ascii="Times New Roman" w:hAnsi="Times New Roman" w:eastAsia="宋体" w:cs="Times New Roman"/>
                <w:color w:val="auto"/>
                <w:spacing w:val="0"/>
                <w:w w:val="100"/>
                <w:sz w:val="24"/>
                <w:szCs w:val="24"/>
                <w:highlight w:val="none"/>
                <w:lang w:val="en-US" w:eastAsia="zh-CN" w:bidi="ar-SA"/>
              </w:rPr>
              <w:t>，</w:t>
            </w:r>
            <w:r>
              <w:rPr>
                <w:rFonts w:hint="eastAsia" w:ascii="Times New Roman" w:hAnsi="Times New Roman" w:eastAsia="宋体" w:cs="Times New Roman"/>
                <w:color w:val="auto"/>
                <w:sz w:val="24"/>
                <w:lang w:val="en-US" w:eastAsia="zh-CN"/>
              </w:rPr>
              <w:t>JH55P2</w:t>
            </w:r>
            <w:r>
              <w:rPr>
                <w:rFonts w:hint="eastAsia" w:ascii="Times New Roman" w:hAnsi="Times New Roman" w:eastAsia="宋体" w:cs="Times New Roman"/>
                <w:color w:val="auto"/>
                <w:spacing w:val="0"/>
                <w:w w:val="100"/>
                <w:sz w:val="24"/>
                <w:szCs w:val="24"/>
                <w:highlight w:val="none"/>
                <w:lang w:val="en-US" w:eastAsia="zh-CN" w:bidi="ar-SA"/>
              </w:rPr>
              <w:t>井场具有开采利用价值，已临时关井、待转产。</w:t>
            </w:r>
            <w:r>
              <w:rPr>
                <w:rFonts w:hint="default" w:ascii="Times New Roman" w:hAnsi="Times New Roman" w:eastAsia="宋体" w:cs="Times New Roman"/>
                <w:color w:val="auto"/>
                <w:spacing w:val="0"/>
                <w:w w:val="100"/>
                <w:sz w:val="24"/>
                <w:szCs w:val="24"/>
                <w:highlight w:val="none"/>
                <w:lang w:val="en-US" w:eastAsia="zh-CN" w:bidi="ar-SA"/>
              </w:rPr>
              <w:t>未发生过井漏、井喷的情况</w:t>
            </w:r>
            <w:r>
              <w:rPr>
                <w:rFonts w:hint="eastAsia" w:ascii="Times New Roman" w:hAnsi="Times New Roman" w:eastAsia="宋体" w:cs="Times New Roman"/>
                <w:color w:val="auto"/>
                <w:spacing w:val="0"/>
                <w:w w:val="100"/>
                <w:sz w:val="24"/>
                <w:szCs w:val="24"/>
                <w:highlight w:val="none"/>
                <w:lang w:val="en-US" w:eastAsia="zh-CN" w:bidi="ar-SA"/>
              </w:rPr>
              <w:t>。</w:t>
            </w:r>
          </w:p>
          <w:p w14:paraId="10D5A6E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p>
          <w:p w14:paraId="04195F5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232A5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CF4CA7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FF38E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28795CA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4EB51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F1A60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685F3DC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2AEFFD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1978579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9831D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87CEB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tc>
      </w:tr>
    </w:tbl>
    <w:p w14:paraId="761F42F7">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5" w:name="_Toc12219"/>
      <w:r>
        <w:rPr>
          <w:rFonts w:hint="eastAsia"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eastAsia" w:ascii="Times New Roman" w:hAnsi="Times New Roman" w:eastAsia="宋体" w:cs="Times New Roman"/>
                <w:color w:val="auto"/>
                <w:sz w:val="24"/>
                <w:szCs w:val="32"/>
                <w:lang w:val="en-US" w:eastAsia="zh-CN"/>
              </w:rPr>
            </w:pPr>
            <w:r>
              <w:rPr>
                <w:rFonts w:hint="eastAsia" w:ascii="Times New Roman" w:hAnsi="Times New Roman" w:eastAsia="宋体" w:cs="Times New Roman"/>
                <w:color w:val="auto"/>
                <w:sz w:val="24"/>
                <w:szCs w:val="32"/>
                <w:lang w:val="en-US" w:eastAsia="zh-CN"/>
              </w:rPr>
              <w:t>根据甘肃卉昕朋环保科技有限公司于</w:t>
            </w:r>
            <w:r>
              <w:rPr>
                <w:rFonts w:hint="eastAsia" w:ascii="Times New Roman" w:hAnsi="Times New Roman" w:eastAsia="宋体" w:cs="Times New Roman"/>
                <w:color w:val="FF0000"/>
                <w:sz w:val="24"/>
                <w:szCs w:val="32"/>
                <w:lang w:val="en-US" w:eastAsia="zh-CN"/>
              </w:rPr>
              <w:t>2023年9月</w:t>
            </w:r>
            <w:r>
              <w:rPr>
                <w:rFonts w:hint="eastAsia" w:ascii="Times New Roman" w:hAnsi="Times New Roman" w:eastAsia="宋体" w:cs="Times New Roman"/>
                <w:color w:val="auto"/>
                <w:sz w:val="24"/>
                <w:szCs w:val="32"/>
                <w:lang w:val="en-US" w:eastAsia="zh-CN"/>
              </w:rPr>
              <w:t>编制的《华北油气分公司采油一厂JH55P2等3宗评价井建设项目》中关于项目施工期生态、声、大气、水、固体废物等环境影响的分析，本次环境影响评价回顾如下：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主要建设3宗勘探井，建设内容包括钻前工程（建设内容主要为井场的平整、临时办公生活区的建设等）、钻井工程（建设内容主要为钻井、测井、录井、固井等）及完井测试（主要包括完井作业和油测试，洗井、射孔、压裂、试油等）。前期主要进行油井勘探，通过完井测试评价油藏情况，本次环评不包含井场建设和采油生产，当评价井需要转采油井时，纳入区域产能环评中进一步办理环评手续。本项目总投资1300万元，其中环保投资约189.7万元，占总投资的14.6%。</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 xml:space="preserve">5.2施工期环境影响回顾                                                                                  </w:t>
            </w:r>
          </w:p>
          <w:p w14:paraId="70362D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34E79F8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zh-CN" w:eastAsia="zh-CN"/>
              </w:rPr>
            </w:pPr>
            <w:r>
              <w:rPr>
                <w:rFonts w:hint="eastAsia" w:ascii="Times New Roman" w:hAnsi="Times New Roman" w:eastAsia="宋体" w:cs="Times New Roman"/>
                <w:color w:val="auto"/>
                <w:spacing w:val="0"/>
                <w:sz w:val="24"/>
                <w:szCs w:val="24"/>
                <w:highlight w:val="none"/>
                <w:lang w:val="zh-CN"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eastAsia" w:ascii="Times New Roman" w:hAnsi="Times New Roman" w:eastAsia="宋体" w:cs="Times New Roman"/>
                <w:color w:val="auto"/>
                <w:spacing w:val="0"/>
                <w:sz w:val="24"/>
                <w:szCs w:val="24"/>
                <w:highlight w:val="none"/>
                <w:lang w:val="en-US" w:eastAsia="zh-CN"/>
              </w:rPr>
              <w:t>洗井废水：</w:t>
            </w:r>
            <w:r>
              <w:rPr>
                <w:rFonts w:hint="eastAsia" w:ascii="Times New Roman" w:hAnsi="Times New Roman" w:eastAsia="宋体" w:cs="Times New Roman"/>
                <w:color w:val="auto"/>
                <w:spacing w:val="0"/>
                <w:sz w:val="24"/>
                <w:szCs w:val="24"/>
                <w:highlight w:val="none"/>
                <w:lang w:val="zh-CN" w:eastAsia="zh-CN"/>
              </w:rPr>
              <w:t>统一拉运至泾河8撬装式水净化站达标后回注，不外排。</w:t>
            </w:r>
            <w:r>
              <w:rPr>
                <w:rFonts w:hint="eastAsia" w:ascii="Times New Roman" w:hAnsi="Times New Roman" w:eastAsia="宋体" w:cs="Times New Roman"/>
                <w:color w:val="auto"/>
                <w:spacing w:val="0"/>
                <w:sz w:val="24"/>
                <w:szCs w:val="24"/>
                <w:highlight w:val="none"/>
                <w:lang w:val="en-US" w:eastAsia="zh-CN"/>
              </w:rPr>
              <w:t>井下作业废水</w:t>
            </w:r>
            <w:r>
              <w:rPr>
                <w:rFonts w:hint="eastAsia" w:ascii="Times New Roman" w:hAnsi="Times New Roman" w:eastAsia="宋体" w:cs="Times New Roman"/>
                <w:color w:val="auto"/>
                <w:spacing w:val="0"/>
                <w:sz w:val="24"/>
                <w:szCs w:val="24"/>
                <w:highlight w:val="none"/>
                <w:lang w:val="zh-CN" w:eastAsia="zh-CN"/>
              </w:rPr>
              <w:t>：压裂返排液全部回收入罐，优先在井场内进行再利用，无法利用的统一拉运至泾河8撬装式水净化站处理达标后回注，不外排；生活污水：设置移动式环保</w:t>
            </w:r>
            <w:r>
              <w:rPr>
                <w:rFonts w:hint="eastAsia" w:ascii="Times New Roman" w:hAnsi="Times New Roman" w:eastAsia="宋体" w:cs="Times New Roman"/>
                <w:color w:val="auto"/>
                <w:spacing w:val="0"/>
                <w:sz w:val="24"/>
                <w:szCs w:val="24"/>
                <w:highlight w:val="none"/>
                <w:lang w:val="en-US" w:eastAsia="zh-CN"/>
              </w:rPr>
              <w:t>厕所</w:t>
            </w:r>
            <w:r>
              <w:rPr>
                <w:rFonts w:hint="eastAsia" w:ascii="Times New Roman" w:hAnsi="Times New Roman" w:eastAsia="宋体" w:cs="Times New Roman"/>
                <w:color w:val="auto"/>
                <w:spacing w:val="0"/>
                <w:sz w:val="24"/>
                <w:szCs w:val="24"/>
                <w:highlight w:val="none"/>
                <w:lang w:val="zh-CN" w:eastAsia="zh-CN"/>
              </w:rPr>
              <w:t>，粪便定期清运作为附近村庄农家肥使用，不外排；少量盥洗类生活污水用于站场洒水抑尘；初期雨水：初期雨水：在井场周围设置雨水导排渠，井场内设置30m</w:t>
            </w:r>
            <w:r>
              <w:rPr>
                <w:rFonts w:hint="eastAsia" w:ascii="Times New Roman" w:hAnsi="Times New Roman" w:eastAsia="宋体" w:cs="Times New Roman"/>
                <w:color w:val="auto"/>
                <w:spacing w:val="0"/>
                <w:sz w:val="24"/>
                <w:szCs w:val="24"/>
                <w:highlight w:val="none"/>
                <w:vertAlign w:val="superscript"/>
                <w:lang w:val="zh-CN" w:eastAsia="zh-CN"/>
              </w:rPr>
              <w:t>3</w:t>
            </w:r>
            <w:r>
              <w:rPr>
                <w:rFonts w:hint="eastAsia" w:ascii="Times New Roman" w:hAnsi="Times New Roman" w:eastAsia="宋体" w:cs="Times New Roman"/>
                <w:color w:val="auto"/>
                <w:spacing w:val="0"/>
                <w:sz w:val="24"/>
                <w:szCs w:val="24"/>
                <w:highlight w:val="none"/>
                <w:lang w:val="zh-CN" w:eastAsia="zh-CN"/>
              </w:rPr>
              <w:t>初期雨水收集罐。</w:t>
            </w:r>
          </w:p>
          <w:p w14:paraId="54621F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w:t>
            </w:r>
            <w:r>
              <w:rPr>
                <w:rFonts w:hint="eastAsia" w:ascii="Times New Roman" w:hAnsi="Times New Roman" w:eastAsia="宋体" w:cs="Times New Roman"/>
                <w:color w:val="auto"/>
                <w:spacing w:val="0"/>
                <w:sz w:val="24"/>
                <w:szCs w:val="24"/>
                <w:highlight w:val="none"/>
                <w:lang w:val="en-US" w:eastAsia="zh-CN"/>
              </w:rPr>
              <w:t>及土壤</w:t>
            </w:r>
            <w:r>
              <w:rPr>
                <w:rFonts w:hint="default" w:ascii="Times New Roman" w:hAnsi="Times New Roman" w:eastAsia="宋体" w:cs="Times New Roman"/>
                <w:color w:val="auto"/>
                <w:spacing w:val="0"/>
                <w:sz w:val="24"/>
                <w:szCs w:val="24"/>
                <w:highlight w:val="none"/>
                <w:lang w:val="en-US" w:eastAsia="zh-CN"/>
              </w:rPr>
              <w:t>环境影响</w:t>
            </w:r>
          </w:p>
          <w:p w14:paraId="6F9D31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eastAsia="宋体" w:cs="Times New Roman"/>
                <w:color w:val="auto"/>
                <w:spacing w:val="0"/>
                <w:sz w:val="24"/>
                <w:szCs w:val="24"/>
                <w:highlight w:val="none"/>
                <w:lang w:val="en-US" w:eastAsia="zh-CN"/>
              </w:rPr>
              <w:t>。</w:t>
            </w:r>
          </w:p>
          <w:p w14:paraId="0A1705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056306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施工扬尘：井场洒水抑尘，表土及建材堆放设置挡板、上覆遮盖材料，施工运输车辆采取密闭措施或加盖防尘布，临时道路配备洒水车定期洒水抑尘；</w:t>
            </w:r>
          </w:p>
          <w:p w14:paraId="0B1993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柴油发电机燃烧烟气：选用环保型柴油发电机，使用优质轻柴油，简易排气筒排放；排气管朝向避开农户分布及项目区工作人员办公生活的方位；</w:t>
            </w:r>
          </w:p>
          <w:p w14:paraId="7BAC5C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伴生气：少量试油伴生气逸散；试气废气经放喷管放喷燃烧。</w:t>
            </w:r>
          </w:p>
          <w:p w14:paraId="03AE56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792833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选用低噪声设备，并对压裂车设置临时屏蔽进行隔声; 禁止夜间施工，白天施工过程中高噪声设备远离村民，对高噪声设备安装隔声挡板及减震垫，做好施工机械的维护和保养，夜间禁止施工、同时加强绿化。</w:t>
            </w:r>
          </w:p>
          <w:p w14:paraId="4892F5C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（5）固废影响</w:t>
            </w:r>
          </w:p>
          <w:p w14:paraId="25C8DD9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建筑垃圾回收利用。勘探井废过硫酸钾包装袋、废弃防渗布（沾落地油）、落地油、废机油、废润滑油、废含油抹布暂存于临时危废贮存库暂存、含油岩屑收集至油泥暂存点暂存后，定期委托有资质单位外运处置；生活垃圾经生活垃圾桶收集后，运至政府部门指定地点处置。</w:t>
            </w:r>
          </w:p>
          <w:p w14:paraId="2849652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（6）环境风险分析</w:t>
            </w:r>
          </w:p>
          <w:p w14:paraId="4E61A5B3">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设置灭火器、正压式呼吸器、便携式可燃气体检测仪等；井场厂界距居民100m范围内的是JH55P2（西北侧82m处有5户村民、东北侧71m处有9户村民），JH55P2、永平1H、永平2H井场距离干沟位置较近，评价井开钻前，以上井场周围应当设置不低于50cm的砖混围墙。</w:t>
            </w:r>
          </w:p>
          <w:p w14:paraId="6F99942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（7）生态影响分析</w:t>
            </w:r>
          </w:p>
          <w:p w14:paraId="34772F4C">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lang w:val="en-US"/>
              </w:rPr>
            </w:pPr>
            <w:r>
              <w:rPr>
                <w:rFonts w:hint="default" w:ascii="Times New Roman" w:hAnsi="Times New Roman" w:eastAsia="宋体" w:cs="Times New Roman"/>
                <w:color w:val="auto"/>
                <w:spacing w:val="0"/>
                <w:sz w:val="24"/>
                <w:szCs w:val="24"/>
                <w:highlight w:val="none"/>
                <w:lang w:val="en-US" w:eastAsia="zh-CN"/>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pacing w:val="0"/>
                <w:sz w:val="24"/>
                <w:szCs w:val="24"/>
                <w:highlight w:val="none"/>
                <w:lang w:val="en-US" w:eastAsia="zh-CN"/>
              </w:rPr>
              <w:t>。</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生态环境部门审批意见</w:t>
            </w:r>
          </w:p>
          <w:p w14:paraId="1DE0D4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庆阳市生态环境局</w:t>
            </w:r>
            <w:r>
              <w:rPr>
                <w:rFonts w:hint="default" w:ascii="Times New Roman" w:hAnsi="Times New Roman" w:eastAsia="宋体" w:cs="Times New Roman"/>
                <w:color w:val="auto"/>
                <w:spacing w:val="0"/>
                <w:sz w:val="24"/>
                <w:szCs w:val="24"/>
                <w:highlight w:val="none"/>
                <w:lang w:val="en-US" w:eastAsia="zh-CN"/>
              </w:rPr>
              <w:t>于</w:t>
            </w:r>
            <w:r>
              <w:rPr>
                <w:rFonts w:hint="eastAsia" w:ascii="Times New Roman" w:hAnsi="Times New Roman" w:eastAsia="宋体" w:cs="Times New Roman"/>
                <w:color w:val="auto"/>
                <w:spacing w:val="0"/>
                <w:sz w:val="24"/>
                <w:szCs w:val="24"/>
                <w:highlight w:val="none"/>
                <w:lang w:val="en-US" w:eastAsia="zh-CN"/>
              </w:rPr>
              <w:t>2023年10月10日</w:t>
            </w:r>
            <w:r>
              <w:rPr>
                <w:rFonts w:hint="default" w:ascii="Times New Roman" w:hAnsi="Times New Roman" w:eastAsia="宋体" w:cs="Times New Roman"/>
                <w:color w:val="auto"/>
                <w:spacing w:val="0"/>
                <w:sz w:val="24"/>
                <w:szCs w:val="24"/>
                <w:highlight w:val="none"/>
                <w:lang w:val="en-US" w:eastAsia="zh-CN"/>
              </w:rPr>
              <w:t>以</w:t>
            </w:r>
            <w:r>
              <w:rPr>
                <w:rFonts w:hint="eastAsia" w:ascii="Times New Roman" w:hAnsi="Times New Roman" w:eastAsia="宋体" w:cs="Times New Roman"/>
                <w:color w:val="auto"/>
                <w:spacing w:val="0"/>
                <w:w w:val="100"/>
                <w:kern w:val="0"/>
                <w:sz w:val="24"/>
                <w:szCs w:val="24"/>
                <w:highlight w:val="none"/>
                <w:lang w:val="en-US" w:eastAsia="zh-CN"/>
              </w:rPr>
              <w:t>庆环评表字〔2023〕153号</w:t>
            </w:r>
            <w:r>
              <w:rPr>
                <w:rFonts w:hint="default" w:ascii="Times New Roman" w:hAnsi="Times New Roman" w:eastAsia="宋体" w:cs="Times New Roman"/>
                <w:color w:val="auto"/>
                <w:spacing w:val="0"/>
                <w:sz w:val="24"/>
                <w:szCs w:val="24"/>
                <w:highlight w:val="none"/>
                <w:lang w:val="en-US" w:eastAsia="zh-CN"/>
              </w:rPr>
              <w:t>文对</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w:t>
            </w:r>
            <w:r>
              <w:rPr>
                <w:rFonts w:hint="eastAsia" w:ascii="Times New Roman" w:hAnsi="Times New Roman" w:eastAsia="宋体" w:cs="Times New Roman"/>
                <w:color w:val="auto"/>
                <w:spacing w:val="0"/>
                <w:sz w:val="24"/>
                <w:szCs w:val="24"/>
                <w:highlight w:val="none"/>
                <w:lang w:val="en-US" w:eastAsia="zh-CN"/>
              </w:rPr>
              <w:t>华北油气分公司采油一厂JH55P2等3宗评价井建设项目</w:t>
            </w:r>
            <w:r>
              <w:rPr>
                <w:rFonts w:hint="default" w:ascii="Times New Roman" w:hAnsi="Times New Roman" w:eastAsia="宋体" w:cs="Times New Roman"/>
                <w:color w:val="auto"/>
                <w:spacing w:val="0"/>
                <w:sz w:val="24"/>
                <w:szCs w:val="24"/>
                <w:highlight w:val="none"/>
                <w:lang w:val="en-US" w:eastAsia="zh-CN"/>
              </w:rPr>
              <w:t>的</w:t>
            </w:r>
            <w:r>
              <w:rPr>
                <w:rFonts w:hint="eastAsia" w:ascii="Times New Roman" w:hAnsi="Times New Roman" w:eastAsia="宋体" w:cs="Times New Roman"/>
                <w:color w:val="auto"/>
                <w:spacing w:val="0"/>
                <w:sz w:val="24"/>
                <w:szCs w:val="24"/>
                <w:highlight w:val="none"/>
                <w:lang w:val="en-US" w:eastAsia="zh-CN"/>
              </w:rPr>
              <w:t>审查意见</w:t>
            </w:r>
            <w:r>
              <w:rPr>
                <w:rFonts w:hint="default" w:ascii="Times New Roman" w:hAnsi="Times New Roman" w:eastAsia="宋体" w:cs="Times New Roman"/>
                <w:color w:val="auto"/>
                <w:spacing w:val="0"/>
                <w:sz w:val="24"/>
                <w:szCs w:val="24"/>
                <w:highlight w:val="none"/>
                <w:lang w:val="en-US" w:eastAsia="zh-CN"/>
              </w:rPr>
              <w:t>》</w:t>
            </w:r>
            <w:r>
              <w:rPr>
                <w:rFonts w:hint="eastAsia" w:ascii="Times New Roman" w:hAnsi="Times New Roman" w:eastAsia="宋体" w:cs="Times New Roman"/>
                <w:color w:val="auto"/>
                <w:spacing w:val="0"/>
                <w:sz w:val="24"/>
                <w:szCs w:val="24"/>
                <w:highlight w:val="none"/>
                <w:lang w:val="en-US" w:eastAsia="zh-CN"/>
              </w:rPr>
              <w:t>，本次验收只针对</w:t>
            </w:r>
            <w:r>
              <w:rPr>
                <w:rFonts w:hint="eastAsia" w:ascii="Times New Roman" w:hAnsi="Times New Roman" w:eastAsia="宋体" w:cs="Times New Roman"/>
                <w:color w:val="auto"/>
                <w:sz w:val="24"/>
                <w:lang w:val="en-US" w:eastAsia="zh-CN"/>
              </w:rPr>
              <w:t>永正1H，</w:t>
            </w:r>
            <w:r>
              <w:rPr>
                <w:rFonts w:hint="default" w:ascii="Times New Roman" w:hAnsi="Times New Roman" w:eastAsia="宋体" w:cs="Times New Roman"/>
                <w:color w:val="auto"/>
                <w:spacing w:val="0"/>
                <w:sz w:val="24"/>
                <w:szCs w:val="24"/>
                <w:highlight w:val="none"/>
                <w:lang w:val="en-US" w:eastAsia="zh-CN"/>
              </w:rPr>
              <w:t>意见如下：</w:t>
            </w:r>
          </w:p>
          <w:p w14:paraId="2E8BFAE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一</w:t>
            </w:r>
            <w:r>
              <w:rPr>
                <w:rFonts w:hint="default" w:ascii="Times New Roman" w:hAnsi="Times New Roman" w:eastAsia="宋体" w:cs="Times New Roman"/>
                <w:color w:val="auto"/>
                <w:spacing w:val="0"/>
                <w:sz w:val="24"/>
                <w:szCs w:val="24"/>
                <w:highlight w:val="none"/>
                <w:lang w:val="en-US" w:eastAsia="zh-CN"/>
              </w:rPr>
              <w:t>、项目位于宁县平子镇、正宁县永正镇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拟钻评价井3口,建设内容包括 JH5</w:t>
            </w:r>
            <w:r>
              <w:rPr>
                <w:rFonts w:hint="eastAsia" w:ascii="Times New Roman" w:hAnsi="Times New Roman" w:eastAsia="宋体" w:cs="Times New Roman"/>
                <w:color w:val="auto"/>
                <w:spacing w:val="0"/>
                <w:sz w:val="24"/>
                <w:szCs w:val="24"/>
                <w:highlight w:val="none"/>
                <w:lang w:val="en-US" w:eastAsia="zh-CN"/>
              </w:rPr>
              <w:t>5</w:t>
            </w:r>
            <w:r>
              <w:rPr>
                <w:rFonts w:hint="default" w:ascii="Times New Roman" w:hAnsi="Times New Roman" w:eastAsia="宋体" w:cs="Times New Roman"/>
                <w:color w:val="auto"/>
                <w:spacing w:val="0"/>
                <w:sz w:val="24"/>
                <w:szCs w:val="24"/>
                <w:highlight w:val="none"/>
                <w:lang w:val="en-US" w:eastAsia="zh-CN"/>
              </w:rPr>
              <w:t>P2(四至坐标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3922951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36514727;X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3922904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36514769;X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3922949Y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36514853;X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3923035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36514796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3922946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36514781)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永平1H(四至坐标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3920713,Y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36522766;X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3920831,Y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36522850;X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3920756Y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36522952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3920659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36522845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3921851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36512348)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永平2H(四至坐标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3921494,Y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36525640;X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3921545,Y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36525604;X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3921588Y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36525668;X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3921545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36525708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3922948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36514786)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井型为水平井</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设计平均井深2666 米</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目的层位为长6、长7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项目总投资为1300万元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其中环保投资为189.7万元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占总投资的14.6%。</w:t>
            </w:r>
          </w:p>
          <w:p w14:paraId="69738E9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该项目采取各项污染防治、生态保护和环境风险控制措施后，工程建设对环境的不利影响能够得到减缓和控制，同意你公司按照《报告表》中所列的建设项目性质、规模、地点、环境保护措施建设。《报告表》可作为工程环境保护设计、建设与环境管理的依据。</w:t>
            </w:r>
          </w:p>
          <w:p w14:paraId="5B02386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工程建设应按照国家环保法律法规要求，做到污染物达标排放，严格执行环保“三同时”制度，做到环保投资及时足额到位，认真落实《报告表》提出的各项生态保护污染防治、环境风险控制措施，发挥环保投资效益，改善和保护环境。</w:t>
            </w:r>
          </w:p>
          <w:p w14:paraId="31E9FA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四、项目建设与运行管理中应重点做好的工作</w:t>
            </w:r>
            <w:r>
              <w:rPr>
                <w:rFonts w:hint="eastAsia" w:ascii="Times New Roman" w:hAnsi="Times New Roman" w:eastAsia="宋体" w:cs="Times New Roman"/>
                <w:color w:val="auto"/>
                <w:spacing w:val="0"/>
                <w:sz w:val="24"/>
                <w:szCs w:val="24"/>
                <w:highlight w:val="none"/>
                <w:lang w:val="en-US" w:eastAsia="zh-CN"/>
              </w:rPr>
              <w:t>：</w:t>
            </w:r>
          </w:p>
          <w:p w14:paraId="74D4CA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475C1E8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(二)加强废水污染防治工作。落实废水收集池的雨污分流和防渗漏等措施，防止废水外溢、渗漏</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位于一般生态空间的</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按照《报告表》要求，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p w14:paraId="4A09C7E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对施工机械采取隔声、降噪措施，确保施工场界噪声排放满足《建筑施工场界噪声限值》(GB12523-2011)标准的要求。</w:t>
            </w:r>
          </w:p>
          <w:p w14:paraId="35A40C4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生活垃圾统一收集运输至环卫部门指定地点处置，</w:t>
            </w:r>
            <w:r>
              <w:rPr>
                <w:rFonts w:hint="eastAsia" w:ascii="Times New Roman" w:hAnsi="Times New Roman" w:eastAsia="宋体" w:cs="Times New Roman"/>
                <w:color w:val="auto"/>
                <w:spacing w:val="0"/>
                <w:sz w:val="24"/>
                <w:szCs w:val="24"/>
                <w:highlight w:val="none"/>
                <w:lang w:val="en-US" w:eastAsia="zh-CN"/>
              </w:rPr>
              <w:t>含油岩屑</w:t>
            </w:r>
            <w:r>
              <w:rPr>
                <w:rFonts w:hint="default" w:ascii="Times New Roman" w:hAnsi="Times New Roman" w:eastAsia="宋体" w:cs="Times New Roman"/>
                <w:color w:val="auto"/>
                <w:spacing w:val="0"/>
                <w:sz w:val="24"/>
                <w:szCs w:val="24"/>
                <w:highlight w:val="none"/>
                <w:lang w:val="en-US" w:eastAsia="zh-CN"/>
              </w:rPr>
              <w:t>、废防渗布、落地油、废机油等危险废物分类暂存在场地，并建立管理台账及转移联单，定期委托有资质的单位进行安全处置。</w:t>
            </w:r>
          </w:p>
          <w:p w14:paraId="0863C3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p w14:paraId="40778E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p w14:paraId="61D862F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566F853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严格依据《报告表》中批复的井场建设地点、坐标和评价井井号、数量等内容进行石油勘探工作，严禁擅自变更;对《报告表》及审查意见提出的各项生态环境保护措施和要求，应明确到井场施工合同中并认真监督执行。该项目为陆地石油资源地质勘探工程，若评价井转为生产井，须纳入油田区块管理并及时报批环评文件。</w:t>
            </w:r>
          </w:p>
          <w:p w14:paraId="396A879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项目建成后，按照原环保部《关于发布建设项目竣工环境保护验收暂行办法的公告》(国环规环评〔2017]4号)有关规定和程序，必须严格执行环境保护设施与主体工程同时设计、同时施工、同时投产的环境保护“三同时”制度。请市生态环境局宁县、正宁分局负责该项目的事中事后监管。项目建成后应按规定自行开展竣工环境保护</w:t>
            </w:r>
            <w:r>
              <w:rPr>
                <w:rFonts w:hint="eastAsia" w:ascii="Times New Roman" w:hAnsi="Times New Roman" w:eastAsia="宋体" w:cs="Times New Roman"/>
                <w:color w:val="auto"/>
                <w:spacing w:val="0"/>
                <w:sz w:val="24"/>
                <w:szCs w:val="24"/>
                <w:highlight w:val="none"/>
                <w:lang w:val="en-US" w:eastAsia="zh-CN"/>
              </w:rPr>
              <w:t>验收。</w:t>
            </w:r>
          </w:p>
          <w:p w14:paraId="783A9E3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建设单位是建设项目选址、建设全过程落实环境保护措施、公开环境信息的主体，应按照《建设项目环境影响评价信息公开机制方案》等要求依法依规公开建设项目环评信息，畅通公众参与和社会监督渠道，保障可能受建设项目环境影响的公众环境权益。</w:t>
            </w:r>
          </w:p>
          <w:p w14:paraId="1AD7B44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报告表》审批后十五日内，建设单位应将《报告表》及其审批意见分别送交庆阳市生态环境保护综合行政执法队和市生态环境局宁县、正宁分局。请庆阳市生态环境保护综合行政执法队、庆阳市生态环境局宁县、正宁分局加强项目的生态环境监督管理工作。你公司必须按规定接受各级生态环境行政主管部门的监督检查。</w:t>
            </w:r>
          </w:p>
          <w:p w14:paraId="1F6BE48D">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2BD7A341">
            <w:pPr>
              <w:pStyle w:val="2"/>
              <w:keepNext w:val="0"/>
              <w:keepLines w:val="0"/>
              <w:widowControl w:val="0"/>
              <w:suppressLineNumbers w:val="0"/>
              <w:spacing w:before="0" w:beforeAutospacing="0" w:afterAutospacing="0"/>
              <w:ind w:left="0" w:leftChars="0" w:right="0" w:firstLine="0" w:firstLineChars="0"/>
              <w:jc w:val="both"/>
              <w:rPr>
                <w:rFonts w:hint="default"/>
              </w:rPr>
            </w:pPr>
          </w:p>
          <w:p w14:paraId="6EB9C5A1">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50097910">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133C19CE">
      <w:pPr>
        <w:rPr>
          <w:rFonts w:hint="default"/>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6" w:name="_Toc20309"/>
      <w:r>
        <w:rPr>
          <w:rFonts w:hint="eastAsia" w:ascii="Times New Roman" w:hAnsi="Times New Roman" w:eastAsia="宋体" w:cs="Times New Roman"/>
          <w:b/>
          <w:bCs/>
          <w:color w:val="auto"/>
          <w:w w:val="95"/>
          <w:sz w:val="32"/>
          <w:highlight w:val="none"/>
          <w:lang w:val="en-US" w:eastAsia="zh-CN"/>
        </w:rPr>
        <w:t>6.</w:t>
      </w:r>
      <w:r>
        <w:rPr>
          <w:rFonts w:hint="default" w:ascii="Times New Roman" w:hAnsi="Times New Roman" w:eastAsia="宋体" w:cs="Times New Roman"/>
          <w:b/>
          <w:bCs/>
          <w:color w:val="auto"/>
          <w:w w:val="95"/>
          <w:sz w:val="32"/>
          <w:highlight w:val="none"/>
          <w:lang w:val="en-US" w:eastAsia="zh-CN"/>
        </w:rPr>
        <w:t>环境保护措施执行情况</w:t>
      </w:r>
      <w:bookmarkEnd w:id="6"/>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eastAsia"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6"/>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1231"/>
              <w:gridCol w:w="1320"/>
              <w:gridCol w:w="5210"/>
              <w:gridCol w:w="4486"/>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02"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948180" cy="699770"/>
                            <wp:effectExtent l="1905" t="4445" r="5715" b="6985"/>
                            <wp:wrapNone/>
                            <wp:docPr id="1" name="直接连接符 1"/>
                            <wp:cNvGraphicFramePr/>
                            <a:graphic xmlns:a="http://schemas.openxmlformats.org/drawingml/2006/main">
                              <a:graphicData uri="http://schemas.microsoft.com/office/word/2010/wordprocessingShape">
                                <wps:wsp>
                                  <wps:cNvCnPr/>
                                  <wps:spPr>
                                    <a:xfrm>
                                      <a:off x="1074420" y="1424940"/>
                                      <a:ext cx="1948180" cy="6997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5.1pt;width:153.4pt;z-index:251662336;mso-width-relative:page;mso-height-relative:page;" filled="f" stroked="t" coordsize="21600,21600" o:gfxdata="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BZ/r1gAAAAkBAAAPAAAAAAAAAAEAIAAAACIAAABkcnMvZG93bnJldi54bWxQSwECFAAUAAAA&#10;CACHTuJA2vPeFvABAADCAwAADgAAAAAAAAABACAAAAAlAQAAZHJzL2Uyb0RvYy54bWxQSwUGAAAA&#10;AAYABgBZAQAAhwU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1871"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611"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restart"/>
                  <w:tcBorders>
                    <w:tl2br w:val="nil"/>
                    <w:tr2bl w:val="nil"/>
                  </w:tcBorders>
                  <w:vAlign w:val="center"/>
                </w:tcPr>
                <w:p w14:paraId="443B3D5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设计阶段</w:t>
                  </w:r>
                </w:p>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1871"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1"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1871"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1"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1871"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1"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86"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2"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生态影响</w:t>
                  </w:r>
                </w:p>
              </w:tc>
              <w:tc>
                <w:tcPr>
                  <w:tcW w:w="474"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1871" w:type="pct"/>
                  <w:tcBorders>
                    <w:tl2br w:val="nil"/>
                    <w:tr2bl w:val="nil"/>
                  </w:tcBorders>
                  <w:shd w:val="clear" w:color="auto" w:fill="auto"/>
                  <w:vAlign w:val="center"/>
                </w:tcPr>
                <w:p w14:paraId="1E212D3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2FFF4B4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z w:val="21"/>
                      <w:szCs w:val="21"/>
                      <w:highlight w:val="none"/>
                      <w:lang w:val="en-US" w:eastAsia="zh-CN" w:bidi="ar-SA"/>
                    </w:rPr>
                    <w:t>。</w:t>
                  </w:r>
                </w:p>
              </w:tc>
              <w:tc>
                <w:tcPr>
                  <w:tcW w:w="1611" w:type="pct"/>
                  <w:vMerge w:val="restart"/>
                  <w:tcBorders>
                    <w:tl2br w:val="nil"/>
                    <w:tr2bl w:val="nil"/>
                  </w:tcBorders>
                  <w:vAlign w:val="center"/>
                </w:tcPr>
                <w:p w14:paraId="1BC3F3C6">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已</w:t>
                  </w:r>
                  <w:r>
                    <w:rPr>
                      <w:rFonts w:hint="default" w:ascii="Times New Roman" w:hAnsi="Times New Roman" w:eastAsia="宋体" w:cs="Times New Roman"/>
                      <w:color w:val="auto"/>
                      <w:sz w:val="21"/>
                      <w:szCs w:val="21"/>
                      <w:highlight w:val="none"/>
                      <w:lang w:val="en-US" w:eastAsia="zh-CN" w:bidi="ar-SA"/>
                    </w:rPr>
                    <w:t>落实</w:t>
                  </w:r>
                </w:p>
                <w:p w14:paraId="251E71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优化施工方案和进出场线路，尽量避开和减少占用耕地、林地和破坏植被，合理安排施工进度，控制施工作业范围，严格控制车辆、人员的活动范围，减少了施工过程中造成的人为扰动及产生的弃土（石、渣）</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减少水土流失。</w:t>
                  </w:r>
                </w:p>
                <w:p w14:paraId="3A8E9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05B1F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JH55P2</w:t>
                  </w:r>
                  <w:r>
                    <w:rPr>
                      <w:rFonts w:hint="default" w:ascii="Times New Roman" w:hAnsi="Times New Roman" w:eastAsia="宋体" w:cs="Times New Roman"/>
                      <w:color w:val="auto"/>
                      <w:spacing w:val="0"/>
                      <w:kern w:val="21"/>
                      <w:sz w:val="21"/>
                      <w:szCs w:val="21"/>
                      <w:highlight w:val="none"/>
                      <w:lang w:val="en-US" w:eastAsia="zh-CN"/>
                    </w:rPr>
                    <w:t>场地已恢复平整</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rPr>
                    <w:t>井口进行临时关井，待转产，除预留转为生产开发所需的面积外，对其余临时占地进行了恢复</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val="en-US" w:eastAsia="zh-CN" w:bidi="ar-SA"/>
                    </w:rPr>
                    <w:t>对进场道路及井场周边等及时进行</w:t>
                  </w:r>
                  <w:r>
                    <w:rPr>
                      <w:rFonts w:hint="eastAsia" w:ascii="Times New Roman" w:hAnsi="Times New Roman" w:eastAsia="宋体" w:cs="Times New Roman"/>
                      <w:color w:val="auto"/>
                      <w:spacing w:val="0"/>
                      <w:kern w:val="21"/>
                      <w:sz w:val="21"/>
                      <w:szCs w:val="21"/>
                      <w:highlight w:val="none"/>
                      <w:lang w:val="en-US" w:eastAsia="zh-CN" w:bidi="ar-SA"/>
                    </w:rPr>
                    <w:t>了</w:t>
                  </w:r>
                  <w:r>
                    <w:rPr>
                      <w:rFonts w:hint="default" w:ascii="Times New Roman" w:hAnsi="Times New Roman" w:eastAsia="宋体" w:cs="Times New Roman"/>
                      <w:color w:val="auto"/>
                      <w:spacing w:val="0"/>
                      <w:kern w:val="21"/>
                      <w:sz w:val="21"/>
                      <w:szCs w:val="21"/>
                      <w:highlight w:val="none"/>
                      <w:lang w:val="en-US" w:eastAsia="zh-CN" w:bidi="ar-SA"/>
                    </w:rPr>
                    <w:t>绿化</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pacing w:val="0"/>
                      <w:kern w:val="21"/>
                      <w:sz w:val="21"/>
                      <w:szCs w:val="21"/>
                      <w:highlight w:val="none"/>
                      <w:lang w:val="en-US" w:eastAsia="zh-CN" w:bidi="ar-SA"/>
                    </w:rPr>
                    <w:t>对施工形成的边坡要采用工程和植物护坡的方式进行治理，提高植被覆盖率，减少水土流失。</w:t>
                  </w:r>
                </w:p>
                <w:p w14:paraId="0E7353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表明，施工过程对井场及周边土壤造成的影响较小</w:t>
                  </w:r>
                  <w:r>
                    <w:rPr>
                      <w:rFonts w:hint="eastAsia" w:ascii="Times New Roman" w:hAnsi="Times New Roman" w:eastAsia="宋体" w:cs="Times New Roman"/>
                      <w:color w:val="FF0000"/>
                      <w:sz w:val="21"/>
                      <w:szCs w:val="21"/>
                      <w:highlight w:val="none"/>
                      <w:lang w:val="en-US" w:eastAsia="zh-CN"/>
                    </w:rPr>
                    <w:t>。</w:t>
                  </w:r>
                </w:p>
              </w:tc>
              <w:tc>
                <w:tcPr>
                  <w:tcW w:w="415" w:type="pct"/>
                  <w:vMerge w:val="restart"/>
                  <w:tcBorders>
                    <w:tl2br w:val="nil"/>
                    <w:tr2bl w:val="nil"/>
                  </w:tcBorders>
                  <w:vAlign w:val="top"/>
                </w:tcPr>
                <w:p w14:paraId="0EDC710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DED58C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63E095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6F4695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7C99B7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4B7C0E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0B54A7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3CB414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497BBF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B1A598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要求落实，有效避免了植被破坏、水土流失，生态恢复效果较好。</w:t>
                  </w: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71" w:type="pct"/>
                  <w:tcBorders>
                    <w:tl2br w:val="nil"/>
                    <w:tr2bl w:val="nil"/>
                  </w:tcBorders>
                  <w:shd w:val="clear" w:color="auto" w:fill="auto"/>
                  <w:vAlign w:val="center"/>
                </w:tcPr>
                <w:p w14:paraId="4599EA4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08371E3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pacing w:val="10"/>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lang w:val="en-US" w:eastAsia="zh-CN" w:bidi="ar-SA"/>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w:t>
                  </w:r>
                  <w:r>
                    <w:rPr>
                      <w:rFonts w:hint="eastAsia" w:ascii="Times New Roman" w:hAnsi="Times New Roman" w:eastAsia="宋体" w:cs="Times New Roman"/>
                      <w:b w:val="0"/>
                      <w:bCs w:val="0"/>
                      <w:color w:val="auto"/>
                      <w:sz w:val="21"/>
                      <w:szCs w:val="21"/>
                      <w:highlight w:val="none"/>
                      <w:lang w:val="en-US" w:eastAsia="zh-CN" w:bidi="ar-SA"/>
                    </w:rPr>
                    <w:t>，</w:t>
                  </w:r>
                  <w:r>
                    <w:rPr>
                      <w:rFonts w:hint="default" w:ascii="Times New Roman" w:hAnsi="Times New Roman" w:eastAsia="宋体" w:cs="Times New Roman"/>
                      <w:b w:val="0"/>
                      <w:bCs w:val="0"/>
                      <w:color w:val="auto"/>
                      <w:sz w:val="21"/>
                      <w:szCs w:val="21"/>
                      <w:highlight w:val="none"/>
                      <w:lang w:val="en-US" w:eastAsia="zh-CN" w:bidi="ar-SA"/>
                    </w:rPr>
                    <w:t>对施工形成的边坡要采用工程和植物护坡的方式进行治理，提高植被覆盖率，减少水土流失。</w:t>
                  </w:r>
                </w:p>
              </w:tc>
              <w:tc>
                <w:tcPr>
                  <w:tcW w:w="1611"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污染影响</w:t>
                  </w:r>
                </w:p>
              </w:tc>
              <w:tc>
                <w:tcPr>
                  <w:tcW w:w="474"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1871" w:type="pct"/>
                  <w:tcBorders>
                    <w:tl2br w:val="nil"/>
                    <w:tr2bl w:val="nil"/>
                  </w:tcBorders>
                  <w:vAlign w:val="center"/>
                </w:tcPr>
                <w:p w14:paraId="37A402A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0BFF08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eastAsia="zh-CN"/>
                    </w:rPr>
                  </w:pP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1</w:t>
                  </w: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地表水：</w:t>
                  </w:r>
                  <w:r>
                    <w:rPr>
                      <w:rFonts w:hint="default" w:ascii="Times New Roman" w:hAnsi="Times New Roman" w:cs="Times New Roman" w:eastAsiaTheme="minorEastAsia"/>
                      <w:color w:val="auto"/>
                      <w:sz w:val="21"/>
                      <w:szCs w:val="21"/>
                      <w:highlight w:val="none"/>
                      <w:lang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default" w:ascii="Times New Roman" w:hAnsi="Times New Roman" w:cs="Times New Roman" w:eastAsiaTheme="minorEastAsia"/>
                      <w:color w:val="auto"/>
                      <w:sz w:val="21"/>
                      <w:szCs w:val="21"/>
                      <w:highlight w:val="none"/>
                      <w:lang w:val="en-US" w:eastAsia="zh-CN"/>
                    </w:rPr>
                    <w:t>洗井废水：</w:t>
                  </w:r>
                  <w:r>
                    <w:rPr>
                      <w:rFonts w:hint="default" w:ascii="Times New Roman" w:hAnsi="Times New Roman" w:cs="Times New Roman" w:eastAsiaTheme="minorEastAsia"/>
                      <w:color w:val="auto"/>
                      <w:sz w:val="21"/>
                      <w:szCs w:val="21"/>
                      <w:highlight w:val="none"/>
                      <w:lang w:eastAsia="zh-CN"/>
                    </w:rPr>
                    <w:t>统一拉运至泾河8撬装式水净化站达标后回注，不外排。</w:t>
                  </w:r>
                  <w:r>
                    <w:rPr>
                      <w:rFonts w:hint="default" w:ascii="Times New Roman" w:hAnsi="Times New Roman" w:cs="Times New Roman" w:eastAsiaTheme="minorEastAsia"/>
                      <w:color w:val="auto"/>
                      <w:sz w:val="21"/>
                      <w:szCs w:val="21"/>
                      <w:highlight w:val="none"/>
                      <w:lang w:val="en-US" w:eastAsia="zh-CN"/>
                    </w:rPr>
                    <w:t>井下作业废水</w:t>
                  </w:r>
                  <w:r>
                    <w:rPr>
                      <w:rFonts w:hint="default" w:ascii="Times New Roman" w:hAnsi="Times New Roman" w:cs="Times New Roman" w:eastAsiaTheme="minorEastAsia"/>
                      <w:color w:val="auto"/>
                      <w:sz w:val="21"/>
                      <w:szCs w:val="21"/>
                      <w:highlight w:val="none"/>
                      <w:lang w:eastAsia="zh-CN"/>
                    </w:rPr>
                    <w:t>：压裂返排液全部回收入罐，优先在井场内进行再利用，无法利用的统一拉运至泾河8撬装式水净化站处理达标后回注，不外排；生活污水：设置移动式环保</w:t>
                  </w:r>
                  <w:r>
                    <w:rPr>
                      <w:rFonts w:hint="default" w:ascii="Times New Roman" w:hAnsi="Times New Roman" w:cs="Times New Roman" w:eastAsiaTheme="minorEastAsia"/>
                      <w:color w:val="auto"/>
                      <w:sz w:val="21"/>
                      <w:szCs w:val="21"/>
                      <w:highlight w:val="none"/>
                      <w:lang w:val="en-US" w:eastAsia="zh-CN"/>
                    </w:rPr>
                    <w:t>厕所</w:t>
                  </w:r>
                  <w:r>
                    <w:rPr>
                      <w:rFonts w:hint="default" w:ascii="Times New Roman" w:hAnsi="Times New Roman" w:cs="Times New Roman" w:eastAsiaTheme="minorEastAsia"/>
                      <w:color w:val="auto"/>
                      <w:sz w:val="21"/>
                      <w:szCs w:val="21"/>
                      <w:highlight w:val="none"/>
                      <w:lang w:eastAsia="zh-CN"/>
                    </w:rPr>
                    <w:t>，粪便定期清运作为附近村庄农家肥使用，不外排；少量盥洗类生活污水用于站场洒水抑尘；初期雨水：在井场周围设置雨水导排渠，</w:t>
                  </w:r>
                  <w:r>
                    <w:rPr>
                      <w:rFonts w:hint="eastAsia" w:ascii="Times New Roman" w:hAnsi="Times New Roman" w:cs="Times New Roman" w:eastAsiaTheme="minorEastAsia"/>
                      <w:color w:val="auto"/>
                      <w:sz w:val="21"/>
                      <w:szCs w:val="21"/>
                      <w:highlight w:val="none"/>
                      <w:lang w:val="en-US" w:eastAsia="zh-CN"/>
                    </w:rPr>
                    <w:t>JH55P2、永平1H、永平2H</w:t>
                  </w:r>
                  <w:r>
                    <w:rPr>
                      <w:rFonts w:hint="default" w:ascii="Times New Roman" w:hAnsi="Times New Roman" w:cs="Times New Roman" w:eastAsiaTheme="minorEastAsia"/>
                      <w:color w:val="auto"/>
                      <w:sz w:val="21"/>
                      <w:szCs w:val="21"/>
                      <w:highlight w:val="none"/>
                      <w:lang w:eastAsia="zh-CN"/>
                    </w:rPr>
                    <w:t>井场内设置</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eastAsia="zh-CN"/>
                    </w:rPr>
                    <w:t>0m</w:t>
                  </w:r>
                  <w:r>
                    <w:rPr>
                      <w:rFonts w:hint="default" w:ascii="Times New Roman" w:hAnsi="Times New Roman" w:cs="Times New Roman" w:eastAsiaTheme="minorEastAsia"/>
                      <w:color w:val="auto"/>
                      <w:sz w:val="21"/>
                      <w:szCs w:val="21"/>
                      <w:highlight w:val="none"/>
                      <w:vertAlign w:val="superscript"/>
                      <w:lang w:eastAsia="zh-CN"/>
                    </w:rPr>
                    <w:t>3</w:t>
                  </w:r>
                  <w:r>
                    <w:rPr>
                      <w:rFonts w:hint="default" w:ascii="Times New Roman" w:hAnsi="Times New Roman" w:cs="Times New Roman" w:eastAsiaTheme="minorEastAsia"/>
                      <w:color w:val="auto"/>
                      <w:sz w:val="21"/>
                      <w:szCs w:val="21"/>
                      <w:highlight w:val="none"/>
                      <w:lang w:eastAsia="zh-CN"/>
                    </w:rPr>
                    <w:t>初期雨水收集罐。</w:t>
                  </w:r>
                </w:p>
                <w:p w14:paraId="7C1FB18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cs="Times New Roman" w:eastAsiaTheme="minorEastAsia"/>
                      <w:color w:val="auto"/>
                      <w:spacing w:val="10"/>
                      <w:sz w:val="21"/>
                      <w:szCs w:val="21"/>
                      <w:highlight w:val="none"/>
                      <w:lang w:val="en-US" w:eastAsia="zh-CN" w:bidi="ar-SA"/>
                    </w:rPr>
                    <w:t>（2）地下水及土壤：</w:t>
                  </w: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cs="Times New Roman" w:eastAsiaTheme="minorEastAsia"/>
                      <w:color w:val="auto"/>
                      <w:spacing w:val="10"/>
                      <w:sz w:val="21"/>
                      <w:szCs w:val="21"/>
                      <w:highlight w:val="none"/>
                      <w:lang w:val="en-US" w:eastAsia="zh-CN" w:bidi="ar-SA"/>
                    </w:rPr>
                    <w:t>。</w:t>
                  </w:r>
                </w:p>
              </w:tc>
              <w:tc>
                <w:tcPr>
                  <w:tcW w:w="1611"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2BBB0A">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w:t>
                  </w:r>
                  <w:r>
                    <w:rPr>
                      <w:rFonts w:hint="eastAsia" w:ascii="Times New Roman" w:hAnsi="Times New Roman" w:cs="Times New Roman" w:eastAsiaTheme="minorEastAsia"/>
                      <w:sz w:val="21"/>
                      <w:szCs w:val="21"/>
                      <w:lang w:val="en-US" w:eastAsia="zh-CN"/>
                    </w:rPr>
                    <w:t>地表水：</w:t>
                  </w:r>
                  <w:r>
                    <w:rPr>
                      <w:rFonts w:hint="default" w:ascii="Times New Roman" w:hAnsi="Times New Roman" w:cs="Times New Roman" w:eastAsiaTheme="minorEastAsia"/>
                      <w:sz w:val="21"/>
                      <w:szCs w:val="21"/>
                      <w:lang w:val="en-US" w:eastAsia="zh-CN"/>
                    </w:rPr>
                    <w:t>本项目采取泥浆不落地处理工艺，经固液分离后产生的钻井废水部分回用于配置钻井泥浆，不可回用部分同洗井废水、压裂返排液一起由地上收集罐统一收集，雨水经雨水收集罐收集，井下作业完成后，由防渗漏、防溢流的运输车辆统一转移至泾河8撬装式水净化站处理达标后回注油层，废水不外排；生活污水收集沉淀后用于站场浇洒。井场营地内设置的移动式环保厕所，定期清掏用作农肥。</w:t>
                  </w:r>
                  <w:r>
                    <w:rPr>
                      <w:rFonts w:hint="default" w:ascii="Times New Roman" w:hAnsi="Times New Roman" w:cs="Times New Roman" w:eastAsiaTheme="minorEastAsia"/>
                      <w:color w:val="0000FF"/>
                      <w:sz w:val="21"/>
                      <w:szCs w:val="21"/>
                      <w:highlight w:val="none"/>
                      <w:lang w:eastAsia="zh-CN"/>
                    </w:rPr>
                    <w:t>初期雨水：在井场周围设置雨水导排渠，井场内设置</w:t>
                  </w:r>
                  <w:r>
                    <w:rPr>
                      <w:rFonts w:hint="default" w:ascii="Times New Roman" w:hAnsi="Times New Roman" w:cs="Times New Roman" w:eastAsiaTheme="minorEastAsia"/>
                      <w:color w:val="0000FF"/>
                      <w:sz w:val="21"/>
                      <w:szCs w:val="21"/>
                      <w:highlight w:val="none"/>
                      <w:lang w:val="en-US" w:eastAsia="zh-CN"/>
                    </w:rPr>
                    <w:t>3</w:t>
                  </w:r>
                  <w:r>
                    <w:rPr>
                      <w:rFonts w:hint="default" w:ascii="Times New Roman" w:hAnsi="Times New Roman" w:cs="Times New Roman" w:eastAsiaTheme="minorEastAsia"/>
                      <w:color w:val="0000FF"/>
                      <w:sz w:val="21"/>
                      <w:szCs w:val="21"/>
                      <w:highlight w:val="none"/>
                      <w:lang w:eastAsia="zh-CN"/>
                    </w:rPr>
                    <w:t>0m</w:t>
                  </w:r>
                  <w:r>
                    <w:rPr>
                      <w:rFonts w:hint="default" w:ascii="Times New Roman" w:hAnsi="Times New Roman" w:cs="Times New Roman" w:eastAsiaTheme="minorEastAsia"/>
                      <w:color w:val="0000FF"/>
                      <w:sz w:val="21"/>
                      <w:szCs w:val="21"/>
                      <w:highlight w:val="none"/>
                      <w:vertAlign w:val="superscript"/>
                      <w:lang w:eastAsia="zh-CN"/>
                    </w:rPr>
                    <w:t>3</w:t>
                  </w:r>
                  <w:r>
                    <w:rPr>
                      <w:rFonts w:hint="default" w:ascii="Times New Roman" w:hAnsi="Times New Roman" w:cs="Times New Roman" w:eastAsiaTheme="minorEastAsia"/>
                      <w:color w:val="0000FF"/>
                      <w:sz w:val="21"/>
                      <w:szCs w:val="21"/>
                      <w:highlight w:val="none"/>
                      <w:lang w:eastAsia="zh-CN"/>
                    </w:rPr>
                    <w:t>初期雨水收集罐</w:t>
                  </w:r>
                  <w:r>
                    <w:rPr>
                      <w:rFonts w:hint="eastAsia" w:ascii="Times New Roman" w:hAnsi="Times New Roman" w:cs="Times New Roman" w:eastAsiaTheme="minorEastAsia"/>
                      <w:color w:val="0000FF"/>
                      <w:sz w:val="21"/>
                      <w:szCs w:val="21"/>
                      <w:highlight w:val="none"/>
                      <w:lang w:eastAsia="zh-CN"/>
                    </w:rPr>
                    <w:t>。</w:t>
                  </w:r>
                </w:p>
                <w:p w14:paraId="0AC40E4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（2）地下水及土壤环境</w:t>
                  </w:r>
                </w:p>
                <w:p w14:paraId="6E98652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zh-CN" w:eastAsia="zh-CN"/>
                    </w:rPr>
                  </w:pP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default" w:ascii="Times New Roman" w:hAnsi="Times New Roman" w:cs="Times New Roman" w:eastAsiaTheme="minorEastAsia"/>
                      <w:sz w:val="21"/>
                      <w:szCs w:val="21"/>
                      <w:lang w:val="zh-CN" w:eastAsia="zh-CN"/>
                    </w:rPr>
                    <w:t>。</w:t>
                  </w:r>
                </w:p>
                <w:p w14:paraId="732BFDE4">
                  <w:pPr>
                    <w:pStyle w:val="2"/>
                    <w:keepNext w:val="0"/>
                    <w:keepLines w:val="0"/>
                    <w:pageBreakBefore w:val="0"/>
                    <w:widowControl/>
                    <w:numPr>
                      <w:ilvl w:val="0"/>
                      <w:numId w:val="3"/>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w:t>
                  </w:r>
                  <w:r>
                    <w:rPr>
                      <w:rFonts w:hint="default" w:ascii="Times New Roman" w:hAnsi="Times New Roman" w:cs="Times New Roman" w:eastAsiaTheme="minorEastAsia"/>
                      <w:color w:val="0000FF"/>
                      <w:sz w:val="21"/>
                      <w:szCs w:val="21"/>
                      <w:lang w:val="en-US" w:eastAsia="zh-CN"/>
                    </w:rPr>
                    <w:t>JH55P2井场及防渗布周围设置20cm高土围堰。井场周边设置50cm的砖混围墙，现已拆除，</w:t>
                  </w:r>
                  <w:r>
                    <w:rPr>
                      <w:rFonts w:hint="default" w:ascii="Times New Roman" w:hAnsi="Times New Roman" w:cs="Times New Roman" w:eastAsiaTheme="minorEastAsia"/>
                      <w:sz w:val="21"/>
                      <w:szCs w:val="21"/>
                      <w:lang w:val="en-US" w:eastAsia="zh-CN"/>
                    </w:rPr>
                    <w:t>防止含油污水渗漏；设置收集贮存设施及时回收落地原油；未掩埋试油作业中散落的原油和油水混合物。</w:t>
                  </w:r>
                </w:p>
                <w:p w14:paraId="691463F7">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sz w:val="21"/>
                      <w:szCs w:val="21"/>
                    </w:rPr>
                  </w:pPr>
                  <w:r>
                    <w:rPr>
                      <w:rFonts w:hint="default" w:ascii="Times New Roman" w:hAnsi="Times New Roman" w:cs="Times New Roman" w:eastAsiaTheme="minorEastAsia"/>
                      <w:sz w:val="21"/>
                      <w:szCs w:val="21"/>
                      <w:lang w:val="en-US" w:eastAsia="zh-CN"/>
                    </w:rPr>
                    <w:t>根据现场调查，施工期无遗留废水污染问题，未发现公众举报现象</w:t>
                  </w:r>
                  <w:r>
                    <w:rPr>
                      <w:rFonts w:hint="eastAsia" w:ascii="Times New Roman" w:hAnsi="Times New Roman" w:cs="Times New Roman" w:eastAsiaTheme="minorEastAsia"/>
                      <w:sz w:val="21"/>
                      <w:szCs w:val="21"/>
                      <w:lang w:val="en-US" w:eastAsia="zh-CN"/>
                    </w:rPr>
                    <w:t>。</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eastAsia="zh-CN"/>
                    </w:rPr>
                    <w:t>要求落实，废水得到有效处理，未对当地地表水、地下水环境、土壤环境造成污染。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6"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474"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71" w:type="pct"/>
                  <w:tcBorders>
                    <w:tl2br w:val="nil"/>
                    <w:tr2bl w:val="nil"/>
                  </w:tcBorders>
                  <w:vAlign w:val="center"/>
                </w:tcPr>
                <w:p w14:paraId="1F890C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0D43A3C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leftChars="0" w:right="0" w:firstLine="0" w:firstLineChars="0"/>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加强废水污染防治工作。落实废水收集池的雨污分流和防渗漏等措施，防止废水外溢、渗漏</w:t>
                  </w:r>
                  <w:r>
                    <w:rPr>
                      <w:rFonts w:hint="eastAsia" w:ascii="Times New Roman" w:hAnsi="Times New Roman" w:eastAsia="宋体" w:cs="Times New Roman"/>
                      <w:lang w:eastAsia="zh-CN"/>
                    </w:rPr>
                    <w:t>；</w:t>
                  </w:r>
                  <w:r>
                    <w:rPr>
                      <w:rFonts w:hint="default" w:ascii="Times New Roman" w:hAnsi="Times New Roman" w:eastAsia="宋体" w:cs="Times New Roman"/>
                      <w:lang w:eastAsia="zh-CN"/>
                    </w:rPr>
                    <w:t>加强各类废水收集、暂存及运输过程中的环境管理，实施全过程监控避免违规排放，并采取有效措施，防止产生二次污染。钻井前应当在防渗布周围设置不低于20cm的围堰,位于一般生态空间的,按照《报告表》要求，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1611"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86"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71" w:type="pct"/>
                  <w:tcBorders>
                    <w:tl2br w:val="nil"/>
                    <w:tr2bl w:val="nil"/>
                  </w:tcBorders>
                  <w:shd w:val="clear" w:color="auto" w:fill="auto"/>
                  <w:vAlign w:val="top"/>
                </w:tcPr>
                <w:p w14:paraId="15BDF94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0BBC296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施工扬尘：井场洒水抑尘，表土及建材堆放设置挡板、上覆遮盖材料，施工运输车辆采取密闭措施或加盖防尘布，临时道路配备洒水车定期洒水抑尘；</w:t>
                  </w:r>
                </w:p>
                <w:p w14:paraId="58B8B17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eastAsia"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柴油发电机燃烧烟气：选用环保型柴油发电机，使用优质轻柴油，简易排气筒排放</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排气管朝向避开农户分布及项目区工作人员办公生活的方位</w:t>
                  </w:r>
                  <w:r>
                    <w:rPr>
                      <w:rFonts w:hint="eastAsia" w:ascii="Times New Roman" w:hAnsi="Times New Roman" w:eastAsia="宋体" w:cs="Times New Roman"/>
                      <w:color w:val="auto"/>
                      <w:sz w:val="21"/>
                      <w:szCs w:val="21"/>
                      <w:highlight w:val="none"/>
                      <w:lang w:eastAsia="zh-CN"/>
                    </w:rPr>
                    <w:t>；</w:t>
                  </w:r>
                </w:p>
                <w:p w14:paraId="5BBB2B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color w:val="auto"/>
                      <w:sz w:val="21"/>
                      <w:szCs w:val="21"/>
                      <w:highlight w:val="none"/>
                      <w:lang w:eastAsia="zh-CN"/>
                    </w:rPr>
                    <w:t>伴生气</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FF0000"/>
                      <w:sz w:val="21"/>
                      <w:szCs w:val="21"/>
                      <w:highlight w:val="none"/>
                      <w:lang w:val="en-US" w:eastAsia="zh-CN"/>
                    </w:rPr>
                    <w:t>少量试油伴生气逸散</w:t>
                  </w:r>
                  <w:r>
                    <w:rPr>
                      <w:rFonts w:hint="eastAsia" w:ascii="Times New Roman" w:hAnsi="Times New Roman" w:eastAsia="宋体" w:cs="Times New Roman"/>
                      <w:color w:val="FF0000"/>
                      <w:sz w:val="21"/>
                      <w:szCs w:val="21"/>
                      <w:highlight w:val="none"/>
                      <w:lang w:val="en-US" w:eastAsia="zh-CN"/>
                    </w:rPr>
                    <w:t>.</w:t>
                  </w:r>
                </w:p>
              </w:tc>
              <w:tc>
                <w:tcPr>
                  <w:tcW w:w="1611" w:type="pct"/>
                  <w:vMerge w:val="restart"/>
                  <w:tcBorders>
                    <w:tl2br w:val="nil"/>
                    <w:tr2bl w:val="nil"/>
                  </w:tcBorders>
                  <w:vAlign w:val="center"/>
                </w:tcPr>
                <w:p w14:paraId="0F734E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FF0000"/>
                      <w:sz w:val="21"/>
                      <w:szCs w:val="21"/>
                      <w:highlight w:val="none"/>
                      <w:lang w:val="en-US" w:eastAsia="zh-CN"/>
                    </w:rPr>
                    <w:t>选用环保型柴油发电机，使用优质轻柴油，简易排气筒排放；排气管朝向避开了农户分布及项目区工作人员办公生活的方位</w:t>
                  </w:r>
                  <w:r>
                    <w:rPr>
                      <w:rFonts w:hint="default" w:ascii="Times New Roman" w:hAnsi="Times New Roman" w:eastAsia="宋体" w:cs="Times New Roman"/>
                      <w:color w:val="FF0000"/>
                      <w:sz w:val="21"/>
                      <w:szCs w:val="21"/>
                      <w:highlight w:val="none"/>
                      <w:lang w:val="en-US" w:eastAsia="zh-CN"/>
                    </w:rPr>
                    <w:t xml:space="preserve">；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少量试油伴生气逸散</w:t>
                  </w:r>
                  <w:r>
                    <w:rPr>
                      <w:rFonts w:hint="default" w:ascii="Times New Roman" w:hAnsi="Times New Roman" w:eastAsia="宋体" w:cs="Times New Roman"/>
                      <w:color w:val="auto"/>
                      <w:sz w:val="21"/>
                      <w:szCs w:val="21"/>
                      <w:highlight w:val="none"/>
                      <w:lang w:val="en-US" w:eastAsia="zh-CN"/>
                    </w:rPr>
                    <w:t>；本项目</w:t>
                  </w:r>
                  <w:r>
                    <w:rPr>
                      <w:rFonts w:hint="eastAsia" w:ascii="Times New Roman" w:hAnsi="Times New Roman" w:eastAsia="宋体" w:cs="Times New Roman"/>
                      <w:color w:val="auto"/>
                      <w:sz w:val="21"/>
                      <w:szCs w:val="21"/>
                      <w:highlight w:val="none"/>
                      <w:lang w:val="en-US" w:eastAsia="zh-CN"/>
                    </w:rPr>
                    <w:t>试油、气</w:t>
                  </w:r>
                  <w:r>
                    <w:rPr>
                      <w:rFonts w:hint="default" w:ascii="Times New Roman" w:hAnsi="Times New Roman" w:eastAsia="宋体" w:cs="Times New Roman"/>
                      <w:color w:val="auto"/>
                      <w:sz w:val="21"/>
                      <w:szCs w:val="21"/>
                      <w:highlight w:val="none"/>
                      <w:lang w:val="en-US" w:eastAsia="zh-CN"/>
                    </w:rPr>
                    <w:t>过程中无井喷事故发生。运输车辆</w:t>
                  </w:r>
                  <w:r>
                    <w:rPr>
                      <w:rFonts w:hint="eastAsia" w:ascii="Times New Roman" w:hAnsi="Times New Roman" w:eastAsia="宋体" w:cs="Times New Roman"/>
                      <w:color w:val="auto"/>
                      <w:sz w:val="21"/>
                      <w:szCs w:val="21"/>
                      <w:highlight w:val="none"/>
                      <w:lang w:val="en-US" w:eastAsia="zh-CN"/>
                    </w:rPr>
                    <w:t>定期保养及维护，并减速慢行。</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r>
                    <w:rPr>
                      <w:rFonts w:hint="eastAsia" w:ascii="Times New Roman" w:hAnsi="Times New Roman" w:eastAsia="宋体" w:cs="Times New Roman"/>
                      <w:color w:val="auto"/>
                      <w:sz w:val="21"/>
                      <w:szCs w:val="21"/>
                      <w:lang w:val="en-US" w:eastAsia="zh-CN"/>
                    </w:rPr>
                    <w:t>施工过程中未对</w:t>
                  </w:r>
                  <w:r>
                    <w:rPr>
                      <w:rFonts w:hint="default" w:ascii="Times New Roman" w:hAnsi="Times New Roman" w:eastAsia="宋体" w:cs="Times New Roman"/>
                      <w:color w:val="auto"/>
                      <w:sz w:val="21"/>
                      <w:szCs w:val="21"/>
                      <w:lang w:val="en-US" w:eastAsia="zh-CN"/>
                    </w:rPr>
                    <w:t>居民</w:t>
                  </w:r>
                  <w:r>
                    <w:rPr>
                      <w:rFonts w:hint="eastAsia" w:ascii="Times New Roman" w:hAnsi="Times New Roman" w:eastAsia="宋体" w:cs="Times New Roman"/>
                      <w:color w:val="auto"/>
                      <w:sz w:val="21"/>
                      <w:szCs w:val="21"/>
                      <w:lang w:val="en-US" w:eastAsia="zh-CN"/>
                    </w:rPr>
                    <w:t>造成影响，无</w:t>
                  </w:r>
                  <w:r>
                    <w:rPr>
                      <w:rFonts w:hint="default" w:ascii="Times New Roman" w:hAnsi="Times New Roman" w:eastAsia="宋体" w:cs="Times New Roman"/>
                      <w:color w:val="auto"/>
                      <w:sz w:val="21"/>
                      <w:szCs w:val="21"/>
                      <w:lang w:val="en-US" w:eastAsia="zh-CN"/>
                    </w:rPr>
                    <w:t>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有效降低了施工废气对周围环境的影响</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且其影响随着施工结束而消失</w:t>
                  </w:r>
                  <w:r>
                    <w:rPr>
                      <w:rFonts w:hint="default" w:ascii="Times New Roman" w:hAnsi="Times New Roman" w:eastAsia="宋体" w:cs="Times New Roman"/>
                      <w:color w:val="auto"/>
                      <w:sz w:val="21"/>
                      <w:szCs w:val="21"/>
                      <w:highlight w:val="none"/>
                      <w:lang w:val="en-US" w:eastAsia="zh-CN"/>
                    </w:rPr>
                    <w:t>。</w:t>
                  </w:r>
                </w:p>
                <w:p w14:paraId="233EC6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施工期无遗留扬尘污染问题</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未发现公众举报现象</w:t>
                  </w:r>
                  <w:r>
                    <w:rPr>
                      <w:rFonts w:hint="eastAsia" w:ascii="Times New Roman" w:hAnsi="Times New Roman" w:eastAsia="宋体" w:cs="Times New Roman"/>
                      <w:color w:val="auto"/>
                      <w:sz w:val="21"/>
                      <w:szCs w:val="21"/>
                      <w:highlight w:val="none"/>
                      <w:lang w:eastAsia="zh-CN"/>
                    </w:rPr>
                    <w:t>。</w:t>
                  </w:r>
                </w:p>
              </w:tc>
              <w:tc>
                <w:tcPr>
                  <w:tcW w:w="415" w:type="pct"/>
                  <w:vMerge w:val="restart"/>
                  <w:tcBorders>
                    <w:tl2br w:val="nil"/>
                    <w:tr2bl w:val="nil"/>
                  </w:tcBorders>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71" w:type="pct"/>
                  <w:tcBorders>
                    <w:tl2br w:val="nil"/>
                    <w:tr2bl w:val="nil"/>
                  </w:tcBorders>
                  <w:shd w:val="clear" w:color="auto" w:fill="auto"/>
                  <w:vAlign w:val="top"/>
                </w:tcPr>
                <w:p w14:paraId="2DB2BF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7A6A91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r>
                    <w:rPr>
                      <w:rFonts w:hint="default" w:ascii="Times New Roman" w:hAnsi="Times New Roman" w:eastAsia="宋体" w:cs="Times New Roman"/>
                      <w:sz w:val="21"/>
                      <w:szCs w:val="21"/>
                      <w:lang w:eastAsia="zh-CN"/>
                    </w:rPr>
                    <w:t>。</w:t>
                  </w:r>
                </w:p>
              </w:tc>
              <w:tc>
                <w:tcPr>
                  <w:tcW w:w="1611"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4"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1871" w:type="pct"/>
                  <w:tcBorders>
                    <w:tl2br w:val="nil"/>
                    <w:tr2bl w:val="nil"/>
                  </w:tcBorders>
                  <w:shd w:val="clear" w:color="auto" w:fill="auto"/>
                  <w:vAlign w:val="center"/>
                </w:tcPr>
                <w:p w14:paraId="365D4A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1FD28D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选用低噪声设备，并对压裂车设置临时屏蔽进行隔声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 xml:space="preserve"> 禁止夜间施工，</w:t>
                  </w:r>
                  <w:r>
                    <w:rPr>
                      <w:rFonts w:hint="eastAsia" w:ascii="Times New Roman" w:hAnsi="Times New Roman" w:eastAsia="宋体" w:cs="Times New Roman"/>
                      <w:color w:val="auto"/>
                      <w:spacing w:val="10"/>
                      <w:sz w:val="21"/>
                      <w:szCs w:val="21"/>
                      <w:highlight w:val="none"/>
                      <w:lang w:val="en-US" w:eastAsia="zh-CN" w:bidi="ar-SA"/>
                    </w:rPr>
                    <w:t>白天</w:t>
                  </w:r>
                  <w:r>
                    <w:rPr>
                      <w:rFonts w:hint="default" w:ascii="Times New Roman" w:hAnsi="Times New Roman" w:eastAsia="宋体" w:cs="Times New Roman"/>
                      <w:color w:val="auto"/>
                      <w:spacing w:val="10"/>
                      <w:sz w:val="21"/>
                      <w:szCs w:val="21"/>
                      <w:highlight w:val="none"/>
                      <w:lang w:val="en-US" w:eastAsia="zh-CN" w:bidi="ar-SA"/>
                    </w:rPr>
                    <w:t>施工过程中高噪声设备远离村民，对高噪声设备安装隔声挡板及减震垫，做好施工机械的维护和保养，夜间禁止施工、同时加强绿化</w:t>
                  </w:r>
                  <w:r>
                    <w:rPr>
                      <w:rFonts w:hint="eastAsia" w:ascii="Times New Roman" w:hAnsi="Times New Roman" w:eastAsia="宋体" w:cs="Times New Roman"/>
                      <w:color w:val="auto"/>
                      <w:spacing w:val="10"/>
                      <w:sz w:val="21"/>
                      <w:szCs w:val="21"/>
                      <w:highlight w:val="none"/>
                      <w:lang w:val="en-US" w:eastAsia="zh-CN" w:bidi="ar-SA"/>
                    </w:rPr>
                    <w:t>。</w:t>
                  </w:r>
                </w:p>
              </w:tc>
              <w:tc>
                <w:tcPr>
                  <w:tcW w:w="1611" w:type="pct"/>
                  <w:vMerge w:val="restart"/>
                  <w:tcBorders>
                    <w:tl2br w:val="nil"/>
                    <w:tr2bl w:val="nil"/>
                  </w:tcBorders>
                  <w:vAlign w:val="center"/>
                </w:tcPr>
                <w:p w14:paraId="1C02B5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8ED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bidi="ar-SA"/>
                    </w:rPr>
                    <w:t>采用低噪声、低振动的设备与</w:t>
                  </w:r>
                  <w:r>
                    <w:rPr>
                      <w:rFonts w:hint="eastAsia" w:ascii="Times New Roman" w:hAnsi="Times New Roman" w:eastAsia="宋体" w:cs="Times New Roman"/>
                      <w:color w:val="auto"/>
                      <w:sz w:val="21"/>
                      <w:szCs w:val="21"/>
                      <w:highlight w:val="none"/>
                      <w:lang w:val="en-US" w:eastAsia="zh-CN" w:bidi="ar-SA"/>
                    </w:rPr>
                    <w:t>合理的</w:t>
                  </w:r>
                  <w:r>
                    <w:rPr>
                      <w:rFonts w:hint="default" w:ascii="Times New Roman" w:hAnsi="Times New Roman" w:eastAsia="宋体" w:cs="Times New Roman"/>
                      <w:color w:val="auto"/>
                      <w:sz w:val="21"/>
                      <w:szCs w:val="21"/>
                      <w:highlight w:val="none"/>
                      <w:lang w:val="en-US" w:eastAsia="zh-CN" w:bidi="ar-SA"/>
                    </w:rPr>
                    <w:t>施工方式进行施工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rPr>
                    <w:t>对施工机械采取隔声、降噪措施</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w:t>
                  </w:r>
                  <w:r>
                    <w:rPr>
                      <w:rFonts w:hint="eastAsia" w:ascii="Times New Roman" w:hAnsi="Times New Roman" w:eastAsia="宋体" w:cs="Times New Roman"/>
                      <w:color w:val="auto"/>
                      <w:sz w:val="21"/>
                      <w:szCs w:val="21"/>
                      <w:highlight w:val="none"/>
                      <w:lang w:val="en-US" w:eastAsia="zh-CN" w:bidi="ar-SA"/>
                    </w:rPr>
                    <w:t>。在采取以上噪声防治措施后，有效降低了施工噪声对周围环境的影响。能够满足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w:t>
                  </w:r>
                  <w:r>
                    <w:rPr>
                      <w:rFonts w:hint="eastAsia" w:ascii="Times New Roman" w:hAnsi="Times New Roman" w:eastAsia="宋体" w:cs="Times New Roman"/>
                      <w:color w:val="auto"/>
                      <w:sz w:val="21"/>
                      <w:szCs w:val="21"/>
                      <w:highlight w:val="none"/>
                      <w:lang w:val="en-US" w:eastAsia="zh-CN"/>
                    </w:rPr>
                    <w:t>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施工期无遗留噪声污染问题</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86"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4"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1871" w:type="pct"/>
                  <w:tcBorders>
                    <w:tl2br w:val="nil"/>
                    <w:tr2bl w:val="nil"/>
                  </w:tcBorders>
                  <w:shd w:val="clear" w:color="auto" w:fill="auto"/>
                  <w:vAlign w:val="center"/>
                </w:tcPr>
                <w:p w14:paraId="280973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46CB6310">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对施工机械采取隔声、降噪措施，确保施工场界噪声排放满足《建筑施工场界噪声限值》(GB12523-2011)标准的要求。该项目禁止夜间施工。</w:t>
                  </w:r>
                </w:p>
              </w:tc>
              <w:tc>
                <w:tcPr>
                  <w:tcW w:w="1611"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6"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4"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71" w:type="pct"/>
                  <w:tcBorders>
                    <w:tl2br w:val="nil"/>
                    <w:tr2bl w:val="nil"/>
                  </w:tcBorders>
                  <w:shd w:val="clear" w:color="auto" w:fill="auto"/>
                  <w:vAlign w:val="center"/>
                </w:tcPr>
                <w:p w14:paraId="0E5719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71E00D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建筑垃圾回收利用。勘探井废过硫酸钾包装袋、废弃防渗布（沾落地油）、落地油、废机油、废润滑油、废含油抹布暂存于临时危废贮存库暂存、含油岩屑收集至油泥暂存点暂存后，定期委托有资质单位外运处置；生活垃圾经生活垃圾桶收集后，运至政府部门指定地点处置</w:t>
                  </w:r>
                </w:p>
              </w:tc>
              <w:tc>
                <w:tcPr>
                  <w:tcW w:w="1611" w:type="pct"/>
                  <w:vMerge w:val="restart"/>
                  <w:tcBorders>
                    <w:tl2br w:val="nil"/>
                    <w:tr2bl w:val="nil"/>
                  </w:tcBorders>
                  <w:vAlign w:val="center"/>
                </w:tcPr>
                <w:p w14:paraId="145385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1EEE2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eastAsia" w:ascii="Times New Roman" w:hAnsi="Times New Roman" w:eastAsia="宋体" w:cs="Times New Roman"/>
                      <w:bCs/>
                      <w:color w:val="auto"/>
                      <w:sz w:val="21"/>
                      <w:szCs w:val="21"/>
                      <w:highlight w:val="none"/>
                      <w:lang w:val="en-US" w:eastAsia="zh-CN"/>
                    </w:rPr>
                    <w:t>采用下铺上盖的方式</w:t>
                  </w:r>
                  <w:r>
                    <w:rPr>
                      <w:rFonts w:hint="eastAsia"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eastAsia="zh-CN"/>
                    </w:rPr>
                    <w:t>废弃泥浆由收集罐收集、钻井岩屑暂存于固渣暂存处，由防渗漏、防溢流的运输车辆统一转移至</w:t>
                  </w:r>
                  <w:r>
                    <w:rPr>
                      <w:rFonts w:hint="eastAsia" w:ascii="Times New Roman" w:hAnsi="Times New Roman" w:eastAsia="宋体" w:cs="Times New Roman"/>
                      <w:color w:val="auto"/>
                      <w:sz w:val="21"/>
                      <w:szCs w:val="21"/>
                      <w:lang w:eastAsia="zh-CN"/>
                    </w:rPr>
                    <w:t>陕西华胜信达工程技术有限公司</w:t>
                  </w:r>
                  <w:r>
                    <w:rPr>
                      <w:rFonts w:hint="default" w:ascii="Times New Roman" w:hAnsi="Times New Roman" w:eastAsia="宋体" w:cs="Times New Roman"/>
                      <w:bCs/>
                      <w:color w:val="auto"/>
                      <w:sz w:val="21"/>
                      <w:szCs w:val="21"/>
                      <w:highlight w:val="none"/>
                      <w:lang w:eastAsia="zh-CN"/>
                    </w:rPr>
                    <w:t>处置</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废弃防渗布（未受污染）、废弃纯碱、膨润土等包装袋由钻井施工企业（五普40837HB）委托处置；</w:t>
                  </w:r>
                  <w:r>
                    <w:rPr>
                      <w:rFonts w:hint="default" w:ascii="Times New Roman" w:hAnsi="Times New Roman" w:eastAsia="宋体" w:cs="Times New Roman"/>
                      <w:color w:val="auto"/>
                      <w:sz w:val="21"/>
                      <w:szCs w:val="21"/>
                      <w:highlight w:val="none"/>
                      <w:lang w:val="en-US" w:eastAsia="zh-CN" w:bidi="ar-SA"/>
                    </w:rPr>
                    <w:t>废过硫酸钾包装袋</w:t>
                  </w:r>
                  <w:r>
                    <w:rPr>
                      <w:rFonts w:hint="eastAsia" w:ascii="Times New Roman" w:hAnsi="Times New Roman" w:eastAsia="宋体" w:cs="Times New Roman"/>
                      <w:color w:val="auto"/>
                      <w:sz w:val="21"/>
                      <w:szCs w:val="21"/>
                      <w:highlight w:val="none"/>
                      <w:lang w:val="en-US" w:eastAsia="zh-CN" w:bidi="ar-SA"/>
                    </w:rPr>
                    <w:t>、废弃防渗布（沾落地油）、落地油、废含油抹布、含油岩屑收集暂存于临时危废贮存库后，</w:t>
                  </w:r>
                  <w:r>
                    <w:rPr>
                      <w:rFonts w:hint="eastAsia" w:ascii="Times New Roman" w:hAnsi="Times New Roman" w:eastAsia="宋体" w:cs="Times New Roman"/>
                      <w:color w:val="auto"/>
                      <w:spacing w:val="0"/>
                      <w:kern w:val="21"/>
                      <w:sz w:val="21"/>
                      <w:szCs w:val="21"/>
                      <w:highlight w:val="none"/>
                      <w:lang w:val="en-US" w:eastAsia="zh-CN" w:bidi="ar-SA"/>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color w:val="auto"/>
                      <w:spacing w:val="0"/>
                      <w:kern w:val="21"/>
                      <w:sz w:val="21"/>
                      <w:szCs w:val="21"/>
                      <w:highlight w:val="none"/>
                      <w:lang w:val="en-US" w:eastAsia="zh-CN" w:bidi="ar-SA"/>
                    </w:rPr>
                    <w:t>；未产生建筑垃圾、废机油、废润滑油；施工场地设置生活垃圾箱（桶），生活垃圾收集后运至就近的生活垃圾中转站。不产生二次污染。</w:t>
                  </w:r>
                </w:p>
                <w:p w14:paraId="52ADBDC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根据现场调查，施工期无遗留生活垃圾污染问题，未发现公众举报现象。</w:t>
                  </w:r>
                </w:p>
              </w:tc>
              <w:tc>
                <w:tcPr>
                  <w:tcW w:w="415" w:type="pct"/>
                  <w:vMerge w:val="restart"/>
                  <w:tcBorders>
                    <w:tl2br w:val="nil"/>
                    <w:tr2bl w:val="nil"/>
                  </w:tcBorders>
                  <w:vAlign w:val="center"/>
                </w:tcPr>
                <w:p w14:paraId="4AEDF5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30B79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各项措施已按环评要求落实，各项固体废物均得到有效处理，做到“工完、料尽、场地净”。</w:t>
                  </w:r>
                </w:p>
                <w:p w14:paraId="040FAD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4"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71" w:type="pct"/>
                  <w:tcBorders>
                    <w:tl2br w:val="nil"/>
                    <w:tr2bl w:val="nil"/>
                  </w:tcBorders>
                  <w:shd w:val="clear" w:color="auto" w:fill="auto"/>
                  <w:vAlign w:val="center"/>
                </w:tcPr>
                <w:p w14:paraId="0EFD0D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7FA30E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生活垃圾统一收集运输至环卫部门指定地点处置。</w:t>
                  </w:r>
                  <w:r>
                    <w:rPr>
                      <w:rFonts w:hint="eastAsia" w:ascii="Times New Roman" w:hAnsi="Times New Roman" w:eastAsia="宋体" w:cs="Times New Roman"/>
                      <w:color w:val="auto"/>
                      <w:sz w:val="21"/>
                      <w:szCs w:val="21"/>
                      <w:highlight w:val="none"/>
                      <w:lang w:eastAsia="zh-CN"/>
                    </w:rPr>
                    <w:t>含油岩屑</w:t>
                  </w:r>
                  <w:r>
                    <w:rPr>
                      <w:rFonts w:hint="default" w:ascii="Times New Roman" w:hAnsi="Times New Roman" w:eastAsia="宋体" w:cs="Times New Roman"/>
                      <w:color w:val="auto"/>
                      <w:sz w:val="21"/>
                      <w:szCs w:val="21"/>
                      <w:highlight w:val="none"/>
                      <w:lang w:eastAsia="zh-CN"/>
                    </w:rPr>
                    <w:t>、废防渗布、落地油、废机油等危险废物分类暂存在场地，并建立管理台账及转移联单，定期委托有资质的单位进行安全处置</w:t>
                  </w:r>
                  <w:r>
                    <w:rPr>
                      <w:rFonts w:hint="eastAsia" w:ascii="Times New Roman" w:hAnsi="Times New Roman" w:eastAsia="宋体" w:cs="Times New Roman"/>
                      <w:color w:val="auto"/>
                      <w:sz w:val="21"/>
                      <w:szCs w:val="21"/>
                      <w:highlight w:val="none"/>
                      <w:lang w:eastAsia="zh-CN"/>
                    </w:rPr>
                    <w:t>。</w:t>
                  </w:r>
                </w:p>
              </w:tc>
              <w:tc>
                <w:tcPr>
                  <w:tcW w:w="1611"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86"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74"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1871" w:type="pct"/>
                  <w:tcBorders>
                    <w:tl2br w:val="nil"/>
                    <w:tr2bl w:val="nil"/>
                  </w:tcBorders>
                  <w:vAlign w:val="center"/>
                </w:tcPr>
                <w:p w14:paraId="0DAA1D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环评报告中要求的环保措施：</w:t>
                  </w:r>
                </w:p>
                <w:p w14:paraId="10D8D4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设置灭火器、正压式呼吸器、便携式可燃气体检测仪等；井场厂界距居民100m范围内的是JH55P2（西北侧82m处有5户村民、东北侧71m处有9户村民），JH55P2、永平1H、永平2H井场距离干沟位置较近，评价井开钻前，以上井场周围应当设置不低于50cm的砖混围墙。</w:t>
                  </w:r>
                </w:p>
              </w:tc>
              <w:tc>
                <w:tcPr>
                  <w:tcW w:w="1611" w:type="pct"/>
                  <w:vMerge w:val="restart"/>
                  <w:tcBorders>
                    <w:tl2br w:val="nil"/>
                    <w:tr2bl w:val="nil"/>
                  </w:tcBorders>
                  <w:vAlign w:val="center"/>
                </w:tcPr>
                <w:p w14:paraId="1B8611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pacing w:val="0"/>
                      <w:sz w:val="21"/>
                      <w:szCs w:val="21"/>
                      <w:highlight w:val="none"/>
                      <w:lang w:eastAsia="zh-CN"/>
                    </w:rPr>
                    <w:t>（</w:t>
                  </w:r>
                  <w:r>
                    <w:rPr>
                      <w:rFonts w:hint="eastAsia" w:ascii="Times New Roman" w:hAnsi="Times New Roman" w:cs="Times New Roman" w:eastAsiaTheme="minorEastAsia"/>
                      <w:color w:val="auto"/>
                      <w:spacing w:val="0"/>
                      <w:sz w:val="21"/>
                      <w:szCs w:val="21"/>
                      <w:highlight w:val="none"/>
                      <w:lang w:val="en-US" w:eastAsia="zh-CN"/>
                    </w:rPr>
                    <w:t>1</w:t>
                  </w:r>
                  <w:r>
                    <w:rPr>
                      <w:rFonts w:hint="eastAsia" w:ascii="Times New Roman" w:hAnsi="Times New Roman" w:cs="Times New Roman" w:eastAsiaTheme="minorEastAsia"/>
                      <w:color w:val="auto"/>
                      <w:spacing w:val="0"/>
                      <w:sz w:val="21"/>
                      <w:szCs w:val="21"/>
                      <w:highlight w:val="none"/>
                      <w:lang w:eastAsia="zh-CN"/>
                    </w:rPr>
                    <w:t>）</w:t>
                  </w:r>
                  <w:r>
                    <w:rPr>
                      <w:rFonts w:hint="default" w:ascii="Times New Roman" w:hAnsi="Times New Roman" w:cs="Times New Roman" w:eastAsiaTheme="minorEastAsia"/>
                      <w:color w:val="auto"/>
                      <w:spacing w:val="0"/>
                      <w:sz w:val="21"/>
                      <w:szCs w:val="21"/>
                      <w:highlight w:val="none"/>
                      <w:lang w:eastAsia="zh-CN"/>
                    </w:rPr>
                    <w:t>JH55P2井场及防渗布周围设置20cm高土围堰。井场周边设置50cm的砖混围墙，现已拆除</w:t>
                  </w:r>
                  <w:r>
                    <w:rPr>
                      <w:rFonts w:hint="default" w:ascii="Times New Roman" w:hAnsi="Times New Roman" w:cs="Times New Roman" w:eastAsiaTheme="minorEastAsia"/>
                      <w:color w:val="auto"/>
                      <w:spacing w:val="0"/>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设置灭火器、正压式呼吸器、便携式可燃气体检测仪等；井场钻井设备摆放处、循环水利用设施等采取防渗漏措施</w:t>
                  </w:r>
                  <w:r>
                    <w:rPr>
                      <w:rFonts w:hint="default" w:ascii="Times New Roman" w:hAnsi="Times New Roman" w:cs="Times New Roman" w:eastAsiaTheme="minorEastAsia"/>
                      <w:color w:val="auto"/>
                      <w:spacing w:val="0"/>
                      <w:sz w:val="21"/>
                      <w:szCs w:val="21"/>
                      <w:highlight w:val="none"/>
                      <w:lang w:val="en-US" w:eastAsia="zh-CN"/>
                    </w:rPr>
                    <w:t>。</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z w:val="21"/>
                      <w:szCs w:val="21"/>
                      <w:highlight w:val="none"/>
                      <w:lang w:val="en-US" w:eastAsia="zh-CN" w:bidi="ar-SA"/>
                    </w:rPr>
                    <w:t>（2）</w:t>
                  </w:r>
                  <w:r>
                    <w:rPr>
                      <w:rFonts w:hint="default" w:ascii="Times New Roman" w:hAnsi="Times New Roman" w:cs="Times New Roman" w:eastAsiaTheme="minorEastAsia"/>
                      <w:color w:val="auto"/>
                      <w:sz w:val="21"/>
                      <w:szCs w:val="21"/>
                      <w:highlight w:val="none"/>
                      <w:lang w:val="en-US" w:eastAsia="zh-CN" w:bidi="ar-SA"/>
                    </w:rPr>
                    <w:t>施工期安装井控装置，防止井喷；加强各类储罐的储存管理，罐区均采用防渗措施，四周设置围堰；同时加强施工期间风险管理，井场布置按照《钻前工程及井场布置技术要求》的规定进行了设置；</w:t>
                  </w:r>
                  <w:r>
                    <w:rPr>
                      <w:rFonts w:hint="eastAsia" w:ascii="Times New Roman" w:hAnsi="Times New Roman" w:cs="Times New Roman" w:eastAsiaTheme="minorEastAsia"/>
                      <w:color w:val="auto"/>
                      <w:sz w:val="21"/>
                      <w:szCs w:val="21"/>
                      <w:highlight w:val="none"/>
                      <w:lang w:val="en-US" w:eastAsia="zh-CN" w:bidi="ar-SA"/>
                    </w:rPr>
                    <w:t>项目</w:t>
                  </w:r>
                  <w:r>
                    <w:rPr>
                      <w:rFonts w:hint="eastAsia" w:ascii="Times New Roman" w:hAnsi="Times New Roman" w:eastAsia="宋体" w:cs="Times New Roman"/>
                      <w:color w:val="auto"/>
                      <w:sz w:val="21"/>
                      <w:szCs w:val="21"/>
                      <w:highlight w:val="none"/>
                      <w:lang w:eastAsia="zh-CN"/>
                    </w:rPr>
                    <w:t>周边地下水、土壤等的</w:t>
                  </w:r>
                  <w:r>
                    <w:rPr>
                      <w:rFonts w:hint="eastAsia"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45D2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val="en-US" w:eastAsia="zh-CN"/>
                    </w:rPr>
                    <w:t>中国石油化工股份有限公司华北油气分公司采油一厂针对可能发生的石油泄漏事故制定了相关的风险防范措施并进行了落实，定期组织进行学习与培训；同时中国石油化工股份有限公司华北油气分公司采油一厂也认真制定了突发环境事件应急预案，</w:t>
                  </w:r>
                  <w:r>
                    <w:rPr>
                      <w:rFonts w:hint="default" w:ascii="Times New Roman" w:hAnsi="Times New Roman" w:eastAsia="宋体" w:cs="Times New Roman"/>
                      <w:color w:val="auto"/>
                      <w:sz w:val="21"/>
                      <w:szCs w:val="21"/>
                      <w:highlight w:val="none"/>
                      <w:lang w:val="en-US" w:eastAsia="zh-CN"/>
                    </w:rPr>
                    <w:t>并于</w:t>
                  </w:r>
                  <w:r>
                    <w:rPr>
                      <w:rFonts w:hint="eastAsia" w:ascii="Times New Roman" w:hAnsi="Times New Roman" w:eastAsia="宋体" w:cs="Times New Roman"/>
                      <w:color w:val="auto"/>
                      <w:sz w:val="21"/>
                      <w:szCs w:val="21"/>
                      <w:highlight w:val="none"/>
                      <w:lang w:val="en-US" w:eastAsia="zh-CN"/>
                    </w:rPr>
                    <w:t>2023年1月11日取得了庆阳市生态环境局宁县分局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该应急预案修编日期为2026年1月11日，在本项目验收时间范围内</w:t>
                  </w:r>
                  <w:r>
                    <w:rPr>
                      <w:rFonts w:hint="default" w:ascii="Times New Roman" w:hAnsi="Times New Roman" w:cs="Times New Roman" w:eastAsiaTheme="minorEastAsia"/>
                      <w:color w:val="auto"/>
                      <w:sz w:val="21"/>
                      <w:szCs w:val="21"/>
                      <w:highlight w:val="none"/>
                      <w:lang w:val="en-US" w:eastAsia="zh-CN"/>
                    </w:rPr>
                    <w:t>。</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55DAA1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p>
                <w:p w14:paraId="66F791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474"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71" w:type="pct"/>
                  <w:tcBorders>
                    <w:tl2br w:val="nil"/>
                    <w:tr2bl w:val="nil"/>
                  </w:tcBorders>
                  <w:vAlign w:val="center"/>
                </w:tcPr>
                <w:p w14:paraId="68F279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409E5C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tc>
              <w:tc>
                <w:tcPr>
                  <w:tcW w:w="1611"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916"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社会影响</w:t>
                  </w:r>
                </w:p>
              </w:tc>
              <w:tc>
                <w:tcPr>
                  <w:tcW w:w="1871"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11"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2"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生态影响</w:t>
                  </w:r>
                </w:p>
              </w:tc>
              <w:tc>
                <w:tcPr>
                  <w:tcW w:w="474"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71"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11"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2"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污染影响</w:t>
                  </w:r>
                </w:p>
              </w:tc>
              <w:tc>
                <w:tcPr>
                  <w:tcW w:w="474"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1871" w:type="pct"/>
                  <w:tcBorders>
                    <w:tl2br w:val="nil"/>
                    <w:tr2bl w:val="nil"/>
                  </w:tcBorders>
                  <w:vAlign w:val="center"/>
                </w:tcPr>
                <w:p w14:paraId="46829A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26EC60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本项目为石油勘探井的钻井工程，使用功能为石油勘探、完井并测试，不涉及运营期。</w:t>
                  </w:r>
                </w:p>
              </w:tc>
              <w:tc>
                <w:tcPr>
                  <w:tcW w:w="1611" w:type="pct"/>
                  <w:tcBorders>
                    <w:tl2br w:val="nil"/>
                    <w:tr2bl w:val="nil"/>
                  </w:tcBorders>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目前，井场</w:t>
                  </w:r>
                  <w:r>
                    <w:rPr>
                      <w:rFonts w:hint="eastAsia" w:ascii="Times New Roman" w:hAnsi="Times New Roman" w:eastAsia="宋体" w:cs="Times New Roman"/>
                      <w:color w:val="auto"/>
                      <w:sz w:val="21"/>
                      <w:szCs w:val="21"/>
                      <w:highlight w:val="none"/>
                      <w:lang w:val="en-US" w:eastAsia="zh-CN" w:bidi="ar-SA"/>
                    </w:rPr>
                    <w:t>已探出油</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后续</w:t>
                  </w:r>
                  <w:r>
                    <w:rPr>
                      <w:rFonts w:hint="default" w:ascii="Times New Roman" w:hAnsi="Times New Roman" w:eastAsia="宋体" w:cs="Times New Roman"/>
                      <w:color w:val="auto"/>
                      <w:sz w:val="21"/>
                      <w:szCs w:val="21"/>
                      <w:highlight w:val="none"/>
                      <w:lang w:val="en-US" w:eastAsia="zh-CN" w:bidi="ar-SA"/>
                    </w:rPr>
                    <w:t>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6"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74"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71" w:type="pct"/>
                  <w:tcBorders>
                    <w:tl2br w:val="nil"/>
                    <w:tr2bl w:val="nil"/>
                  </w:tcBorders>
                  <w:vAlign w:val="center"/>
                </w:tcPr>
                <w:p w14:paraId="5DE0E7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环评审批文件要求的风险防范措施：</w:t>
                  </w:r>
                </w:p>
                <w:p w14:paraId="67A4D7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严格依据《报告表》中批复的井场建设地点、坐标和评价井井号、数量等内容进行石油勘探工作，严禁擅自变更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对《报告表》及审查意见提出的各项生态环境保护措施和要求，应明确到井场施工合同中并认真监督执行。该项目为陆地石油</w:t>
                  </w:r>
                  <w:r>
                    <w:rPr>
                      <w:rFonts w:hint="eastAsia" w:ascii="Times New Roman" w:hAnsi="Times New Roman" w:eastAsia="宋体" w:cs="Times New Roman"/>
                      <w:color w:val="auto"/>
                      <w:sz w:val="21"/>
                      <w:szCs w:val="21"/>
                      <w:highlight w:val="none"/>
                      <w:lang w:val="en-US" w:eastAsia="zh-CN"/>
                    </w:rPr>
                    <w:t>、天然气</w:t>
                  </w:r>
                  <w:r>
                    <w:rPr>
                      <w:rFonts w:hint="default" w:ascii="Times New Roman" w:hAnsi="Times New Roman" w:eastAsia="宋体" w:cs="Times New Roman"/>
                      <w:color w:val="auto"/>
                      <w:sz w:val="21"/>
                      <w:szCs w:val="21"/>
                      <w:highlight w:val="none"/>
                      <w:lang w:val="en-US" w:eastAsia="zh-CN"/>
                    </w:rPr>
                    <w:t>资源地质勘探工程，若评价井转为生产井，须纳入油田区块管理并及时报批环评文件。</w:t>
                  </w:r>
                </w:p>
              </w:tc>
              <w:tc>
                <w:tcPr>
                  <w:tcW w:w="1611" w:type="pct"/>
                  <w:tcBorders>
                    <w:tl2br w:val="nil"/>
                    <w:tr2bl w:val="nil"/>
                  </w:tcBorders>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6"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社会影响</w:t>
                  </w:r>
                </w:p>
              </w:tc>
              <w:tc>
                <w:tcPr>
                  <w:tcW w:w="474"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71"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11"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53D8F163">
            <w:pPr>
              <w:keepNext w:val="0"/>
              <w:keepLines w:val="0"/>
              <w:widowControl w:val="0"/>
              <w:suppressLineNumbers w:val="0"/>
              <w:spacing w:before="0" w:beforeAutospacing="0" w:after="0" w:afterAutospacing="0"/>
              <w:ind w:left="0" w:right="0"/>
              <w:jc w:val="center"/>
              <w:rPr>
                <w:rFonts w:hint="default"/>
                <w:color w:val="auto"/>
                <w:highlight w:val="none"/>
              </w:rPr>
            </w:pPr>
          </w:p>
          <w:p w14:paraId="3F298032">
            <w:pPr>
              <w:pStyle w:val="5"/>
              <w:widowControl w:val="0"/>
              <w:suppressLineNumbers w:val="0"/>
              <w:spacing w:before="0"/>
              <w:ind w:left="0" w:right="0"/>
              <w:jc w:val="both"/>
              <w:rPr>
                <w:rFonts w:hint="default"/>
                <w:color w:val="auto"/>
                <w:highlight w:val="none"/>
              </w:rPr>
            </w:pPr>
          </w:p>
          <w:p w14:paraId="094401AF">
            <w:pPr>
              <w:keepNext w:val="0"/>
              <w:keepLines w:val="0"/>
              <w:widowControl w:val="0"/>
              <w:suppressLineNumbers w:val="0"/>
              <w:spacing w:before="0" w:beforeAutospacing="0" w:afterAutospacing="0"/>
              <w:ind w:left="0" w:right="0"/>
              <w:jc w:val="both"/>
              <w:rPr>
                <w:rFonts w:hint="default"/>
                <w:color w:val="auto"/>
                <w:highlight w:val="none"/>
              </w:rPr>
            </w:pPr>
          </w:p>
          <w:p w14:paraId="1A40CA07">
            <w:pPr>
              <w:pStyle w:val="5"/>
              <w:widowControl w:val="0"/>
              <w:suppressLineNumbers w:val="0"/>
              <w:spacing w:before="0"/>
              <w:ind w:left="0" w:right="0"/>
              <w:jc w:val="both"/>
              <w:rPr>
                <w:rFonts w:hint="default"/>
              </w:rPr>
            </w:pPr>
          </w:p>
        </w:tc>
      </w:tr>
    </w:tbl>
    <w:p w14:paraId="03FB4149">
      <w:pPr>
        <w:pStyle w:val="2"/>
        <w:ind w:left="0" w:leftChars="0" w:firstLine="0" w:firstLineChars="0"/>
        <w:rPr>
          <w:rFonts w:hint="default"/>
          <w:color w:val="auto"/>
          <w:highlight w:val="none"/>
        </w:rPr>
      </w:pPr>
    </w:p>
    <w:p w14:paraId="22C443B0">
      <w:pPr>
        <w:rPr>
          <w:rFonts w:hint="default"/>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7" w:name="_Toc28235"/>
      <w:r>
        <w:rPr>
          <w:rFonts w:hint="eastAsia" w:ascii="Times New Roman" w:hAnsi="Times New Roman" w:eastAsia="宋体" w:cs="Times New Roman"/>
          <w:b/>
          <w:bCs/>
          <w:color w:val="auto"/>
          <w:w w:val="95"/>
          <w:sz w:val="32"/>
          <w:highlight w:val="none"/>
          <w:lang w:val="en-US" w:eastAsia="zh-CN"/>
        </w:rPr>
        <w:t>7</w:t>
      </w:r>
      <w:r>
        <w:rPr>
          <w:rFonts w:hint="default" w:ascii="Times New Roman" w:hAnsi="Times New Roman" w:eastAsia="宋体" w:cs="Times New Roman"/>
          <w:b/>
          <w:bCs/>
          <w:color w:val="auto"/>
          <w:w w:val="95"/>
          <w:sz w:val="32"/>
          <w:highlight w:val="none"/>
          <w:lang w:val="en-US" w:eastAsia="zh-CN"/>
        </w:rPr>
        <w:t>.环境影响调查</w:t>
      </w:r>
      <w:bookmarkEnd w:id="7"/>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525"/>
        <w:gridCol w:w="7629"/>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525"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29"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bookmarkStart w:id="8" w:name="_Toc529516475"/>
            <w:bookmarkStart w:id="9" w:name="_Toc536625867"/>
            <w:r>
              <w:rPr>
                <w:rFonts w:hint="default"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32091578">
            <w:pPr>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自然环境概况</w:t>
            </w:r>
          </w:p>
          <w:p w14:paraId="5AEB0E2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本项目所处区域气候属温带大陆性半干旱季风气候，项目区属黄土高原丘陵沟壑区地貌类型，区内丘陵起伏、梁卯相间，沟壑纵横；调查范围内，井场周边无地表水、地下水分布，井场周边的主要土壤类型为黑垆土、黄绵土；植被类型主要是荒坡牧草，天然草以冰草、白羊草等为主，动物主要为物种组成以小型兽类和鸟类为主，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目前验收调查阶段现场照片见附图。</w:t>
            </w:r>
          </w:p>
          <w:p w14:paraId="31A102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工程占地影响调查</w:t>
            </w:r>
            <w:bookmarkEnd w:id="8"/>
            <w:bookmarkEnd w:id="9"/>
          </w:p>
          <w:p w14:paraId="168010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val="en-US" w:eastAsia="zh-CN"/>
              </w:rPr>
              <w:t>井场及进场道路均为临时占地，</w:t>
            </w:r>
            <w:r>
              <w:rPr>
                <w:rFonts w:hint="eastAsia" w:ascii="Times New Roman" w:hAnsi="Times New Roman" w:eastAsia="宋体" w:cs="Times New Roman"/>
                <w:color w:val="auto"/>
                <w:sz w:val="24"/>
                <w:szCs w:val="24"/>
                <w:highlight w:val="none"/>
              </w:rPr>
              <w:t>占地面积约</w:t>
            </w:r>
            <w:r>
              <w:rPr>
                <w:rFonts w:hint="eastAsia" w:ascii="Times New Roman" w:hAnsi="Times New Roman" w:eastAsia="宋体" w:cs="Times New Roman"/>
                <w:b w:val="0"/>
                <w:color w:val="auto"/>
                <w:spacing w:val="0"/>
                <w:w w:val="100"/>
                <w:sz w:val="24"/>
                <w:szCs w:val="24"/>
                <w:highlight w:val="none"/>
                <w:lang w:val="en-US" w:eastAsia="zh-CN" w:bidi="ar-SA"/>
              </w:rPr>
              <w:t>16347.46</w:t>
            </w:r>
            <w:r>
              <w:rPr>
                <w:rFonts w:hint="eastAsia" w:ascii="Times New Roman" w:hAnsi="Times New Roman" w:eastAsia="宋体" w:cs="Times New Roman"/>
                <w:color w:val="auto"/>
                <w:sz w:val="24"/>
                <w:szCs w:val="24"/>
                <w:highlight w:val="none"/>
                <w:lang w:val="en-US" w:eastAsia="zh-CN"/>
              </w:rPr>
              <w:t>m</w:t>
            </w:r>
            <w:r>
              <w:rPr>
                <w:rFonts w:hint="eastAsia"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vertAlign w:val="baseline"/>
                <w:lang w:eastAsia="zh-CN"/>
              </w:rPr>
              <w:t>，</w:t>
            </w:r>
            <w:r>
              <w:rPr>
                <w:rFonts w:hint="eastAsia" w:ascii="Times New Roman" w:hAnsi="Times New Roman" w:eastAsia="宋体" w:cs="Times New Roman"/>
                <w:color w:val="auto"/>
                <w:sz w:val="24"/>
                <w:szCs w:val="24"/>
                <w:highlight w:val="none"/>
                <w:lang w:val="en-US" w:eastAsia="zh-CN"/>
              </w:rPr>
              <w:t>用地性质</w:t>
            </w:r>
            <w:r>
              <w:rPr>
                <w:rFonts w:hint="eastAsia" w:ascii="Times New Roman" w:hAnsi="Times New Roman" w:eastAsia="宋体" w:cs="Times New Roman"/>
                <w:color w:val="auto"/>
                <w:sz w:val="24"/>
                <w:szCs w:val="24"/>
                <w:highlight w:val="none"/>
              </w:rPr>
              <w:t>为</w:t>
            </w:r>
            <w:r>
              <w:rPr>
                <w:rFonts w:hint="eastAsia"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施工结束后，</w:t>
            </w:r>
            <w:r>
              <w:rPr>
                <w:rFonts w:hint="eastAsia" w:ascii="Times New Roman" w:hAnsi="Times New Roman" w:eastAsia="宋体" w:cs="Times New Roman"/>
                <w:color w:val="auto"/>
                <w:sz w:val="24"/>
                <w:szCs w:val="24"/>
                <w:highlight w:val="none"/>
                <w:lang w:val="en-US" w:eastAsia="zh-CN"/>
              </w:rPr>
              <w:t>JH55P2</w:t>
            </w:r>
            <w:r>
              <w:rPr>
                <w:rFonts w:hint="default" w:ascii="Times New Roman" w:hAnsi="Times New Roman" w:eastAsia="宋体" w:cs="Times New Roman"/>
                <w:color w:val="auto"/>
                <w:sz w:val="24"/>
                <w:szCs w:val="24"/>
                <w:highlight w:val="none"/>
                <w:lang w:val="en-US" w:eastAsia="zh-CN"/>
              </w:rPr>
              <w:t>进行临时关井，待转产，除预留转为生产开发所需的面积外，对其余临时占地及时进行了植被恢复</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根据调查，</w:t>
            </w:r>
            <w:r>
              <w:rPr>
                <w:rFonts w:hint="default"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default" w:ascii="Times New Roman" w:hAnsi="Times New Roman" w:eastAsia="宋体" w:cs="Times New Roman"/>
                <w:color w:val="auto"/>
                <w:sz w:val="24"/>
                <w:szCs w:val="24"/>
                <w:highlight w:val="none"/>
                <w:lang w:val="en-US" w:eastAsia="zh-CN"/>
              </w:rPr>
              <w:t>关井，关井</w:t>
            </w:r>
            <w:r>
              <w:rPr>
                <w:rFonts w:hint="default"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default" w:ascii="Times New Roman" w:hAnsi="Times New Roman" w:eastAsia="宋体" w:cs="Times New Roman"/>
                <w:color w:val="auto"/>
                <w:sz w:val="24"/>
                <w:szCs w:val="24"/>
                <w:highlight w:val="none"/>
                <w:lang w:eastAsia="zh-CN"/>
              </w:rPr>
              <w:t>。</w:t>
            </w:r>
          </w:p>
          <w:p w14:paraId="253C94F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bookmarkStart w:id="10" w:name="_Toc34838380"/>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1931888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rPr>
              <w:t>占地类型主要为</w:t>
            </w:r>
            <w:r>
              <w:rPr>
                <w:rFonts w:hint="eastAsia" w:ascii="Times New Roman" w:hAnsi="Times New Roman" w:eastAsia="宋体" w:cs="Times New Roman"/>
                <w:color w:val="auto"/>
                <w:sz w:val="24"/>
                <w:szCs w:val="24"/>
                <w:highlight w:val="none"/>
                <w:lang w:val="en-US" w:eastAsia="zh-CN"/>
              </w:rPr>
              <w:t>耕地</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项目区域内</w:t>
            </w:r>
            <w:r>
              <w:rPr>
                <w:rFonts w:hint="eastAsia"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eastAsia" w:ascii="Times New Roman" w:hAnsi="Times New Roman" w:eastAsia="宋体" w:cs="Times New Roman"/>
                <w:color w:val="auto"/>
                <w:sz w:val="24"/>
                <w:szCs w:val="24"/>
                <w:highlight w:val="none"/>
                <w:lang w:eastAsia="zh-CN"/>
              </w:rPr>
              <w:t>。</w:t>
            </w:r>
          </w:p>
          <w:bookmarkEnd w:id="10"/>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1" w:name="_Toc536625869"/>
            <w:bookmarkStart w:id="12" w:name="_Toc529516477"/>
            <w:r>
              <w:rPr>
                <w:rFonts w:hint="eastAsia" w:ascii="Times New Roman" w:hAnsi="Times New Roman" w:eastAsia="宋体" w:cs="Times New Roman"/>
                <w:b/>
                <w:bCs/>
                <w:color w:val="auto"/>
                <w:sz w:val="24"/>
                <w:szCs w:val="24"/>
                <w:highlight w:val="none"/>
                <w:lang w:val="en-US" w:eastAsia="zh-CN"/>
              </w:rPr>
              <w:t>4、土壤环境影响调查</w:t>
            </w:r>
          </w:p>
          <w:p w14:paraId="6C7E6C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项目对土壤的影响主要是施工扰动造成水土流失，以及事故状态下可能对土壤造成污染，影响土壤环境质量。</w:t>
            </w:r>
          </w:p>
          <w:p w14:paraId="2C5CBC6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为调查项目建设可能对土壤环境产生的影响，本项目对井场内</w:t>
            </w:r>
            <w:r>
              <w:rPr>
                <w:rFonts w:hint="eastAsia" w:ascii="Times New Roman" w:hAnsi="Times New Roman" w:eastAsia="宋体" w:cs="Times New Roman"/>
                <w:color w:val="auto"/>
                <w:sz w:val="24"/>
                <w:szCs w:val="24"/>
                <w:highlight w:val="none"/>
                <w:lang w:val="en-US" w:eastAsia="zh-CN"/>
              </w:rPr>
              <w:t>、外</w:t>
            </w:r>
            <w:r>
              <w:rPr>
                <w:rFonts w:hint="default" w:ascii="Times New Roman" w:hAnsi="Times New Roman" w:eastAsia="宋体" w:cs="Times New Roman"/>
                <w:color w:val="auto"/>
                <w:sz w:val="24"/>
                <w:szCs w:val="24"/>
                <w:highlight w:val="none"/>
                <w:lang w:val="en-US" w:eastAsia="zh-CN"/>
              </w:rPr>
              <w:t>土壤进行了监测</w:t>
            </w:r>
            <w:r>
              <w:rPr>
                <w:rFonts w:hint="eastAsia" w:ascii="Times New Roman" w:hAnsi="Times New Roman" w:eastAsia="宋体" w:cs="Times New Roman"/>
                <w:color w:val="auto"/>
                <w:sz w:val="24"/>
                <w:szCs w:val="24"/>
                <w:highlight w:val="none"/>
                <w:lang w:val="en-US" w:eastAsia="zh-CN"/>
              </w:rPr>
              <w:t>（详见表8-1）</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项目验收调查范围内土壤环境受到建设项目的影响较小。</w:t>
            </w:r>
          </w:p>
          <w:p w14:paraId="116DBE9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5、</w:t>
            </w:r>
            <w:r>
              <w:rPr>
                <w:rFonts w:hint="default" w:ascii="Times New Roman" w:hAnsi="Times New Roman" w:eastAsia="宋体" w:cs="Times New Roman"/>
                <w:b/>
                <w:bCs/>
                <w:color w:val="auto"/>
                <w:sz w:val="24"/>
                <w:szCs w:val="24"/>
                <w:highlight w:val="none"/>
                <w:lang w:val="en-US" w:eastAsia="zh-CN"/>
              </w:rPr>
              <w:t>植被影响</w:t>
            </w:r>
            <w:r>
              <w:rPr>
                <w:rFonts w:hint="eastAsia" w:ascii="Times New Roman" w:hAnsi="Times New Roman" w:eastAsia="宋体" w:cs="Times New Roman"/>
                <w:b/>
                <w:bCs/>
                <w:color w:val="auto"/>
                <w:sz w:val="24"/>
                <w:szCs w:val="24"/>
                <w:highlight w:val="none"/>
                <w:lang w:val="en-US" w:eastAsia="zh-CN"/>
              </w:rPr>
              <w:t>、陆地动物及其栖息地的影响</w:t>
            </w:r>
            <w:r>
              <w:rPr>
                <w:rFonts w:hint="default" w:ascii="Times New Roman" w:hAnsi="Times New Roman" w:eastAsia="宋体" w:cs="Times New Roman"/>
                <w:b/>
                <w:bCs/>
                <w:color w:val="auto"/>
                <w:sz w:val="24"/>
                <w:szCs w:val="24"/>
                <w:highlight w:val="none"/>
                <w:lang w:val="en-US" w:eastAsia="zh-CN"/>
              </w:rPr>
              <w:t>调查</w:t>
            </w:r>
            <w:bookmarkEnd w:id="11"/>
            <w:bookmarkEnd w:id="12"/>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bookmarkStart w:id="13" w:name="_Toc536625872"/>
            <w:bookmarkStart w:id="14" w:name="_Toc529516482"/>
            <w:r>
              <w:rPr>
                <w:rFonts w:hint="default" w:ascii="Times New Roman" w:hAnsi="Times New Roman" w:eastAsia="宋体" w:cs="Times New Roman"/>
                <w:color w:val="auto"/>
                <w:sz w:val="24"/>
                <w:szCs w:val="24"/>
                <w:highlight w:val="none"/>
                <w:lang w:val="en-US" w:eastAsia="zh-CN"/>
              </w:rPr>
              <w:t>项目施工过程中</w:t>
            </w:r>
            <w:r>
              <w:rPr>
                <w:rFonts w:hint="default" w:ascii="Times New Roman" w:hAnsi="Times New Roman" w:eastAsia="宋体" w:cs="Times New Roman"/>
                <w:color w:val="auto"/>
                <w:sz w:val="24"/>
                <w:szCs w:val="24"/>
                <w:highlight w:val="none"/>
              </w:rPr>
              <w:t>土方开挖、临时土堆的堆放</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用地范围内的植被受到一定程度的影响。首先</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场地平整直接破坏工程区域内的植被</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破坏了原地表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扰动原土层结构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造成土层松动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形成坡面</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造成局部水土流失</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植被覆盖率下降；同时建筑材料、土石方弃料堆存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使局部区域植物被砍伐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原地表生态发生改变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形成水土流失；其次</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施工单位及时清理了现场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对于临时占地都已进行平整</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生态恢复已</w:t>
            </w:r>
            <w:r>
              <w:rPr>
                <w:rFonts w:hint="default"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项目所在区野生动物种类数量相对较少</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无国家级、省级重点保护野生动物分布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也无保护动物的繁殖地及重要栖息地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无鱼类索饵场、越冬场及产卵场分布</w:t>
            </w:r>
            <w:r>
              <w:rPr>
                <w:rFonts w:hint="default"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right="0" w:rightChars="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    6、生态功能调查</w:t>
            </w:r>
          </w:p>
          <w:p w14:paraId="5AD6773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7、水土流失影响调查</w:t>
            </w:r>
          </w:p>
          <w:p w14:paraId="4EFDC2C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default"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12A844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8、主要生态问题及采取的</w:t>
            </w:r>
            <w:r>
              <w:rPr>
                <w:rFonts w:hint="default" w:ascii="Times New Roman" w:hAnsi="Times New Roman" w:eastAsia="宋体" w:cs="Times New Roman"/>
                <w:b/>
                <w:bCs/>
                <w:color w:val="auto"/>
                <w:sz w:val="24"/>
                <w:szCs w:val="24"/>
                <w:highlight w:val="none"/>
                <w:lang w:val="en-US" w:eastAsia="zh-CN"/>
              </w:rPr>
              <w:t>生态保护措施</w:t>
            </w:r>
            <w:bookmarkEnd w:id="13"/>
            <w:bookmarkEnd w:id="14"/>
          </w:p>
          <w:p w14:paraId="1084006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7E9C399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default" w:ascii="Times New Roman" w:hAnsi="Times New Roman" w:eastAsia="宋体" w:cs="Times New Roman"/>
                <w:color w:val="auto"/>
                <w:sz w:val="24"/>
                <w:szCs w:val="24"/>
                <w:highlight w:val="none"/>
                <w:lang w:eastAsia="zh-CN"/>
              </w:rPr>
              <w:t>；</w:t>
            </w:r>
          </w:p>
          <w:p w14:paraId="4A2154E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（2）场地平整前先进行表土剥离，堆放在表土堆放场，后期进行覆土利用</w:t>
            </w:r>
            <w:r>
              <w:rPr>
                <w:rFonts w:hint="default" w:ascii="Times New Roman" w:hAnsi="Times New Roman" w:eastAsia="宋体" w:cs="Times New Roman"/>
                <w:color w:val="auto"/>
                <w:sz w:val="24"/>
                <w:szCs w:val="24"/>
                <w:highlight w:val="none"/>
                <w:lang w:val="en-US" w:eastAsia="zh-CN"/>
              </w:rPr>
              <w:t>；</w:t>
            </w:r>
          </w:p>
          <w:p w14:paraId="76E69D1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52C3D3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p>
          <w:p w14:paraId="029B760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（5）试</w:t>
            </w:r>
            <w:r>
              <w:rPr>
                <w:rFonts w:hint="default" w:ascii="Times New Roman" w:hAnsi="Times New Roman" w:eastAsia="宋体" w:cs="Times New Roman"/>
                <w:color w:val="auto"/>
                <w:sz w:val="24"/>
                <w:szCs w:val="24"/>
                <w:highlight w:val="none"/>
                <w:lang w:val="en-US" w:eastAsia="zh-CN"/>
              </w:rPr>
              <w:t>油</w:t>
            </w:r>
            <w:r>
              <w:rPr>
                <w:rFonts w:hint="default" w:ascii="Times New Roman" w:hAnsi="Times New Roman" w:eastAsia="宋体" w:cs="Times New Roman"/>
                <w:color w:val="auto"/>
                <w:sz w:val="24"/>
                <w:szCs w:val="24"/>
                <w:highlight w:val="none"/>
              </w:rPr>
              <w:t>过程中采取了防井喷控制措施，未发生井喷事故；</w:t>
            </w:r>
          </w:p>
          <w:p w14:paraId="52E2136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（6）施工结束后对各类固废进行了清运，未发生遗留和泄漏事件。</w:t>
            </w:r>
          </w:p>
          <w:p w14:paraId="3479D02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根据现场踏勘，场地已恢复平整，对井口进行临时关井，待转产除预留转为生产开发所需的面积外，对其余临时占地进行恢复。对施工形成的边坡要采用工程和植物护坡的方式进行治理，提高植被覆盖率，减少水土流失，在种草前采取土地整治措施。采用机械与人工相结合的整地方式，翻耕深度0.3m，耙细并整平。</w:t>
            </w:r>
          </w:p>
          <w:p w14:paraId="5B6E0D7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eastAsia"/>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68"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29" w:type="dxa"/>
            <w:tcMar>
              <w:top w:w="85" w:type="dxa"/>
              <w:left w:w="108" w:type="dxa"/>
              <w:bottom w:w="85" w:type="dxa"/>
              <w:right w:w="108" w:type="dxa"/>
            </w:tcMar>
            <w:vAlign w:val="center"/>
          </w:tcPr>
          <w:p w14:paraId="19910DC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4ABC92B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1835117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本项目废气主要包括施工扬尘、施工过程中车辆与机械废气和钻井柴油发动机废气和井场试油、试气废气</w:t>
            </w:r>
            <w:r>
              <w:rPr>
                <w:rFonts w:hint="default" w:ascii="Times New Roman" w:hAnsi="Times New Roman" w:eastAsia="宋体" w:cs="Times New Roman"/>
                <w:color w:val="auto"/>
                <w:sz w:val="24"/>
                <w:szCs w:val="24"/>
                <w:highlight w:val="none"/>
                <w:lang w:val="en-US" w:eastAsia="zh-CN"/>
              </w:rPr>
              <w:t>。</w:t>
            </w:r>
          </w:p>
          <w:p w14:paraId="17B45D2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627645C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3E6ED50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③选用环保型柴油发电机，使用优质轻柴油，简易排气筒排放；排气管朝向避开了农户分布及项目区工作人员办公生活的方位； </w:t>
            </w:r>
          </w:p>
          <w:p w14:paraId="27CD82C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④少量试油伴生气逸散；试气废气经放喷管放喷燃烧；本项目试油、气过程中无井喷事故发生。</w:t>
            </w:r>
          </w:p>
          <w:p w14:paraId="17B68D7E">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rPr>
              <w:t>⑤</w:t>
            </w:r>
            <w:r>
              <w:rPr>
                <w:rFonts w:hint="default" w:ascii="Times New Roman" w:hAnsi="Times New Roman" w:eastAsia="宋体" w:cs="Times New Roman"/>
                <w:color w:val="auto"/>
                <w:sz w:val="24"/>
                <w:szCs w:val="24"/>
                <w:highlight w:val="none"/>
              </w:rPr>
              <w:fldChar w:fldCharType="end"/>
            </w:r>
            <w:r>
              <w:rPr>
                <w:rFonts w:hint="eastAsia"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279DF78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E352DA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165546C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项目废水主要为施工废水和生活污水，施工废水来自钻井废水、洗井废水、压裂返排液及生活污水</w:t>
            </w:r>
            <w:r>
              <w:rPr>
                <w:rFonts w:hint="default" w:ascii="Times New Roman" w:hAnsi="Times New Roman" w:eastAsia="宋体" w:cs="Times New Roman"/>
                <w:color w:val="auto"/>
                <w:sz w:val="24"/>
                <w:szCs w:val="24"/>
                <w:highlight w:val="none"/>
                <w:lang w:val="en-US" w:eastAsia="zh-CN"/>
              </w:rPr>
              <w:t>。</w:t>
            </w:r>
          </w:p>
          <w:p w14:paraId="215F744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泾河8撬装式水净化站处理达标后回注油层，未外排。施工井场设置了移动式环保厕所，施工人员少量盥洗废水用于洒水降尘，无污水外排现象。</w:t>
            </w:r>
          </w:p>
          <w:p w14:paraId="145AB03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项目建设期间落实了环评及批复要求的环保措施，对周边环境影响有限</w:t>
            </w:r>
            <w:r>
              <w:rPr>
                <w:rFonts w:hint="default" w:ascii="Times New Roman" w:hAnsi="Times New Roman" w:eastAsia="宋体" w:cs="Times New Roman"/>
                <w:color w:val="auto"/>
                <w:sz w:val="24"/>
                <w:szCs w:val="24"/>
                <w:highlight w:val="none"/>
                <w:lang w:val="en-US" w:eastAsia="zh-CN"/>
              </w:rPr>
              <w:t>。</w:t>
            </w:r>
          </w:p>
          <w:p w14:paraId="0392B7D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lang w:val="en-US" w:eastAsia="zh-CN"/>
              </w:rPr>
              <w:t>声环境影响调查</w:t>
            </w:r>
          </w:p>
          <w:p w14:paraId="3A26AC4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w:t>
            </w:r>
            <w:r>
              <w:rPr>
                <w:rFonts w:hint="eastAsia" w:ascii="Times New Roman" w:hAnsi="Times New Roman" w:eastAsia="宋体" w:cs="Times New Roman"/>
                <w:color w:val="auto"/>
                <w:sz w:val="24"/>
                <w:szCs w:val="24"/>
                <w:highlight w:val="none"/>
                <w:lang w:val="en-US" w:eastAsia="zh-CN"/>
              </w:rPr>
              <w:t>走访周围敏感点</w:t>
            </w:r>
            <w:r>
              <w:rPr>
                <w:rFonts w:hint="default" w:ascii="Times New Roman" w:hAnsi="Times New Roman" w:eastAsia="宋体" w:cs="Times New Roman"/>
                <w:color w:val="auto"/>
                <w:sz w:val="24"/>
                <w:szCs w:val="24"/>
                <w:highlight w:val="none"/>
                <w:lang w:val="en-US" w:eastAsia="zh-CN"/>
              </w:rPr>
              <w:t>，项目施工期间的噪声主要来源于正常生产过程中机械噪声和测试放喷时产生的气流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670552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4.</w:t>
            </w:r>
            <w:r>
              <w:rPr>
                <w:rFonts w:hint="default" w:ascii="Times New Roman" w:hAnsi="Times New Roman" w:eastAsia="宋体" w:cs="Times New Roman"/>
                <w:b/>
                <w:bCs/>
                <w:color w:val="auto"/>
                <w:sz w:val="24"/>
                <w:szCs w:val="24"/>
                <w:highlight w:val="none"/>
                <w:lang w:val="en-US" w:eastAsia="zh-CN"/>
              </w:rPr>
              <w:t>固体废物影响调查</w:t>
            </w:r>
          </w:p>
          <w:p w14:paraId="3E7ABF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本项目施工期固体废物主要为</w:t>
            </w:r>
            <w:r>
              <w:rPr>
                <w:rFonts w:hint="eastAsia"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岩屑</w:t>
            </w:r>
            <w:r>
              <w:rPr>
                <w:rFonts w:hint="eastAsia" w:ascii="Times New Roman" w:hAnsi="Times New Roman" w:eastAsia="宋体" w:cs="Times New Roman"/>
                <w:color w:val="auto"/>
                <w:sz w:val="24"/>
                <w:szCs w:val="24"/>
                <w:highlight w:val="none"/>
                <w:lang w:val="en-US" w:eastAsia="zh-CN"/>
              </w:rPr>
              <w:t>。</w:t>
            </w:r>
          </w:p>
          <w:p w14:paraId="63763BC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经调查，</w:t>
            </w:r>
            <w:r>
              <w:rPr>
                <w:rFonts w:hint="default" w:ascii="Times New Roman" w:hAnsi="Times New Roman" w:eastAsia="宋体" w:cs="Times New Roman"/>
                <w:color w:val="auto"/>
                <w:spacing w:val="0"/>
                <w:sz w:val="24"/>
                <w:szCs w:val="24"/>
                <w:highlight w:val="none"/>
                <w:lang w:val="en-US" w:eastAsia="zh-CN"/>
              </w:rPr>
              <w:t>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采用“下铺上盖”方式。纯碱、膨润土废弃包装、废防渗布（不含油）由钻井</w:t>
            </w:r>
            <w:r>
              <w:rPr>
                <w:rFonts w:hint="eastAsia" w:ascii="Times New Roman" w:hAnsi="Times New Roman" w:eastAsia="宋体" w:cs="Times New Roman"/>
                <w:color w:val="auto"/>
                <w:spacing w:val="0"/>
                <w:sz w:val="24"/>
                <w:szCs w:val="24"/>
                <w:highlight w:val="none"/>
                <w:lang w:val="en-US" w:eastAsia="zh-CN"/>
              </w:rPr>
              <w:t>单位（五普40837HB）</w:t>
            </w:r>
            <w:r>
              <w:rPr>
                <w:rFonts w:hint="default" w:ascii="Times New Roman" w:hAnsi="Times New Roman" w:eastAsia="宋体" w:cs="Times New Roman"/>
                <w:color w:val="auto"/>
                <w:spacing w:val="0"/>
                <w:sz w:val="24"/>
                <w:szCs w:val="24"/>
                <w:highlight w:val="none"/>
                <w:lang w:val="en-US" w:eastAsia="zh-CN"/>
              </w:rPr>
              <w:t>回收综合利用。</w:t>
            </w:r>
            <w:r>
              <w:rPr>
                <w:rFonts w:hint="eastAsia" w:ascii="Times New Roman" w:hAnsi="Times New Roman" w:eastAsia="宋体" w:cs="Times New Roman"/>
                <w:color w:val="auto"/>
                <w:spacing w:val="0"/>
                <w:sz w:val="24"/>
                <w:szCs w:val="24"/>
                <w:highlight w:val="none"/>
                <w:lang w:val="en-US" w:eastAsia="zh-CN"/>
              </w:rPr>
              <w:t>施工期未产生建筑垃圾、</w:t>
            </w:r>
            <w:r>
              <w:rPr>
                <w:rFonts w:hint="eastAsia" w:ascii="Times New Roman" w:hAnsi="Times New Roman" w:eastAsia="宋体" w:cs="Times New Roman"/>
                <w:color w:val="auto"/>
                <w:spacing w:val="0"/>
                <w:w w:val="100"/>
                <w:sz w:val="24"/>
                <w:szCs w:val="24"/>
                <w:highlight w:val="none"/>
                <w:lang w:val="en-US" w:eastAsia="zh-CN" w:bidi="ar-SA"/>
              </w:rPr>
              <w:t>废机油、废润滑油。</w:t>
            </w:r>
            <w:r>
              <w:rPr>
                <w:rFonts w:hint="default" w:ascii="Times New Roman" w:hAnsi="Times New Roman" w:eastAsia="宋体" w:cs="Times New Roman"/>
                <w:color w:val="auto"/>
                <w:spacing w:val="0"/>
                <w:sz w:val="24"/>
                <w:szCs w:val="24"/>
                <w:highlight w:val="none"/>
                <w:lang w:val="en-US" w:eastAsia="zh-CN"/>
              </w:rPr>
              <w:t>含油岩屑</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落地油</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被污染的防渗布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废含油抹布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废过硫酸钾包装袋</w:t>
            </w:r>
            <w:r>
              <w:rPr>
                <w:rFonts w:hint="eastAsia" w:ascii="Times New Roman" w:hAnsi="Times New Roman" w:eastAsia="宋体" w:cs="Times New Roman"/>
                <w:color w:val="auto"/>
                <w:spacing w:val="0"/>
                <w:sz w:val="24"/>
                <w:szCs w:val="24"/>
                <w:highlight w:val="none"/>
                <w:lang w:val="en-US" w:eastAsia="zh-CN"/>
              </w:rPr>
              <w:t>经收集暂存于临时危废贮存库后，</w:t>
            </w:r>
            <w:r>
              <w:rPr>
                <w:rFonts w:hint="default" w:ascii="Times New Roman" w:hAnsi="Times New Roman" w:eastAsia="宋体" w:cs="Times New Roman"/>
                <w:color w:val="auto"/>
                <w:spacing w:val="0"/>
                <w:sz w:val="24"/>
                <w:szCs w:val="24"/>
                <w:highlight w:val="none"/>
                <w:lang w:val="en-US" w:eastAsia="zh-CN"/>
              </w:rPr>
              <w:t>委托庆阳丰泰环保有限责任公司进行安全处置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施工场地设置生活垃圾箱（桶）</w:t>
            </w:r>
            <w:r>
              <w:rPr>
                <w:rFonts w:hint="eastAsia" w:ascii="Times New Roman" w:hAnsi="Times New Roman" w:eastAsia="宋体" w:cs="Times New Roman"/>
                <w:color w:val="auto"/>
                <w:spacing w:val="0"/>
                <w:sz w:val="24"/>
                <w:szCs w:val="24"/>
                <w:highlight w:val="none"/>
                <w:lang w:val="en-US" w:eastAsia="zh-CN"/>
              </w:rPr>
              <w:t>，经收集后交由就近的生活垃圾中转站。</w:t>
            </w:r>
          </w:p>
          <w:p w14:paraId="0D93ED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68"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清洁生产调查</w:t>
            </w:r>
          </w:p>
        </w:tc>
        <w:tc>
          <w:tcPr>
            <w:tcW w:w="7629" w:type="dxa"/>
            <w:tcMar>
              <w:top w:w="85" w:type="dxa"/>
              <w:left w:w="108" w:type="dxa"/>
              <w:bottom w:w="85" w:type="dxa"/>
              <w:right w:w="108" w:type="dxa"/>
            </w:tcMar>
            <w:vAlign w:val="center"/>
          </w:tcPr>
          <w:p w14:paraId="53A55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建设单位按照清洁生产的要求进行施工，具体调查如下：</w:t>
            </w:r>
          </w:p>
          <w:p w14:paraId="132ED2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1、绿色钻井技术</w:t>
            </w:r>
          </w:p>
          <w:p w14:paraId="797D2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井口安装防喷器，减少井喷事故的概率。加强油井井口的密闭，加装密封垫，减少井口</w:t>
            </w:r>
            <w:r>
              <w:rPr>
                <w:rFonts w:hint="eastAsia" w:ascii="Times New Roman" w:hAnsi="Times New Roman" w:eastAsia="宋体" w:cs="Times New Roman"/>
                <w:color w:val="auto"/>
                <w:sz w:val="24"/>
                <w:szCs w:val="24"/>
                <w:highlight w:val="none"/>
                <w:lang w:val="en-US" w:eastAsia="zh-CN" w:bidi="ar-SA"/>
              </w:rPr>
              <w:t>烃</w:t>
            </w:r>
            <w:r>
              <w:rPr>
                <w:rFonts w:hint="default" w:ascii="Times New Roman" w:hAnsi="Times New Roman" w:eastAsia="宋体" w:cs="Times New Roman"/>
                <w:color w:val="auto"/>
                <w:sz w:val="24"/>
                <w:szCs w:val="24"/>
                <w:highlight w:val="none"/>
                <w:lang w:val="en-US" w:eastAsia="zh-CN" w:bidi="ar-SA"/>
              </w:rPr>
              <w:t>类的无组织挥发。</w:t>
            </w:r>
          </w:p>
          <w:p w14:paraId="0CC9B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w:t>
            </w:r>
            <w:r>
              <w:rPr>
                <w:rFonts w:hint="default" w:ascii="Times New Roman" w:hAnsi="Times New Roman" w:eastAsia="宋体" w:cs="Times New Roman"/>
                <w:color w:val="auto"/>
                <w:sz w:val="24"/>
                <w:szCs w:val="24"/>
                <w:highlight w:val="none"/>
                <w:lang w:val="en-US" w:eastAsia="zh-CN" w:bidi="ar-SA"/>
              </w:rPr>
              <w:t>项目区域采取分区防渗措施；</w:t>
            </w:r>
            <w:r>
              <w:rPr>
                <w:rFonts w:hint="eastAsia" w:ascii="Times New Roman" w:hAnsi="Times New Roman" w:eastAsia="宋体" w:cs="Times New Roman"/>
                <w:color w:val="auto"/>
                <w:sz w:val="24"/>
                <w:szCs w:val="24"/>
                <w:highlight w:val="none"/>
                <w:lang w:val="en-US" w:eastAsia="zh-CN" w:bidi="ar-SA"/>
              </w:rPr>
              <w:t>分区防渗的要求详见表4-3</w:t>
            </w:r>
            <w:r>
              <w:rPr>
                <w:rFonts w:hint="default" w:ascii="Times New Roman" w:hAnsi="Times New Roman" w:eastAsia="宋体" w:cs="Times New Roman"/>
                <w:color w:val="auto"/>
                <w:sz w:val="24"/>
                <w:szCs w:val="24"/>
                <w:highlight w:val="none"/>
                <w:lang w:val="en-US" w:eastAsia="zh-CN" w:bidi="ar-SA"/>
              </w:rPr>
              <w:t>。防止对地下水造成污染。</w:t>
            </w:r>
          </w:p>
          <w:p w14:paraId="2CE4F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w:t>
            </w:r>
            <w:r>
              <w:rPr>
                <w:rFonts w:hint="eastAsia" w:ascii="Times New Roman" w:hAnsi="Times New Roman" w:eastAsia="宋体" w:cs="Times New Roman"/>
                <w:color w:val="auto"/>
                <w:sz w:val="24"/>
                <w:szCs w:val="24"/>
                <w:highlight w:val="none"/>
                <w:lang w:val="en-US" w:eastAsia="zh-CN"/>
              </w:rPr>
              <w:t>废水、固废收集处理见上文。</w:t>
            </w:r>
          </w:p>
          <w:p w14:paraId="261C5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w:t>
            </w:r>
            <w:r>
              <w:rPr>
                <w:rFonts w:hint="eastAsia" w:ascii="Times New Roman" w:hAnsi="Times New Roman" w:eastAsia="宋体" w:cs="Times New Roman"/>
                <w:color w:val="auto"/>
                <w:sz w:val="24"/>
                <w:szCs w:val="24"/>
                <w:highlight w:val="none"/>
                <w:lang w:val="en-US" w:eastAsia="zh-CN" w:bidi="ar-SA"/>
              </w:rPr>
              <w:t>建设</w:t>
            </w:r>
            <w:r>
              <w:rPr>
                <w:rFonts w:hint="default" w:ascii="Times New Roman" w:hAnsi="Times New Roman" w:eastAsia="宋体" w:cs="Times New Roman"/>
                <w:color w:val="auto"/>
                <w:sz w:val="24"/>
                <w:szCs w:val="24"/>
                <w:highlight w:val="none"/>
                <w:lang w:val="en-US" w:eastAsia="zh-CN" w:bidi="ar-SA"/>
              </w:rPr>
              <w:t>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368"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环境风险事故防范及应急措施调查</w:t>
            </w:r>
          </w:p>
        </w:tc>
        <w:tc>
          <w:tcPr>
            <w:tcW w:w="7629"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w:t>
            </w:r>
            <w:r>
              <w:rPr>
                <w:rFonts w:hint="eastAsia" w:ascii="Times New Roman" w:hAnsi="Times New Roman" w:eastAsia="宋体" w:cs="Times New Roman"/>
                <w:color w:val="auto"/>
                <w:sz w:val="24"/>
                <w:szCs w:val="24"/>
                <w:highlight w:val="none"/>
                <w:lang w:val="en-US" w:eastAsia="zh-CN" w:bidi="ar-SA"/>
              </w:rPr>
              <w:t>由应急领导小组、应急办公室、安全环保组、外部邻近消防资源、现场应急小组、事发单位承包商环境应急处置小组组成</w:t>
            </w:r>
            <w:r>
              <w:rPr>
                <w:rFonts w:hint="default" w:ascii="Times New Roman" w:hAnsi="Times New Roman" w:eastAsia="宋体" w:cs="Times New Roman"/>
                <w:color w:val="auto"/>
                <w:sz w:val="24"/>
                <w:szCs w:val="24"/>
                <w:highlight w:val="none"/>
                <w:lang w:val="en-US" w:eastAsia="zh-CN" w:bidi="ar-SA"/>
              </w:rPr>
              <w:t>。各工作组分别由相关专业人员组成，紧急状态下，由应急救援指挥部统一指挥，分兵把关，各司其职，迅速展开救援工作，承担紧急抢险救援任务。</w:t>
            </w:r>
            <w:r>
              <w:rPr>
                <w:rFonts w:hint="eastAsia" w:ascii="Times New Roman" w:hAnsi="Times New Roman" w:eastAsia="宋体" w:cs="Times New Roman"/>
                <w:color w:val="auto"/>
                <w:sz w:val="24"/>
                <w:szCs w:val="24"/>
                <w:highlight w:val="none"/>
                <w:lang w:val="en-US" w:eastAsia="zh-CN" w:bidi="ar-SA"/>
              </w:rPr>
              <w:t>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eastAsia"/>
                <w:sz w:val="24"/>
                <w:szCs w:val="24"/>
                <w:lang w:val="en-US" w:eastAsia="zh-CN"/>
              </w:rPr>
            </w:pPr>
            <w:r>
              <w:rPr>
                <w:rFonts w:hint="default" w:ascii="Calibri" w:hAnsi="Calibri" w:eastAsia="宋体" w:cs="Times New Roman"/>
                <w:kern w:val="0"/>
                <w:sz w:val="24"/>
                <w:szCs w:val="24"/>
              </w:rPr>
              <mc:AlternateContent>
                <mc:Choice Requires="wpg">
                  <w:drawing>
                    <wp:inline distT="0" distB="0" distL="114300" distR="114300">
                      <wp:extent cx="4709160" cy="2544445"/>
                      <wp:effectExtent l="4445" t="4445" r="10795" b="16510"/>
                      <wp:docPr id="15" name="组合 15"/>
                      <wp:cNvGraphicFramePr/>
                      <a:graphic xmlns:a="http://schemas.openxmlformats.org/drawingml/2006/main">
                        <a:graphicData uri="http://schemas.microsoft.com/office/word/2010/wordprocessingGroup">
                          <wpg:wgp>
                            <wpg:cNvGrpSpPr/>
                            <wpg:grpSpPr>
                              <a:xfrm>
                                <a:off x="0" y="0"/>
                                <a:ext cx="4709164" cy="2544445"/>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0.35pt;width:370.8pt;" coordorigin="7876,284235" coordsize="7365,3515" o:gfxdata="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PBiCy9YAAAAFAQAADwAAAAAAAAABACAAAAAiAAAAZHJzL2Rvd25yZXYueG1s&#10;UEsBAhQAFAAAAAgAh07iQIKarYAYBQAAEiYAAA4AAAAAAAAAAQAgAAAAJQEAAGRycy9lMm9Eb2Mu&#10;eG1sUEsFBgAAAAAGAAYAWQEAAK8I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对厂区进行了科学规划、合理布局，并从技术、工艺、管理方法等方面加强了对环境风险防范设施建设的管理，定期检查防火、防爆、防泄漏，建立了安全生产制度，提高操作人员的素质和水平；建设单位建立了有针对性的环境风险防范体系，配备了一定的硬件设施，加强了对潜在事故的监控，做到及时发现事故隐患，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《突发环境事件应急预案》</w:t>
            </w:r>
            <w:r>
              <w:rPr>
                <w:rFonts w:hint="default" w:ascii="Times New Roman" w:hAnsi="Times New Roman" w:eastAsia="宋体" w:cs="Times New Roman"/>
                <w:color w:val="auto"/>
                <w:sz w:val="24"/>
                <w:szCs w:val="24"/>
                <w:highlight w:val="none"/>
                <w:lang w:val="en-US" w:eastAsia="zh-CN" w:bidi="ar-SA"/>
              </w:rPr>
              <w:t>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w:t>
            </w:r>
            <w:r>
              <w:rPr>
                <w:rFonts w:hint="eastAsia" w:ascii="Times New Roman" w:hAnsi="Times New Roman" w:eastAsia="宋体" w:cs="Times New Roman"/>
                <w:color w:val="auto"/>
                <w:sz w:val="24"/>
                <w:szCs w:val="24"/>
                <w:highlight w:val="none"/>
                <w:lang w:val="en-US" w:eastAsia="zh-CN" w:bidi="ar-SA"/>
              </w:rPr>
              <w:t>应急物资充分，</w:t>
            </w:r>
            <w:r>
              <w:rPr>
                <w:rFonts w:hint="default" w:ascii="Times New Roman" w:hAnsi="Times New Roman" w:eastAsia="宋体" w:cs="Times New Roman"/>
                <w:color w:val="auto"/>
                <w:sz w:val="24"/>
                <w:szCs w:val="24"/>
                <w:highlight w:val="none"/>
                <w:lang w:val="en-US" w:eastAsia="zh-CN" w:bidi="ar-SA"/>
              </w:rPr>
              <w:t>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w:t>
            </w:r>
            <w:r>
              <w:rPr>
                <w:rFonts w:hint="eastAsia" w:ascii="Times New Roman" w:hAnsi="Times New Roman" w:eastAsia="宋体" w:cs="Times New Roman"/>
                <w:color w:val="auto"/>
                <w:sz w:val="24"/>
                <w:szCs w:val="24"/>
                <w:highlight w:val="none"/>
                <w:lang w:val="en-US" w:eastAsia="zh-CN" w:bidi="ar-SA"/>
              </w:rPr>
              <w:t>采油一厂</w:t>
            </w:r>
            <w:r>
              <w:rPr>
                <w:rFonts w:hint="default" w:ascii="Times New Roman" w:hAnsi="Times New Roman" w:eastAsia="宋体" w:cs="Times New Roman"/>
                <w:color w:val="auto"/>
                <w:sz w:val="24"/>
                <w:szCs w:val="24"/>
                <w:highlight w:val="none"/>
                <w:lang w:val="en-US" w:eastAsia="zh-CN" w:bidi="ar-SA"/>
              </w:rPr>
              <w:t>已制定了突发环境事件应急预案，并于</w:t>
            </w:r>
            <w:r>
              <w:rPr>
                <w:rFonts w:hint="eastAsia" w:ascii="Times New Roman" w:hAnsi="Times New Roman" w:eastAsia="宋体" w:cs="Times New Roman"/>
                <w:color w:val="auto"/>
                <w:sz w:val="24"/>
                <w:szCs w:val="24"/>
                <w:highlight w:val="none"/>
                <w:lang w:val="en-US" w:eastAsia="zh-CN" w:bidi="ar-SA"/>
              </w:rPr>
              <w:t>2023年1月11日取得了庆阳市生态环境局宁县分局</w:t>
            </w:r>
            <w:r>
              <w:rPr>
                <w:rFonts w:hint="default" w:ascii="Times New Roman" w:hAnsi="Times New Roman" w:eastAsia="宋体" w:cs="Times New Roman"/>
                <w:color w:val="auto"/>
                <w:sz w:val="24"/>
                <w:szCs w:val="24"/>
                <w:highlight w:val="none"/>
                <w:lang w:val="en-US" w:eastAsia="zh-CN" w:bidi="ar-SA"/>
              </w:rPr>
              <w:t>预案备案文件，并按照预案中相关应急措施进行定期演练。</w:t>
            </w:r>
            <w:r>
              <w:rPr>
                <w:rFonts w:hint="eastAsia" w:ascii="Times New Roman" w:hAnsi="Times New Roman" w:eastAsia="宋体" w:cs="Times New Roman"/>
                <w:color w:val="auto"/>
                <w:sz w:val="24"/>
                <w:szCs w:val="24"/>
                <w:highlight w:val="none"/>
                <w:lang w:val="en-US" w:eastAsia="zh-CN" w:bidi="ar-SA"/>
              </w:rPr>
              <w:t>该应急预案修编日期为2026年1月11日</w:t>
            </w:r>
            <w:r>
              <w:rPr>
                <w:rFonts w:hint="default" w:ascii="Times New Roman" w:hAnsi="Times New Roman" w:eastAsia="宋体" w:cs="Times New Roman"/>
                <w:color w:val="auto"/>
                <w:sz w:val="24"/>
                <w:szCs w:val="24"/>
                <w:highlight w:val="none"/>
                <w:lang w:val="en-US" w:eastAsia="zh-CN" w:bidi="ar-SA"/>
              </w:rPr>
              <w:t>，在本项目验收时间范围内</w:t>
            </w:r>
            <w:r>
              <w:rPr>
                <w:rFonts w:hint="eastAsia" w:ascii="Times New Roman" w:hAnsi="Times New Roman" w:eastAsia="宋体" w:cs="Times New Roman"/>
                <w:color w:val="auto"/>
                <w:sz w:val="24"/>
                <w:szCs w:val="24"/>
                <w:highlight w:val="none"/>
                <w:lang w:val="en-US" w:eastAsia="zh-CN" w:bidi="ar-SA"/>
              </w:rPr>
              <w:t>。</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68"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社会影响</w:t>
            </w:r>
          </w:p>
        </w:tc>
        <w:tc>
          <w:tcPr>
            <w:tcW w:w="7629" w:type="dxa"/>
            <w:shd w:val="clear" w:color="auto" w:fill="auto"/>
            <w:tcMar>
              <w:top w:w="85" w:type="dxa"/>
              <w:left w:w="108" w:type="dxa"/>
              <w:bottom w:w="85" w:type="dxa"/>
              <w:right w:w="108" w:type="dxa"/>
            </w:tcMar>
            <w:vAlign w:val="center"/>
          </w:tcPr>
          <w:p w14:paraId="01094E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68" w:type="dxa"/>
            <w:vMerge w:val="restart"/>
            <w:vAlign w:val="center"/>
          </w:tcPr>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525"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29" w:type="dxa"/>
            <w:vMerge w:val="restart"/>
            <w:shd w:val="clear" w:color="auto" w:fill="auto"/>
            <w:tcMar>
              <w:top w:w="85" w:type="dxa"/>
              <w:left w:w="108" w:type="dxa"/>
              <w:bottom w:w="85" w:type="dxa"/>
              <w:right w:w="108" w:type="dxa"/>
            </w:tcMar>
            <w:vAlign w:val="center"/>
          </w:tcPr>
          <w:p w14:paraId="4A8D682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经试</w:t>
            </w:r>
            <w:r>
              <w:rPr>
                <w:rFonts w:hint="eastAsia" w:ascii="Times New Roman" w:hAnsi="Times New Roman" w:eastAsia="宋体" w:cs="Times New Roman"/>
                <w:color w:val="auto"/>
                <w:sz w:val="24"/>
                <w:szCs w:val="24"/>
                <w:highlight w:val="none"/>
                <w:lang w:val="en-US" w:eastAsia="zh-CN" w:bidi="ar-SA"/>
              </w:rPr>
              <w:t>油</w:t>
            </w:r>
            <w:r>
              <w:rPr>
                <w:rFonts w:hint="default" w:ascii="Times New Roman" w:hAnsi="Times New Roman" w:eastAsia="宋体" w:cs="Times New Roman"/>
                <w:color w:val="auto"/>
                <w:sz w:val="24"/>
                <w:szCs w:val="24"/>
                <w:highlight w:val="none"/>
                <w:lang w:val="en-US" w:eastAsia="zh-CN" w:bidi="ar-SA"/>
              </w:rPr>
              <w:t>，</w:t>
            </w:r>
            <w:r>
              <w:rPr>
                <w:rFonts w:hint="eastAsia" w:ascii="Times New Roman" w:hAnsi="Times New Roman" w:eastAsia="宋体" w:cs="Times New Roman"/>
                <w:color w:val="auto"/>
                <w:sz w:val="24"/>
                <w:szCs w:val="24"/>
                <w:highlight w:val="none"/>
                <w:lang w:val="en-US" w:eastAsia="zh-CN" w:bidi="ar-SA"/>
              </w:rPr>
              <w:t>井场具有工业开采价值，临时关井，待转产，</w:t>
            </w:r>
            <w:r>
              <w:rPr>
                <w:rFonts w:hint="default" w:ascii="Times New Roman" w:hAnsi="Times New Roman" w:eastAsia="宋体" w:cs="Times New Roman"/>
                <w:color w:val="auto"/>
                <w:sz w:val="24"/>
                <w:szCs w:val="24"/>
                <w:highlight w:val="none"/>
                <w:lang w:val="en-US" w:eastAsia="zh-CN" w:bidi="ar-SA"/>
              </w:rPr>
              <w:t>本次验收不涉及运行期。</w:t>
            </w:r>
          </w:p>
          <w:p w14:paraId="38F6416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sz w:val="22"/>
                <w:szCs w:val="22"/>
                <w:lang w:val="en-US" w:eastAsia="zh-CN" w:bidi="ar-SA"/>
              </w:rPr>
            </w:pP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29"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24"/>
                <w:szCs w:val="24"/>
                <w:highlight w:val="none"/>
              </w:rPr>
            </w:pPr>
            <w:r>
              <w:rPr>
                <w:rFonts w:hint="eastAsia" w:ascii="Times New Roman" w:hAnsi="Times New Roman" w:eastAsia="宋体" w:cs="Times New Roman"/>
                <w:b/>
                <w:bCs/>
                <w:color w:val="auto"/>
                <w:sz w:val="24"/>
                <w:szCs w:val="24"/>
                <w:highlight w:val="none"/>
                <w:lang w:eastAsia="zh-CN"/>
              </w:rPr>
              <w:t>社会影响</w:t>
            </w:r>
          </w:p>
        </w:tc>
        <w:tc>
          <w:tcPr>
            <w:tcW w:w="7629" w:type="dxa"/>
            <w:vMerge w:val="continue"/>
            <w:tcMar>
              <w:top w:w="85" w:type="dxa"/>
              <w:left w:w="108" w:type="dxa"/>
              <w:bottom w:w="85" w:type="dxa"/>
              <w:right w:w="108" w:type="dxa"/>
            </w:tcMar>
            <w:vAlign w:val="center"/>
          </w:tcPr>
          <w:p w14:paraId="151BDF67">
            <w:pPr>
              <w:pStyle w:val="24"/>
              <w:keepNext w:val="0"/>
              <w:keepLines w:val="0"/>
              <w:widowControl w:val="0"/>
              <w:suppressLineNumbers w:val="0"/>
              <w:spacing w:before="0" w:beforeAutospacing="0" w:afterAutospacing="0"/>
              <w:ind w:left="0" w:leftChars="0" w:right="0" w:firstLine="0" w:firstLineChars="0"/>
              <w:jc w:val="both"/>
              <w:rPr>
                <w:rFonts w:hint="default"/>
              </w:rPr>
            </w:pPr>
          </w:p>
        </w:tc>
      </w:tr>
    </w:tbl>
    <w:p w14:paraId="7F08E54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5" w:name="_Toc24330"/>
    </w:p>
    <w:p w14:paraId="1946C245">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82ADAF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18C3DDDC">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1790B8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4F8C14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2291A2D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1627E43">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F52B8B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8.</w:t>
      </w:r>
      <w:r>
        <w:rPr>
          <w:rFonts w:hint="default" w:ascii="Times New Roman" w:hAnsi="Times New Roman" w:eastAsia="宋体" w:cs="Times New Roman"/>
          <w:b/>
          <w:bCs/>
          <w:color w:val="auto"/>
          <w:spacing w:val="10"/>
          <w:w w:val="95"/>
          <w:sz w:val="32"/>
          <w:szCs w:val="22"/>
          <w:highlight w:val="none"/>
          <w:lang w:val="en-US" w:eastAsia="zh-CN" w:bidi="ar-SA"/>
        </w:rPr>
        <w:t>环境</w:t>
      </w:r>
      <w:r>
        <w:rPr>
          <w:rFonts w:hint="eastAsia" w:ascii="Times New Roman" w:hAnsi="Times New Roman" w:eastAsia="宋体" w:cs="Times New Roman"/>
          <w:b/>
          <w:bCs/>
          <w:color w:val="auto"/>
          <w:spacing w:val="10"/>
          <w:w w:val="95"/>
          <w:sz w:val="32"/>
          <w:szCs w:val="22"/>
          <w:highlight w:val="none"/>
          <w:lang w:val="en-US" w:eastAsia="zh-CN" w:bidi="ar-SA"/>
        </w:rPr>
        <w:t>质量及污染源监测</w:t>
      </w:r>
      <w:bookmarkEnd w:id="1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1056"/>
        <w:gridCol w:w="2395"/>
        <w:gridCol w:w="2034"/>
        <w:gridCol w:w="2103"/>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项目</w:t>
            </w:r>
          </w:p>
        </w:tc>
        <w:tc>
          <w:tcPr>
            <w:tcW w:w="116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vertAlign w:val="baseline"/>
                <w:lang w:val="en-US" w:eastAsia="zh-CN"/>
              </w:rPr>
              <w:t>监测频次</w:t>
            </w:r>
          </w:p>
        </w:tc>
        <w:tc>
          <w:tcPr>
            <w:tcW w:w="2698"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监测点位</w:t>
            </w:r>
          </w:p>
        </w:tc>
        <w:tc>
          <w:tcPr>
            <w:tcW w:w="2225"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监测项目</w:t>
            </w:r>
          </w:p>
        </w:tc>
        <w:tc>
          <w:tcPr>
            <w:tcW w:w="1725"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709"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环境空气</w:t>
            </w:r>
          </w:p>
        </w:tc>
        <w:tc>
          <w:tcPr>
            <w:tcW w:w="116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09"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地下水环境</w:t>
            </w:r>
          </w:p>
        </w:tc>
        <w:tc>
          <w:tcPr>
            <w:tcW w:w="116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709"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声环境</w:t>
            </w:r>
          </w:p>
        </w:tc>
        <w:tc>
          <w:tcPr>
            <w:tcW w:w="116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09"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土壤环境</w:t>
            </w:r>
          </w:p>
        </w:tc>
        <w:tc>
          <w:tcPr>
            <w:tcW w:w="1165" w:type="dxa"/>
            <w:vAlign w:val="center"/>
          </w:tcPr>
          <w:p w14:paraId="4AAEE202">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2025年3月26日；</w:t>
            </w:r>
            <w:r>
              <w:rPr>
                <w:rFonts w:hint="default" w:ascii="Times New Roman" w:hAnsi="Times New Roman" w:eastAsia="宋体" w:cs="Times New Roman"/>
                <w:color w:val="auto"/>
                <w:spacing w:val="10"/>
                <w:sz w:val="21"/>
                <w:szCs w:val="21"/>
                <w:highlight w:val="none"/>
                <w:lang w:val="en-US" w:eastAsia="zh-CN" w:bidi="ar-SA"/>
              </w:rPr>
              <w:t>监测频率：每个点采样1次。</w:t>
            </w:r>
          </w:p>
        </w:tc>
        <w:tc>
          <w:tcPr>
            <w:tcW w:w="2698" w:type="dxa"/>
            <w:vAlign w:val="center"/>
          </w:tcPr>
          <w:p w14:paraId="59C6F0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auto"/>
                <w:spacing w:val="10"/>
                <w:sz w:val="21"/>
                <w:szCs w:val="21"/>
                <w:highlight w:val="none"/>
                <w:lang w:val="en-US" w:eastAsia="zh-CN" w:bidi="ar-SA"/>
              </w:rPr>
              <w:t>JH55P2</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000000" w:themeColor="text1"/>
                <w:sz w:val="21"/>
                <w:szCs w:val="21"/>
                <w14:textFill>
                  <w14:solidFill>
                    <w14:schemeClr w14:val="tx1"/>
                  </w14:solidFill>
                </w14:textFill>
              </w:rPr>
              <w:t>E108°09′48″</w:t>
            </w:r>
          </w:p>
          <w:p w14:paraId="60AE6D8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000000" w:themeColor="text1"/>
                <w:sz w:val="21"/>
                <w:szCs w:val="21"/>
                <w14:textFill>
                  <w14:solidFill>
                    <w14:schemeClr w14:val="tx1"/>
                  </w14:solidFill>
                </w14:textFill>
              </w:rPr>
              <w:t>N35°26′9″</w:t>
            </w:r>
            <w:r>
              <w:rPr>
                <w:rFonts w:hint="eastAsia" w:ascii="Times New Roman" w:hAnsi="Times New Roman" w:eastAsia="宋体" w:cs="Times New Roman"/>
                <w:color w:val="auto"/>
                <w:spacing w:val="10"/>
                <w:sz w:val="21"/>
                <w:szCs w:val="21"/>
                <w:highlight w:val="none"/>
                <w:lang w:val="en-US" w:eastAsia="zh-CN" w:bidi="ar-SA"/>
              </w:rPr>
              <w:t>；</w:t>
            </w:r>
          </w:p>
          <w:p w14:paraId="4C1E09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E108°09′49″</w:t>
            </w:r>
          </w:p>
          <w:p w14:paraId="6D64B6E9">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000000" w:themeColor="text1"/>
                <w:sz w:val="21"/>
                <w:szCs w:val="21"/>
                <w14:textFill>
                  <w14:solidFill>
                    <w14:schemeClr w14:val="tx1"/>
                  </w14:solidFill>
                </w14:textFill>
              </w:rPr>
              <w:t>N35°26′9″</w:t>
            </w:r>
          </w:p>
        </w:tc>
        <w:tc>
          <w:tcPr>
            <w:tcW w:w="2225" w:type="dxa"/>
            <w:vAlign w:val="center"/>
          </w:tcPr>
          <w:p w14:paraId="1418D13F">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6A240958">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591286A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p>
        </w:tc>
        <w:tc>
          <w:tcPr>
            <w:tcW w:w="1725" w:type="dxa"/>
            <w:vAlign w:val="center"/>
          </w:tcPr>
          <w:p w14:paraId="5414279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6" w:name="_Toc3866"/>
            <w:r>
              <w:rPr>
                <w:rFonts w:hint="eastAsia"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eastAsia" w:ascii="Times New Roman" w:hAnsi="Times New Roman" w:eastAsia="宋体" w:cs="Times New Roman"/>
                <w:color w:val="auto"/>
                <w:kern w:val="0"/>
                <w:sz w:val="24"/>
                <w:szCs w:val="24"/>
                <w:highlight w:val="none"/>
                <w:lang w:val="en-US" w:eastAsia="zh-CN"/>
              </w:rPr>
              <w:t>土壤</w:t>
            </w:r>
            <w:r>
              <w:rPr>
                <w:rFonts w:hint="default" w:ascii="Times New Roman" w:hAnsi="Times New Roman" w:eastAsia="宋体" w:cs="Times New Roman"/>
                <w:color w:val="auto"/>
                <w:kern w:val="0"/>
                <w:sz w:val="24"/>
                <w:szCs w:val="24"/>
                <w:highlight w:val="none"/>
                <w:lang w:val="en-US" w:eastAsia="zh-CN"/>
              </w:rPr>
              <w:t>监测结果见表</w:t>
            </w:r>
            <w:r>
              <w:rPr>
                <w:rFonts w:hint="eastAsia" w:ascii="Times New Roman" w:hAnsi="Times New Roman" w:eastAsia="宋体" w:cs="Times New Roman"/>
                <w:color w:val="auto"/>
                <w:kern w:val="0"/>
                <w:sz w:val="24"/>
                <w:szCs w:val="24"/>
                <w:highlight w:val="none"/>
                <w:lang w:val="en-US" w:eastAsia="zh-CN"/>
              </w:rPr>
              <w:t>8-1</w:t>
            </w:r>
            <w:r>
              <w:rPr>
                <w:rFonts w:hint="default" w:ascii="Times New Roman" w:hAnsi="Times New Roman" w:eastAsia="宋体" w:cs="Times New Roman"/>
                <w:color w:val="auto"/>
                <w:kern w:val="0"/>
                <w:sz w:val="24"/>
                <w:szCs w:val="24"/>
                <w:highlight w:val="none"/>
                <w:lang w:val="en-US" w:eastAsia="zh-CN"/>
              </w:rPr>
              <w:t>。</w:t>
            </w:r>
          </w:p>
          <w:p w14:paraId="50EBDA15">
            <w:pPr>
              <w:pStyle w:val="31"/>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w:t>
            </w:r>
            <w:r>
              <w:rPr>
                <w:rFonts w:hint="eastAsia" w:ascii="Times New Roman" w:hAnsi="Times New Roman" w:eastAsia="宋体" w:cs="Times New Roman"/>
                <w:b/>
                <w:bCs/>
                <w:color w:val="auto"/>
                <w:spacing w:val="10"/>
                <w:sz w:val="21"/>
                <w:szCs w:val="21"/>
                <w:highlight w:val="none"/>
                <w:lang w:val="en-US" w:eastAsia="zh-CN" w:bidi="ar-SA"/>
              </w:rPr>
              <w:t>8</w:t>
            </w:r>
            <w:r>
              <w:rPr>
                <w:rFonts w:hint="default" w:ascii="Times New Roman" w:hAnsi="Times New Roman" w:eastAsia="宋体" w:cs="Times New Roman"/>
                <w:b/>
                <w:bCs/>
                <w:color w:val="auto"/>
                <w:spacing w:val="10"/>
                <w:sz w:val="21"/>
                <w:szCs w:val="21"/>
                <w:highlight w:val="none"/>
                <w:lang w:val="en-US" w:eastAsia="zh-CN" w:bidi="ar-SA"/>
              </w:rPr>
              <w:t>-</w:t>
            </w:r>
            <w:r>
              <w:rPr>
                <w:rFonts w:hint="eastAsia"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51"/>
              <w:gridCol w:w="2741"/>
              <w:gridCol w:w="1773"/>
              <w:gridCol w:w="1978"/>
              <w:gridCol w:w="941"/>
            </w:tblGrid>
            <w:tr w14:paraId="35173F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vMerge w:val="restart"/>
                  <w:tcBorders>
                    <w:tl2br w:val="nil"/>
                    <w:tr2bl w:val="nil"/>
                  </w:tcBorders>
                  <w:noWrap w:val="0"/>
                  <w:tcMar>
                    <w:top w:w="0" w:type="dxa"/>
                    <w:left w:w="0" w:type="dxa"/>
                    <w:bottom w:w="0" w:type="dxa"/>
                    <w:right w:w="0" w:type="dxa"/>
                  </w:tcMar>
                  <w:vAlign w:val="center"/>
                </w:tcPr>
                <w:p w14:paraId="25D14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序号</w:t>
                  </w:r>
                </w:p>
              </w:tc>
              <w:tc>
                <w:tcPr>
                  <w:tcW w:w="1716" w:type="pct"/>
                  <w:vMerge w:val="restart"/>
                  <w:tcBorders>
                    <w:tl2br w:val="nil"/>
                    <w:tr2bl w:val="nil"/>
                  </w:tcBorders>
                  <w:noWrap w:val="0"/>
                  <w:tcMar>
                    <w:top w:w="0" w:type="dxa"/>
                    <w:left w:w="0" w:type="dxa"/>
                    <w:bottom w:w="0" w:type="dxa"/>
                    <w:right w:w="0" w:type="dxa"/>
                  </w:tcMar>
                  <w:vAlign w:val="center"/>
                </w:tcPr>
                <w:p w14:paraId="29600E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检测项目</w:t>
                  </w:r>
                </w:p>
              </w:tc>
              <w:tc>
                <w:tcPr>
                  <w:tcW w:w="2348" w:type="pct"/>
                  <w:gridSpan w:val="2"/>
                  <w:tcBorders>
                    <w:tl2br w:val="nil"/>
                    <w:tr2bl w:val="nil"/>
                  </w:tcBorders>
                  <w:noWrap w:val="0"/>
                  <w:tcMar>
                    <w:top w:w="0" w:type="dxa"/>
                    <w:left w:w="0" w:type="dxa"/>
                    <w:bottom w:w="0" w:type="dxa"/>
                    <w:right w:w="0" w:type="dxa"/>
                  </w:tcMar>
                  <w:vAlign w:val="center"/>
                </w:tcPr>
                <w:p w14:paraId="7E0E9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检测结果及日期(2025年3月26日)</w:t>
                  </w:r>
                </w:p>
              </w:tc>
              <w:tc>
                <w:tcPr>
                  <w:tcW w:w="589" w:type="pct"/>
                  <w:vMerge w:val="restart"/>
                  <w:tcBorders>
                    <w:tl2br w:val="nil"/>
                    <w:tr2bl w:val="nil"/>
                  </w:tcBorders>
                  <w:noWrap w:val="0"/>
                  <w:tcMar>
                    <w:top w:w="0" w:type="dxa"/>
                    <w:left w:w="0" w:type="dxa"/>
                    <w:bottom w:w="0" w:type="dxa"/>
                    <w:right w:w="0" w:type="dxa"/>
                  </w:tcMar>
                  <w:vAlign w:val="center"/>
                </w:tcPr>
                <w:p w14:paraId="126833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标准限值</w:t>
                  </w:r>
                </w:p>
              </w:tc>
            </w:tr>
            <w:tr w14:paraId="5B70FB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5" w:type="pct"/>
                  <w:vMerge w:val="continue"/>
                  <w:tcBorders>
                    <w:tl2br w:val="nil"/>
                    <w:tr2bl w:val="nil"/>
                  </w:tcBorders>
                  <w:noWrap w:val="0"/>
                  <w:tcMar>
                    <w:top w:w="0" w:type="dxa"/>
                    <w:left w:w="0" w:type="dxa"/>
                    <w:bottom w:w="0" w:type="dxa"/>
                    <w:right w:w="0" w:type="dxa"/>
                  </w:tcMar>
                  <w:vAlign w:val="center"/>
                </w:tcPr>
                <w:p w14:paraId="43A17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716" w:type="pct"/>
                  <w:vMerge w:val="continue"/>
                  <w:tcBorders>
                    <w:tl2br w:val="nil"/>
                    <w:tr2bl w:val="nil"/>
                  </w:tcBorders>
                  <w:noWrap w:val="0"/>
                  <w:tcMar>
                    <w:top w:w="0" w:type="dxa"/>
                    <w:left w:w="0" w:type="dxa"/>
                    <w:bottom w:w="0" w:type="dxa"/>
                    <w:right w:w="0" w:type="dxa"/>
                  </w:tcMar>
                  <w:vAlign w:val="center"/>
                </w:tcPr>
                <w:p w14:paraId="4DDBFF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110" w:type="pct"/>
                  <w:tcBorders>
                    <w:tl2br w:val="nil"/>
                    <w:tr2bl w:val="nil"/>
                  </w:tcBorders>
                  <w:shd w:val="clear" w:color="auto" w:fill="auto"/>
                  <w:noWrap w:val="0"/>
                  <w:tcMar>
                    <w:top w:w="0" w:type="dxa"/>
                    <w:left w:w="0" w:type="dxa"/>
                    <w:bottom w:w="0" w:type="dxa"/>
                    <w:right w:w="0" w:type="dxa"/>
                  </w:tcMar>
                  <w:vAlign w:val="center"/>
                </w:tcPr>
                <w:p w14:paraId="4D3084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color w:val="auto"/>
                      <w:spacing w:val="10"/>
                      <w:sz w:val="21"/>
                      <w:szCs w:val="21"/>
                      <w:highlight w:val="none"/>
                      <w:lang w:val="en-US" w:eastAsia="zh-CN" w:bidi="ar-SA"/>
                    </w:rPr>
                    <w:t>JH55P2</w:t>
                  </w:r>
                  <w:r>
                    <w:rPr>
                      <w:rFonts w:hint="default" w:ascii="Times New Roman" w:hAnsi="Times New Roman" w:eastAsia="宋体" w:cs="Times New Roman"/>
                      <w:b w:val="0"/>
                      <w:bCs w:val="0"/>
                      <w:sz w:val="21"/>
                      <w:szCs w:val="21"/>
                      <w:u w:val="none"/>
                      <w:vertAlign w:val="baseline"/>
                      <w:lang w:val="en-US" w:eastAsia="zh-CN"/>
                    </w:rPr>
                    <w:t>井场内(0~0.</w:t>
                  </w:r>
                  <w:r>
                    <w:rPr>
                      <w:rFonts w:hint="eastAsia" w:ascii="Times New Roman" w:hAnsi="Times New Roman" w:eastAsia="宋体" w:cs="Times New Roman"/>
                      <w:b w:val="0"/>
                      <w:bCs w:val="0"/>
                      <w:sz w:val="21"/>
                      <w:szCs w:val="21"/>
                      <w:u w:val="none"/>
                      <w:vertAlign w:val="baseline"/>
                      <w:lang w:val="en-US" w:eastAsia="zh-CN"/>
                    </w:rPr>
                    <w:t>2</w:t>
                  </w:r>
                  <w:r>
                    <w:rPr>
                      <w:rFonts w:hint="default" w:ascii="Times New Roman" w:hAnsi="Times New Roman" w:eastAsia="宋体" w:cs="Times New Roman"/>
                      <w:b w:val="0"/>
                      <w:bCs w:val="0"/>
                      <w:sz w:val="21"/>
                      <w:szCs w:val="21"/>
                      <w:u w:val="none"/>
                      <w:vertAlign w:val="baseline"/>
                      <w:lang w:val="en-US" w:eastAsia="zh-CN"/>
                    </w:rPr>
                    <w:t>m)</w:t>
                  </w:r>
                </w:p>
              </w:tc>
              <w:tc>
                <w:tcPr>
                  <w:tcW w:w="1238" w:type="pct"/>
                  <w:tcBorders>
                    <w:tl2br w:val="nil"/>
                    <w:tr2bl w:val="nil"/>
                  </w:tcBorders>
                  <w:shd w:val="clear" w:color="auto" w:fill="auto"/>
                  <w:noWrap w:val="0"/>
                  <w:tcMar>
                    <w:top w:w="0" w:type="dxa"/>
                    <w:left w:w="0" w:type="dxa"/>
                    <w:bottom w:w="0" w:type="dxa"/>
                    <w:right w:w="0" w:type="dxa"/>
                  </w:tcMar>
                  <w:vAlign w:val="center"/>
                </w:tcPr>
                <w:p w14:paraId="7EFDCA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color w:val="auto"/>
                      <w:spacing w:val="10"/>
                      <w:sz w:val="21"/>
                      <w:szCs w:val="21"/>
                      <w:highlight w:val="none"/>
                      <w:lang w:val="en-US" w:eastAsia="zh-CN" w:bidi="ar-SA"/>
                    </w:rPr>
                    <w:t>JH55P2</w:t>
                  </w:r>
                  <w:r>
                    <w:rPr>
                      <w:rFonts w:hint="default" w:ascii="Times New Roman" w:hAnsi="Times New Roman" w:eastAsia="宋体" w:cs="Times New Roman"/>
                      <w:b w:val="0"/>
                      <w:bCs w:val="0"/>
                      <w:sz w:val="21"/>
                      <w:szCs w:val="21"/>
                      <w:u w:val="none"/>
                      <w:vertAlign w:val="baseline"/>
                      <w:lang w:val="en-US" w:eastAsia="zh-CN"/>
                    </w:rPr>
                    <w:t>井场外(0~0.</w:t>
                  </w:r>
                  <w:r>
                    <w:rPr>
                      <w:rFonts w:hint="eastAsia" w:ascii="Times New Roman" w:hAnsi="Times New Roman" w:eastAsia="宋体" w:cs="Times New Roman"/>
                      <w:b w:val="0"/>
                      <w:bCs w:val="0"/>
                      <w:sz w:val="21"/>
                      <w:szCs w:val="21"/>
                      <w:u w:val="none"/>
                      <w:vertAlign w:val="baseline"/>
                      <w:lang w:val="en-US" w:eastAsia="zh-CN"/>
                    </w:rPr>
                    <w:t>2</w:t>
                  </w:r>
                  <w:r>
                    <w:rPr>
                      <w:rFonts w:hint="default" w:ascii="Times New Roman" w:hAnsi="Times New Roman" w:eastAsia="宋体" w:cs="Times New Roman"/>
                      <w:b w:val="0"/>
                      <w:bCs w:val="0"/>
                      <w:sz w:val="21"/>
                      <w:szCs w:val="21"/>
                      <w:u w:val="none"/>
                      <w:vertAlign w:val="baseline"/>
                      <w:lang w:val="en-US" w:eastAsia="zh-CN"/>
                    </w:rPr>
                    <w:t>m)</w:t>
                  </w:r>
                </w:p>
              </w:tc>
              <w:tc>
                <w:tcPr>
                  <w:tcW w:w="589" w:type="pct"/>
                  <w:vMerge w:val="continue"/>
                  <w:tcBorders>
                    <w:tl2br w:val="nil"/>
                    <w:tr2bl w:val="nil"/>
                  </w:tcBorders>
                  <w:noWrap w:val="0"/>
                  <w:tcMar>
                    <w:top w:w="0" w:type="dxa"/>
                    <w:left w:w="0" w:type="dxa"/>
                    <w:bottom w:w="0" w:type="dxa"/>
                    <w:right w:w="0" w:type="dxa"/>
                  </w:tcMar>
                  <w:vAlign w:val="center"/>
                </w:tcPr>
                <w:p w14:paraId="2EB4D9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p>
              </w:tc>
            </w:tr>
            <w:tr w14:paraId="7D293B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B65B1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7" w:name="OLE_LINK25" w:colFirst="1" w:colLast="1"/>
                  <w:r>
                    <w:rPr>
                      <w:rFonts w:hint="default" w:ascii="Times New Roman" w:hAnsi="Times New Roman" w:eastAsia="宋体" w:cs="Times New Roman"/>
                      <w:b w:val="0"/>
                      <w:bCs w:val="0"/>
                      <w:sz w:val="21"/>
                      <w:szCs w:val="21"/>
                      <w:u w:val="none"/>
                      <w:vertAlign w:val="baseline"/>
                      <w:lang w:val="en-US" w:eastAsia="zh-CN"/>
                    </w:rPr>
                    <w:t>1</w:t>
                  </w:r>
                </w:p>
              </w:tc>
              <w:tc>
                <w:tcPr>
                  <w:tcW w:w="1716" w:type="pct"/>
                  <w:tcBorders>
                    <w:tl2br w:val="nil"/>
                    <w:tr2bl w:val="nil"/>
                  </w:tcBorders>
                  <w:shd w:val="clear" w:color="auto" w:fill="auto"/>
                  <w:noWrap w:val="0"/>
                  <w:tcMar>
                    <w:top w:w="0" w:type="dxa"/>
                    <w:left w:w="0" w:type="dxa"/>
                    <w:bottom w:w="0" w:type="dxa"/>
                    <w:right w:w="0" w:type="dxa"/>
                  </w:tcMar>
                  <w:vAlign w:val="center"/>
                </w:tcPr>
                <w:p w14:paraId="031C6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pH（无量纲）</w:t>
                  </w:r>
                </w:p>
              </w:tc>
              <w:tc>
                <w:tcPr>
                  <w:tcW w:w="1110" w:type="pct"/>
                  <w:tcBorders>
                    <w:tl2br w:val="nil"/>
                    <w:tr2bl w:val="nil"/>
                  </w:tcBorders>
                  <w:shd w:val="clear" w:color="auto" w:fill="auto"/>
                  <w:noWrap w:val="0"/>
                  <w:tcMar>
                    <w:top w:w="0" w:type="dxa"/>
                    <w:left w:w="0" w:type="dxa"/>
                    <w:bottom w:w="0" w:type="dxa"/>
                    <w:right w:w="0" w:type="dxa"/>
                  </w:tcMar>
                  <w:vAlign w:val="center"/>
                </w:tcPr>
                <w:p w14:paraId="198D3B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 xml:space="preserve">7.48 </w:t>
                  </w:r>
                </w:p>
              </w:tc>
              <w:tc>
                <w:tcPr>
                  <w:tcW w:w="1238" w:type="pct"/>
                  <w:tcBorders>
                    <w:tl2br w:val="nil"/>
                    <w:tr2bl w:val="nil"/>
                  </w:tcBorders>
                  <w:shd w:val="clear" w:color="auto" w:fill="auto"/>
                  <w:noWrap w:val="0"/>
                  <w:tcMar>
                    <w:top w:w="0" w:type="dxa"/>
                    <w:left w:w="0" w:type="dxa"/>
                    <w:bottom w:w="0" w:type="dxa"/>
                    <w:right w:w="0" w:type="dxa"/>
                  </w:tcMar>
                  <w:vAlign w:val="center"/>
                </w:tcPr>
                <w:p w14:paraId="1A0581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 xml:space="preserve">7.23 </w:t>
                  </w:r>
                </w:p>
              </w:tc>
              <w:tc>
                <w:tcPr>
                  <w:tcW w:w="589" w:type="pct"/>
                  <w:tcBorders>
                    <w:tl2br w:val="nil"/>
                    <w:tr2bl w:val="nil"/>
                  </w:tcBorders>
                  <w:shd w:val="clear" w:color="auto" w:fill="auto"/>
                  <w:noWrap w:val="0"/>
                  <w:tcMar>
                    <w:top w:w="0" w:type="dxa"/>
                    <w:left w:w="0" w:type="dxa"/>
                    <w:bottom w:w="0" w:type="dxa"/>
                    <w:right w:w="0" w:type="dxa"/>
                  </w:tcMar>
                  <w:vAlign w:val="center"/>
                </w:tcPr>
                <w:p w14:paraId="346E0D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6.5＜pH≤7.5</w:t>
                  </w:r>
                </w:p>
              </w:tc>
            </w:tr>
            <w:tr w14:paraId="41F6F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1748AE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w:t>
                  </w:r>
                </w:p>
              </w:tc>
              <w:tc>
                <w:tcPr>
                  <w:tcW w:w="1716" w:type="pct"/>
                  <w:tcBorders>
                    <w:tl2br w:val="nil"/>
                    <w:tr2bl w:val="nil"/>
                  </w:tcBorders>
                  <w:shd w:val="clear" w:color="auto" w:fill="auto"/>
                  <w:noWrap w:val="0"/>
                  <w:tcMar>
                    <w:top w:w="0" w:type="dxa"/>
                    <w:left w:w="0" w:type="dxa"/>
                    <w:bottom w:w="0" w:type="dxa"/>
                    <w:right w:w="0" w:type="dxa"/>
                  </w:tcMar>
                  <w:vAlign w:val="center"/>
                </w:tcPr>
                <w:p w14:paraId="26B6F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镉(mg/kg)</w:t>
                  </w:r>
                </w:p>
              </w:tc>
              <w:tc>
                <w:tcPr>
                  <w:tcW w:w="1110" w:type="pct"/>
                  <w:tcBorders>
                    <w:tl2br w:val="nil"/>
                    <w:tr2bl w:val="nil"/>
                  </w:tcBorders>
                  <w:shd w:val="clear" w:color="auto" w:fill="auto"/>
                  <w:noWrap w:val="0"/>
                  <w:tcMar>
                    <w:top w:w="0" w:type="dxa"/>
                    <w:left w:w="0" w:type="dxa"/>
                    <w:bottom w:w="0" w:type="dxa"/>
                    <w:right w:w="0" w:type="dxa"/>
                  </w:tcMar>
                  <w:vAlign w:val="center"/>
                </w:tcPr>
                <w:p w14:paraId="3E815F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FF0000"/>
                      <w:kern w:val="0"/>
                      <w:sz w:val="21"/>
                      <w:szCs w:val="21"/>
                      <w:lang w:val="en-US" w:eastAsia="zh-CN"/>
                    </w:rPr>
                  </w:pPr>
                  <w:r>
                    <w:rPr>
                      <w:rFonts w:hint="default" w:ascii="Times New Roman" w:hAnsi="Times New Roman" w:cs="Times New Roman"/>
                      <w:color w:val="FF0000"/>
                      <w:kern w:val="0"/>
                      <w:sz w:val="21"/>
                      <w:szCs w:val="21"/>
                      <w:lang w:val="en-US" w:eastAsia="zh-CN"/>
                    </w:rPr>
                    <w:t>0.28</w:t>
                  </w:r>
                </w:p>
              </w:tc>
              <w:tc>
                <w:tcPr>
                  <w:tcW w:w="1238" w:type="pct"/>
                  <w:tcBorders>
                    <w:tl2br w:val="nil"/>
                    <w:tr2bl w:val="nil"/>
                  </w:tcBorders>
                  <w:shd w:val="clear" w:color="auto" w:fill="auto"/>
                  <w:noWrap w:val="0"/>
                  <w:tcMar>
                    <w:top w:w="0" w:type="dxa"/>
                    <w:left w:w="0" w:type="dxa"/>
                    <w:bottom w:w="0" w:type="dxa"/>
                    <w:right w:w="0" w:type="dxa"/>
                  </w:tcMar>
                  <w:vAlign w:val="center"/>
                </w:tcPr>
                <w:p w14:paraId="563DAC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FF0000"/>
                      <w:kern w:val="0"/>
                      <w:sz w:val="21"/>
                      <w:szCs w:val="21"/>
                      <w:lang w:val="en-US" w:eastAsia="zh-CN"/>
                    </w:rPr>
                  </w:pPr>
                  <w:r>
                    <w:rPr>
                      <w:rFonts w:hint="default" w:ascii="Times New Roman" w:hAnsi="Times New Roman" w:cs="Times New Roman"/>
                      <w:color w:val="FF0000"/>
                      <w:kern w:val="0"/>
                      <w:sz w:val="21"/>
                      <w:szCs w:val="21"/>
                      <w:lang w:val="en-US" w:eastAsia="zh-CN"/>
                    </w:rPr>
                    <w:t>0.2</w:t>
                  </w:r>
                </w:p>
              </w:tc>
              <w:tc>
                <w:tcPr>
                  <w:tcW w:w="589" w:type="pct"/>
                  <w:tcBorders>
                    <w:tl2br w:val="nil"/>
                    <w:tr2bl w:val="nil"/>
                  </w:tcBorders>
                  <w:shd w:val="clear" w:color="auto" w:fill="auto"/>
                  <w:noWrap w:val="0"/>
                  <w:tcMar>
                    <w:top w:w="0" w:type="dxa"/>
                    <w:left w:w="0" w:type="dxa"/>
                    <w:bottom w:w="0" w:type="dxa"/>
                    <w:right w:w="0" w:type="dxa"/>
                  </w:tcMar>
                  <w:vAlign w:val="center"/>
                </w:tcPr>
                <w:p w14:paraId="5BFDC4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0.3</w:t>
                  </w:r>
                </w:p>
              </w:tc>
            </w:tr>
            <w:bookmarkEnd w:id="17"/>
            <w:tr w14:paraId="22777A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136E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w:t>
                  </w:r>
                </w:p>
              </w:tc>
              <w:tc>
                <w:tcPr>
                  <w:tcW w:w="1716" w:type="pct"/>
                  <w:tcBorders>
                    <w:tl2br w:val="nil"/>
                    <w:tr2bl w:val="nil"/>
                  </w:tcBorders>
                  <w:shd w:val="clear" w:color="auto" w:fill="auto"/>
                  <w:noWrap w:val="0"/>
                  <w:tcMar>
                    <w:top w:w="0" w:type="dxa"/>
                    <w:left w:w="0" w:type="dxa"/>
                    <w:bottom w:w="0" w:type="dxa"/>
                    <w:right w:w="0" w:type="dxa"/>
                  </w:tcMar>
                  <w:vAlign w:val="center"/>
                </w:tcPr>
                <w:p w14:paraId="65D450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铬（六价）(mg/kg)</w:t>
                  </w:r>
                </w:p>
              </w:tc>
              <w:tc>
                <w:tcPr>
                  <w:tcW w:w="1110" w:type="pct"/>
                  <w:tcBorders>
                    <w:tl2br w:val="nil"/>
                    <w:tr2bl w:val="nil"/>
                  </w:tcBorders>
                  <w:shd w:val="clear" w:color="auto" w:fill="auto"/>
                  <w:noWrap w:val="0"/>
                  <w:tcMar>
                    <w:top w:w="0" w:type="dxa"/>
                    <w:left w:w="0" w:type="dxa"/>
                    <w:bottom w:w="0" w:type="dxa"/>
                    <w:right w:w="0" w:type="dxa"/>
                  </w:tcMar>
                  <w:vAlign w:val="center"/>
                </w:tcPr>
                <w:p w14:paraId="0C6B11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ND</w:t>
                  </w:r>
                </w:p>
              </w:tc>
              <w:tc>
                <w:tcPr>
                  <w:tcW w:w="1238" w:type="pct"/>
                  <w:tcBorders>
                    <w:tl2br w:val="nil"/>
                    <w:tr2bl w:val="nil"/>
                  </w:tcBorders>
                  <w:shd w:val="clear" w:color="auto" w:fill="auto"/>
                  <w:noWrap w:val="0"/>
                  <w:tcMar>
                    <w:top w:w="0" w:type="dxa"/>
                    <w:left w:w="0" w:type="dxa"/>
                    <w:bottom w:w="0" w:type="dxa"/>
                    <w:right w:w="0" w:type="dxa"/>
                  </w:tcMar>
                  <w:vAlign w:val="center"/>
                </w:tcPr>
                <w:p w14:paraId="66C346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53</w:t>
                  </w:r>
                </w:p>
              </w:tc>
              <w:tc>
                <w:tcPr>
                  <w:tcW w:w="589" w:type="pct"/>
                  <w:tcBorders>
                    <w:tl2br w:val="nil"/>
                    <w:tr2bl w:val="nil"/>
                  </w:tcBorders>
                  <w:shd w:val="clear" w:color="auto" w:fill="auto"/>
                  <w:noWrap w:val="0"/>
                  <w:tcMar>
                    <w:top w:w="0" w:type="dxa"/>
                    <w:left w:w="0" w:type="dxa"/>
                    <w:bottom w:w="0" w:type="dxa"/>
                    <w:right w:w="0" w:type="dxa"/>
                  </w:tcMar>
                  <w:vAlign w:val="center"/>
                </w:tcPr>
                <w:p w14:paraId="0A58DD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200</w:t>
                  </w:r>
                </w:p>
              </w:tc>
            </w:tr>
            <w:tr w14:paraId="3AE60B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72EA3E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4</w:t>
                  </w:r>
                </w:p>
              </w:tc>
              <w:tc>
                <w:tcPr>
                  <w:tcW w:w="1716" w:type="pct"/>
                  <w:tcBorders>
                    <w:tl2br w:val="nil"/>
                    <w:tr2bl w:val="nil"/>
                  </w:tcBorders>
                  <w:shd w:val="clear" w:color="auto" w:fill="auto"/>
                  <w:noWrap w:val="0"/>
                  <w:tcMar>
                    <w:top w:w="0" w:type="dxa"/>
                    <w:left w:w="0" w:type="dxa"/>
                    <w:bottom w:w="0" w:type="dxa"/>
                    <w:right w:w="0" w:type="dxa"/>
                  </w:tcMar>
                  <w:vAlign w:val="center"/>
                </w:tcPr>
                <w:p w14:paraId="42495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铜(mg/kg)</w:t>
                  </w:r>
                </w:p>
              </w:tc>
              <w:tc>
                <w:tcPr>
                  <w:tcW w:w="1110" w:type="pct"/>
                  <w:tcBorders>
                    <w:tl2br w:val="nil"/>
                    <w:tr2bl w:val="nil"/>
                  </w:tcBorders>
                  <w:shd w:val="clear" w:color="auto" w:fill="auto"/>
                  <w:noWrap w:val="0"/>
                  <w:tcMar>
                    <w:top w:w="0" w:type="dxa"/>
                    <w:left w:w="0" w:type="dxa"/>
                    <w:bottom w:w="0" w:type="dxa"/>
                    <w:right w:w="0" w:type="dxa"/>
                  </w:tcMar>
                  <w:vAlign w:val="center"/>
                </w:tcPr>
                <w:p w14:paraId="685D0B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54</w:t>
                  </w:r>
                </w:p>
              </w:tc>
              <w:tc>
                <w:tcPr>
                  <w:tcW w:w="1238" w:type="pct"/>
                  <w:tcBorders>
                    <w:tl2br w:val="nil"/>
                    <w:tr2bl w:val="nil"/>
                  </w:tcBorders>
                  <w:shd w:val="clear" w:color="auto" w:fill="auto"/>
                  <w:noWrap w:val="0"/>
                  <w:tcMar>
                    <w:top w:w="0" w:type="dxa"/>
                    <w:left w:w="0" w:type="dxa"/>
                    <w:bottom w:w="0" w:type="dxa"/>
                    <w:right w:w="0" w:type="dxa"/>
                  </w:tcMar>
                  <w:vAlign w:val="center"/>
                </w:tcPr>
                <w:p w14:paraId="5E30F3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50</w:t>
                  </w:r>
                </w:p>
              </w:tc>
              <w:tc>
                <w:tcPr>
                  <w:tcW w:w="589" w:type="pct"/>
                  <w:tcBorders>
                    <w:tl2br w:val="nil"/>
                    <w:tr2bl w:val="nil"/>
                  </w:tcBorders>
                  <w:shd w:val="clear" w:color="auto" w:fill="auto"/>
                  <w:noWrap w:val="0"/>
                  <w:tcMar>
                    <w:top w:w="0" w:type="dxa"/>
                    <w:left w:w="0" w:type="dxa"/>
                    <w:bottom w:w="0" w:type="dxa"/>
                    <w:right w:w="0" w:type="dxa"/>
                  </w:tcMar>
                  <w:vAlign w:val="center"/>
                </w:tcPr>
                <w:p w14:paraId="6F4A29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008C36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F4449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5</w:t>
                  </w:r>
                </w:p>
              </w:tc>
              <w:tc>
                <w:tcPr>
                  <w:tcW w:w="1716" w:type="pct"/>
                  <w:tcBorders>
                    <w:tl2br w:val="nil"/>
                    <w:tr2bl w:val="nil"/>
                  </w:tcBorders>
                  <w:shd w:val="clear" w:color="auto" w:fill="auto"/>
                  <w:noWrap w:val="0"/>
                  <w:tcMar>
                    <w:top w:w="0" w:type="dxa"/>
                    <w:left w:w="0" w:type="dxa"/>
                    <w:bottom w:w="0" w:type="dxa"/>
                    <w:right w:w="0" w:type="dxa"/>
                  </w:tcMar>
                  <w:vAlign w:val="center"/>
                </w:tcPr>
                <w:p w14:paraId="5FDC96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铅(mg/kg)</w:t>
                  </w:r>
                </w:p>
              </w:tc>
              <w:tc>
                <w:tcPr>
                  <w:tcW w:w="1110" w:type="pct"/>
                  <w:tcBorders>
                    <w:tl2br w:val="nil"/>
                    <w:tr2bl w:val="nil"/>
                  </w:tcBorders>
                  <w:shd w:val="clear" w:color="auto" w:fill="auto"/>
                  <w:noWrap w:val="0"/>
                  <w:tcMar>
                    <w:top w:w="0" w:type="dxa"/>
                    <w:left w:w="0" w:type="dxa"/>
                    <w:bottom w:w="0" w:type="dxa"/>
                    <w:right w:w="0" w:type="dxa"/>
                  </w:tcMar>
                  <w:vAlign w:val="center"/>
                </w:tcPr>
                <w:p w14:paraId="3A7F7B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41</w:t>
                  </w:r>
                </w:p>
              </w:tc>
              <w:tc>
                <w:tcPr>
                  <w:tcW w:w="1238" w:type="pct"/>
                  <w:tcBorders>
                    <w:tl2br w:val="nil"/>
                    <w:tr2bl w:val="nil"/>
                  </w:tcBorders>
                  <w:shd w:val="clear" w:color="auto" w:fill="auto"/>
                  <w:noWrap w:val="0"/>
                  <w:tcMar>
                    <w:top w:w="0" w:type="dxa"/>
                    <w:left w:w="0" w:type="dxa"/>
                    <w:bottom w:w="0" w:type="dxa"/>
                    <w:right w:w="0" w:type="dxa"/>
                  </w:tcMar>
                  <w:vAlign w:val="center"/>
                </w:tcPr>
                <w:p w14:paraId="27F818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54</w:t>
                  </w:r>
                </w:p>
              </w:tc>
              <w:tc>
                <w:tcPr>
                  <w:tcW w:w="589" w:type="pct"/>
                  <w:tcBorders>
                    <w:tl2br w:val="nil"/>
                    <w:tr2bl w:val="nil"/>
                  </w:tcBorders>
                  <w:shd w:val="clear" w:color="auto" w:fill="auto"/>
                  <w:noWrap w:val="0"/>
                  <w:tcMar>
                    <w:top w:w="0" w:type="dxa"/>
                    <w:left w:w="0" w:type="dxa"/>
                    <w:bottom w:w="0" w:type="dxa"/>
                    <w:right w:w="0" w:type="dxa"/>
                  </w:tcMar>
                  <w:vAlign w:val="center"/>
                </w:tcPr>
                <w:p w14:paraId="255E62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120</w:t>
                  </w:r>
                </w:p>
              </w:tc>
            </w:tr>
            <w:tr w14:paraId="2710DF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6C5D98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6</w:t>
                  </w:r>
                </w:p>
              </w:tc>
              <w:tc>
                <w:tcPr>
                  <w:tcW w:w="1716" w:type="pct"/>
                  <w:tcBorders>
                    <w:tl2br w:val="nil"/>
                    <w:tr2bl w:val="nil"/>
                  </w:tcBorders>
                  <w:shd w:val="clear" w:color="auto" w:fill="auto"/>
                  <w:noWrap w:val="0"/>
                  <w:tcMar>
                    <w:top w:w="0" w:type="dxa"/>
                    <w:left w:w="0" w:type="dxa"/>
                    <w:bottom w:w="0" w:type="dxa"/>
                    <w:right w:w="0" w:type="dxa"/>
                  </w:tcMar>
                  <w:vAlign w:val="center"/>
                </w:tcPr>
                <w:p w14:paraId="42C83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汞(mg/kg)</w:t>
                  </w:r>
                </w:p>
              </w:tc>
              <w:tc>
                <w:tcPr>
                  <w:tcW w:w="1110" w:type="pct"/>
                  <w:tcBorders>
                    <w:tl2br w:val="nil"/>
                    <w:tr2bl w:val="nil"/>
                  </w:tcBorders>
                  <w:shd w:val="clear" w:color="auto" w:fill="auto"/>
                  <w:noWrap w:val="0"/>
                  <w:tcMar>
                    <w:top w:w="0" w:type="dxa"/>
                    <w:left w:w="0" w:type="dxa"/>
                    <w:bottom w:w="0" w:type="dxa"/>
                    <w:right w:w="0" w:type="dxa"/>
                  </w:tcMar>
                  <w:vAlign w:val="center"/>
                </w:tcPr>
                <w:p w14:paraId="48B616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0.042</w:t>
                  </w:r>
                </w:p>
              </w:tc>
              <w:tc>
                <w:tcPr>
                  <w:tcW w:w="1238" w:type="pct"/>
                  <w:tcBorders>
                    <w:tl2br w:val="nil"/>
                    <w:tr2bl w:val="nil"/>
                  </w:tcBorders>
                  <w:shd w:val="clear" w:color="auto" w:fill="auto"/>
                  <w:noWrap w:val="0"/>
                  <w:tcMar>
                    <w:top w:w="0" w:type="dxa"/>
                    <w:left w:w="0" w:type="dxa"/>
                    <w:bottom w:w="0" w:type="dxa"/>
                    <w:right w:w="0" w:type="dxa"/>
                  </w:tcMar>
                  <w:vAlign w:val="center"/>
                </w:tcPr>
                <w:p w14:paraId="2787D1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0.05</w:t>
                  </w:r>
                </w:p>
              </w:tc>
              <w:tc>
                <w:tcPr>
                  <w:tcW w:w="589" w:type="pct"/>
                  <w:tcBorders>
                    <w:tl2br w:val="nil"/>
                    <w:tr2bl w:val="nil"/>
                  </w:tcBorders>
                  <w:shd w:val="clear" w:color="auto" w:fill="auto"/>
                  <w:noWrap w:val="0"/>
                  <w:tcMar>
                    <w:top w:w="0" w:type="dxa"/>
                    <w:left w:w="0" w:type="dxa"/>
                    <w:bottom w:w="0" w:type="dxa"/>
                    <w:right w:w="0" w:type="dxa"/>
                  </w:tcMar>
                  <w:vAlign w:val="center"/>
                </w:tcPr>
                <w:p w14:paraId="64D08F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2.4</w:t>
                  </w:r>
                </w:p>
              </w:tc>
            </w:tr>
            <w:tr w14:paraId="52C7BE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6FBB65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7</w:t>
                  </w:r>
                </w:p>
              </w:tc>
              <w:tc>
                <w:tcPr>
                  <w:tcW w:w="1716" w:type="pct"/>
                  <w:tcBorders>
                    <w:tl2br w:val="nil"/>
                    <w:tr2bl w:val="nil"/>
                  </w:tcBorders>
                  <w:shd w:val="clear" w:color="auto" w:fill="auto"/>
                  <w:noWrap w:val="0"/>
                  <w:tcMar>
                    <w:top w:w="0" w:type="dxa"/>
                    <w:left w:w="0" w:type="dxa"/>
                    <w:bottom w:w="0" w:type="dxa"/>
                    <w:right w:w="0" w:type="dxa"/>
                  </w:tcMar>
                  <w:vAlign w:val="center"/>
                </w:tcPr>
                <w:p w14:paraId="7C250D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镍(mg/kg)</w:t>
                  </w:r>
                </w:p>
              </w:tc>
              <w:tc>
                <w:tcPr>
                  <w:tcW w:w="1110" w:type="pct"/>
                  <w:tcBorders>
                    <w:tl2br w:val="nil"/>
                    <w:tr2bl w:val="nil"/>
                  </w:tcBorders>
                  <w:shd w:val="clear" w:color="auto" w:fill="auto"/>
                  <w:noWrap w:val="0"/>
                  <w:tcMar>
                    <w:top w:w="0" w:type="dxa"/>
                    <w:left w:w="0" w:type="dxa"/>
                    <w:bottom w:w="0" w:type="dxa"/>
                    <w:right w:w="0" w:type="dxa"/>
                  </w:tcMar>
                  <w:vAlign w:val="center"/>
                </w:tcPr>
                <w:p w14:paraId="2AEF81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38</w:t>
                  </w:r>
                </w:p>
              </w:tc>
              <w:tc>
                <w:tcPr>
                  <w:tcW w:w="1238" w:type="pct"/>
                  <w:tcBorders>
                    <w:tl2br w:val="nil"/>
                    <w:tr2bl w:val="nil"/>
                  </w:tcBorders>
                  <w:shd w:val="clear" w:color="auto" w:fill="auto"/>
                  <w:noWrap w:val="0"/>
                  <w:tcMar>
                    <w:top w:w="0" w:type="dxa"/>
                    <w:left w:w="0" w:type="dxa"/>
                    <w:bottom w:w="0" w:type="dxa"/>
                    <w:right w:w="0" w:type="dxa"/>
                  </w:tcMar>
                  <w:vAlign w:val="center"/>
                </w:tcPr>
                <w:p w14:paraId="64DA22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39</w:t>
                  </w:r>
                </w:p>
              </w:tc>
              <w:tc>
                <w:tcPr>
                  <w:tcW w:w="589" w:type="pct"/>
                  <w:tcBorders>
                    <w:tl2br w:val="nil"/>
                    <w:tr2bl w:val="nil"/>
                  </w:tcBorders>
                  <w:shd w:val="clear" w:color="auto" w:fill="auto"/>
                  <w:noWrap w:val="0"/>
                  <w:tcMar>
                    <w:top w:w="0" w:type="dxa"/>
                    <w:left w:w="0" w:type="dxa"/>
                    <w:bottom w:w="0" w:type="dxa"/>
                    <w:right w:w="0" w:type="dxa"/>
                  </w:tcMar>
                  <w:vAlign w:val="center"/>
                </w:tcPr>
                <w:p w14:paraId="14E90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26D3E5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3D159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8</w:t>
                  </w:r>
                </w:p>
              </w:tc>
              <w:tc>
                <w:tcPr>
                  <w:tcW w:w="1716" w:type="pct"/>
                  <w:tcBorders>
                    <w:tl2br w:val="nil"/>
                    <w:tr2bl w:val="nil"/>
                  </w:tcBorders>
                  <w:shd w:val="clear" w:color="auto" w:fill="auto"/>
                  <w:noWrap w:val="0"/>
                  <w:tcMar>
                    <w:top w:w="0" w:type="dxa"/>
                    <w:left w:w="0" w:type="dxa"/>
                    <w:bottom w:w="0" w:type="dxa"/>
                    <w:right w:w="0" w:type="dxa"/>
                  </w:tcMar>
                  <w:vAlign w:val="center"/>
                </w:tcPr>
                <w:p w14:paraId="68B7D1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 xml:space="preserve">砷(mg/kg) </w:t>
                  </w:r>
                </w:p>
              </w:tc>
              <w:tc>
                <w:tcPr>
                  <w:tcW w:w="1110" w:type="pct"/>
                  <w:tcBorders>
                    <w:tl2br w:val="nil"/>
                    <w:tr2bl w:val="nil"/>
                  </w:tcBorders>
                  <w:shd w:val="clear" w:color="auto" w:fill="auto"/>
                  <w:noWrap w:val="0"/>
                  <w:tcMar>
                    <w:top w:w="0" w:type="dxa"/>
                    <w:left w:w="0" w:type="dxa"/>
                    <w:bottom w:w="0" w:type="dxa"/>
                    <w:right w:w="0" w:type="dxa"/>
                  </w:tcMar>
                  <w:vAlign w:val="center"/>
                </w:tcPr>
                <w:p w14:paraId="2E103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9.67</w:t>
                  </w:r>
                </w:p>
              </w:tc>
              <w:tc>
                <w:tcPr>
                  <w:tcW w:w="1238" w:type="pct"/>
                  <w:tcBorders>
                    <w:tl2br w:val="nil"/>
                    <w:tr2bl w:val="nil"/>
                  </w:tcBorders>
                  <w:shd w:val="clear" w:color="auto" w:fill="auto"/>
                  <w:noWrap w:val="0"/>
                  <w:tcMar>
                    <w:top w:w="0" w:type="dxa"/>
                    <w:left w:w="0" w:type="dxa"/>
                    <w:bottom w:w="0" w:type="dxa"/>
                    <w:right w:w="0" w:type="dxa"/>
                  </w:tcMar>
                  <w:vAlign w:val="center"/>
                </w:tcPr>
                <w:p w14:paraId="0C0250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9.33</w:t>
                  </w:r>
                </w:p>
              </w:tc>
              <w:tc>
                <w:tcPr>
                  <w:tcW w:w="589" w:type="pct"/>
                  <w:tcBorders>
                    <w:tl2br w:val="nil"/>
                    <w:tr2bl w:val="nil"/>
                  </w:tcBorders>
                  <w:shd w:val="clear" w:color="auto" w:fill="auto"/>
                  <w:noWrap w:val="0"/>
                  <w:tcMar>
                    <w:top w:w="0" w:type="dxa"/>
                    <w:left w:w="0" w:type="dxa"/>
                    <w:bottom w:w="0" w:type="dxa"/>
                    <w:right w:w="0" w:type="dxa"/>
                  </w:tcMar>
                  <w:vAlign w:val="center"/>
                </w:tcPr>
                <w:p w14:paraId="6ECBB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30</w:t>
                  </w:r>
                </w:p>
              </w:tc>
            </w:tr>
            <w:tr w14:paraId="633EA7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8555D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8" w:name="OLE_LINK10" w:colFirst="0" w:colLast="0"/>
                  <w:r>
                    <w:rPr>
                      <w:rFonts w:hint="eastAsia" w:ascii="Times New Roman" w:hAnsi="Times New Roman" w:eastAsia="宋体" w:cs="Times New Roman"/>
                      <w:b w:val="0"/>
                      <w:bCs w:val="0"/>
                      <w:sz w:val="21"/>
                      <w:szCs w:val="21"/>
                      <w:u w:val="none"/>
                      <w:vertAlign w:val="baseline"/>
                      <w:lang w:val="en-US" w:eastAsia="zh-CN"/>
                    </w:rPr>
                    <w:t>9</w:t>
                  </w:r>
                </w:p>
              </w:tc>
              <w:tc>
                <w:tcPr>
                  <w:tcW w:w="1716" w:type="pct"/>
                  <w:tcBorders>
                    <w:tl2br w:val="nil"/>
                    <w:tr2bl w:val="nil"/>
                  </w:tcBorders>
                  <w:shd w:val="clear" w:color="auto" w:fill="auto"/>
                  <w:noWrap w:val="0"/>
                  <w:tcMar>
                    <w:top w:w="0" w:type="dxa"/>
                    <w:left w:w="0" w:type="dxa"/>
                    <w:bottom w:w="0" w:type="dxa"/>
                    <w:right w:w="0" w:type="dxa"/>
                  </w:tcMar>
                  <w:vAlign w:val="center"/>
                </w:tcPr>
                <w:p w14:paraId="6E496C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锌</w:t>
                  </w:r>
                  <w:r>
                    <w:rPr>
                      <w:rFonts w:hint="default" w:ascii="Times New Roman" w:hAnsi="Times New Roman" w:eastAsia="宋体" w:cs="Times New Roman"/>
                      <w:b w:val="0"/>
                      <w:bCs w:val="0"/>
                      <w:sz w:val="21"/>
                      <w:szCs w:val="21"/>
                      <w:u w:val="none"/>
                      <w:vertAlign w:val="baseline"/>
                      <w:lang w:val="en-US" w:eastAsia="zh-CN"/>
                    </w:rPr>
                    <w:t xml:space="preserve">(mg/kg) </w:t>
                  </w:r>
                </w:p>
              </w:tc>
              <w:tc>
                <w:tcPr>
                  <w:tcW w:w="1110" w:type="pct"/>
                  <w:tcBorders>
                    <w:tl2br w:val="nil"/>
                    <w:tr2bl w:val="nil"/>
                  </w:tcBorders>
                  <w:shd w:val="clear" w:color="auto" w:fill="auto"/>
                  <w:noWrap w:val="0"/>
                  <w:tcMar>
                    <w:top w:w="0" w:type="dxa"/>
                    <w:left w:w="0" w:type="dxa"/>
                    <w:bottom w:w="0" w:type="dxa"/>
                    <w:right w:w="0" w:type="dxa"/>
                  </w:tcMar>
                  <w:vAlign w:val="center"/>
                </w:tcPr>
                <w:p w14:paraId="394B4C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41</w:t>
                  </w:r>
                </w:p>
              </w:tc>
              <w:tc>
                <w:tcPr>
                  <w:tcW w:w="1238" w:type="pct"/>
                  <w:tcBorders>
                    <w:tl2br w:val="nil"/>
                    <w:tr2bl w:val="nil"/>
                  </w:tcBorders>
                  <w:shd w:val="clear" w:color="auto" w:fill="auto"/>
                  <w:noWrap w:val="0"/>
                  <w:tcMar>
                    <w:top w:w="0" w:type="dxa"/>
                    <w:left w:w="0" w:type="dxa"/>
                    <w:bottom w:w="0" w:type="dxa"/>
                    <w:right w:w="0" w:type="dxa"/>
                  </w:tcMar>
                  <w:vAlign w:val="center"/>
                </w:tcPr>
                <w:p w14:paraId="172DE9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45</w:t>
                  </w:r>
                </w:p>
              </w:tc>
              <w:tc>
                <w:tcPr>
                  <w:tcW w:w="589" w:type="pct"/>
                  <w:tcBorders>
                    <w:tl2br w:val="nil"/>
                    <w:tr2bl w:val="nil"/>
                  </w:tcBorders>
                  <w:shd w:val="clear" w:color="auto" w:fill="auto"/>
                  <w:noWrap w:val="0"/>
                  <w:tcMar>
                    <w:top w:w="0" w:type="dxa"/>
                    <w:left w:w="0" w:type="dxa"/>
                    <w:bottom w:w="0" w:type="dxa"/>
                    <w:right w:w="0" w:type="dxa"/>
                  </w:tcMar>
                  <w:vAlign w:val="center"/>
                </w:tcPr>
                <w:p w14:paraId="2FBF3E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250</w:t>
                  </w:r>
                </w:p>
              </w:tc>
            </w:tr>
            <w:tr w14:paraId="1EFFA2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558785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10</w:t>
                  </w:r>
                </w:p>
              </w:tc>
              <w:tc>
                <w:tcPr>
                  <w:tcW w:w="1716" w:type="pct"/>
                  <w:tcBorders>
                    <w:tl2br w:val="nil"/>
                    <w:tr2bl w:val="nil"/>
                  </w:tcBorders>
                  <w:shd w:val="clear" w:color="auto" w:fill="auto"/>
                  <w:noWrap w:val="0"/>
                  <w:tcMar>
                    <w:top w:w="0" w:type="dxa"/>
                    <w:left w:w="0" w:type="dxa"/>
                    <w:bottom w:w="0" w:type="dxa"/>
                    <w:right w:w="0" w:type="dxa"/>
                  </w:tcMar>
                  <w:vAlign w:val="center"/>
                </w:tcPr>
                <w:p w14:paraId="3CF921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110" w:type="pct"/>
                  <w:tcBorders>
                    <w:tl2br w:val="nil"/>
                    <w:tr2bl w:val="nil"/>
                  </w:tcBorders>
                  <w:shd w:val="clear" w:color="auto" w:fill="auto"/>
                  <w:noWrap w:val="0"/>
                  <w:tcMar>
                    <w:top w:w="0" w:type="dxa"/>
                    <w:left w:w="0" w:type="dxa"/>
                    <w:bottom w:w="0" w:type="dxa"/>
                    <w:right w:w="0" w:type="dxa"/>
                  </w:tcMar>
                  <w:vAlign w:val="center"/>
                </w:tcPr>
                <w:p w14:paraId="724CA6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9</w:t>
                  </w:r>
                </w:p>
              </w:tc>
              <w:tc>
                <w:tcPr>
                  <w:tcW w:w="1238" w:type="pct"/>
                  <w:tcBorders>
                    <w:tl2br w:val="nil"/>
                    <w:tr2bl w:val="nil"/>
                  </w:tcBorders>
                  <w:shd w:val="clear" w:color="auto" w:fill="auto"/>
                  <w:noWrap w:val="0"/>
                  <w:tcMar>
                    <w:top w:w="0" w:type="dxa"/>
                    <w:left w:w="0" w:type="dxa"/>
                    <w:bottom w:w="0" w:type="dxa"/>
                    <w:right w:w="0" w:type="dxa"/>
                  </w:tcMar>
                  <w:vAlign w:val="center"/>
                </w:tcPr>
                <w:p w14:paraId="64BE0C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8</w:t>
                  </w:r>
                </w:p>
              </w:tc>
              <w:tc>
                <w:tcPr>
                  <w:tcW w:w="589" w:type="pct"/>
                  <w:tcBorders>
                    <w:tl2br w:val="nil"/>
                    <w:tr2bl w:val="nil"/>
                  </w:tcBorders>
                  <w:shd w:val="clear" w:color="auto" w:fill="auto"/>
                  <w:noWrap w:val="0"/>
                  <w:tcMar>
                    <w:top w:w="0" w:type="dxa"/>
                    <w:left w:w="0" w:type="dxa"/>
                    <w:bottom w:w="0" w:type="dxa"/>
                    <w:right w:w="0" w:type="dxa"/>
                  </w:tcMar>
                  <w:vAlign w:val="center"/>
                </w:tcPr>
                <w:p w14:paraId="66E9FA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w:t>
                  </w:r>
                </w:p>
              </w:tc>
            </w:tr>
            <w:tr w14:paraId="6ADE20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45" w:type="pct"/>
                  <w:tcBorders>
                    <w:tl2br w:val="nil"/>
                    <w:tr2bl w:val="nil"/>
                  </w:tcBorders>
                  <w:noWrap w:val="0"/>
                  <w:tcMar>
                    <w:top w:w="0" w:type="dxa"/>
                    <w:left w:w="0" w:type="dxa"/>
                    <w:bottom w:w="0" w:type="dxa"/>
                    <w:right w:w="0" w:type="dxa"/>
                  </w:tcMar>
                  <w:vAlign w:val="center"/>
                </w:tcPr>
                <w:p w14:paraId="20FB6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w:t>
                  </w:r>
                  <w:r>
                    <w:rPr>
                      <w:rFonts w:hint="eastAsia" w:ascii="Times New Roman" w:hAnsi="Times New Roman" w:eastAsia="宋体" w:cs="Times New Roman"/>
                      <w:b w:val="0"/>
                      <w:bCs w:val="0"/>
                      <w:sz w:val="21"/>
                      <w:szCs w:val="21"/>
                      <w:u w:val="none"/>
                      <w:vertAlign w:val="baseline"/>
                      <w:lang w:val="en-US" w:eastAsia="zh-CN"/>
                    </w:rPr>
                    <w:t>1</w:t>
                  </w:r>
                </w:p>
              </w:tc>
              <w:tc>
                <w:tcPr>
                  <w:tcW w:w="1716" w:type="pct"/>
                  <w:tcBorders>
                    <w:tl2br w:val="nil"/>
                    <w:tr2bl w:val="nil"/>
                  </w:tcBorders>
                  <w:shd w:val="clear" w:color="auto" w:fill="auto"/>
                  <w:noWrap w:val="0"/>
                  <w:tcMar>
                    <w:top w:w="0" w:type="dxa"/>
                    <w:left w:w="0" w:type="dxa"/>
                    <w:bottom w:w="0" w:type="dxa"/>
                    <w:right w:w="0" w:type="dxa"/>
                  </w:tcMar>
                  <w:vAlign w:val="center"/>
                </w:tcPr>
                <w:p w14:paraId="2FD53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110" w:type="pct"/>
                  <w:tcBorders>
                    <w:tl2br w:val="nil"/>
                    <w:tr2bl w:val="nil"/>
                  </w:tcBorders>
                  <w:shd w:val="clear" w:color="auto" w:fill="auto"/>
                  <w:noWrap w:val="0"/>
                  <w:tcMar>
                    <w:top w:w="0" w:type="dxa"/>
                    <w:left w:w="0" w:type="dxa"/>
                    <w:bottom w:w="0" w:type="dxa"/>
                    <w:right w:w="0" w:type="dxa"/>
                  </w:tcMar>
                  <w:vAlign w:val="center"/>
                </w:tcPr>
                <w:p w14:paraId="75B026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36</w:t>
                  </w:r>
                </w:p>
              </w:tc>
              <w:tc>
                <w:tcPr>
                  <w:tcW w:w="1238" w:type="pct"/>
                  <w:tcBorders>
                    <w:tl2br w:val="nil"/>
                    <w:tr2bl w:val="nil"/>
                  </w:tcBorders>
                  <w:shd w:val="clear" w:color="auto" w:fill="auto"/>
                  <w:noWrap w:val="0"/>
                  <w:tcMar>
                    <w:top w:w="0" w:type="dxa"/>
                    <w:left w:w="0" w:type="dxa"/>
                    <w:bottom w:w="0" w:type="dxa"/>
                    <w:right w:w="0" w:type="dxa"/>
                  </w:tcMar>
                  <w:vAlign w:val="center"/>
                </w:tcPr>
                <w:p w14:paraId="456681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23</w:t>
                  </w:r>
                </w:p>
              </w:tc>
              <w:tc>
                <w:tcPr>
                  <w:tcW w:w="589" w:type="pct"/>
                  <w:tcBorders>
                    <w:tl2br w:val="nil"/>
                    <w:tr2bl w:val="nil"/>
                  </w:tcBorders>
                  <w:shd w:val="clear" w:color="auto" w:fill="auto"/>
                  <w:noWrap w:val="0"/>
                  <w:tcMar>
                    <w:top w:w="0" w:type="dxa"/>
                    <w:left w:w="0" w:type="dxa"/>
                    <w:bottom w:w="0" w:type="dxa"/>
                    <w:right w:w="0" w:type="dxa"/>
                  </w:tcMar>
                  <w:vAlign w:val="center"/>
                </w:tcPr>
                <w:p w14:paraId="3D4661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500</w:t>
                  </w:r>
                </w:p>
              </w:tc>
            </w:tr>
            <w:bookmarkEnd w:id="18"/>
          </w:tbl>
          <w:p w14:paraId="04BFE83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auto"/>
                <w:sz w:val="24"/>
                <w:szCs w:val="24"/>
                <w:highlight w:val="none"/>
                <w:lang w:val="en-US" w:eastAsia="zh-CN" w:bidi="ar-SA"/>
              </w:rPr>
              <w:t>。</w:t>
            </w:r>
          </w:p>
          <w:p w14:paraId="1B602518">
            <w:pPr>
              <w:keepNext w:val="0"/>
              <w:keepLines w:val="0"/>
              <w:widowControl w:val="0"/>
              <w:suppressLineNumbers w:val="0"/>
              <w:spacing w:before="0" w:beforeAutospacing="0" w:afterAutospacing="0"/>
              <w:ind w:left="0" w:right="0"/>
              <w:jc w:val="both"/>
              <w:rPr>
                <w:rFonts w:hint="default"/>
                <w:lang w:val="en-US" w:eastAsia="zh-CN"/>
              </w:rPr>
            </w:pPr>
          </w:p>
          <w:p w14:paraId="1F1C2B7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443C973A">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43DE794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4BE7622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0C45FDB1">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tc>
      </w:tr>
    </w:tbl>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9.</w:t>
      </w:r>
      <w:r>
        <w:rPr>
          <w:rFonts w:hint="default" w:ascii="Times New Roman" w:hAnsi="Times New Roman" w:eastAsia="宋体" w:cs="Times New Roman"/>
          <w:b/>
          <w:bCs/>
          <w:color w:val="auto"/>
          <w:spacing w:val="10"/>
          <w:w w:val="95"/>
          <w:sz w:val="32"/>
          <w:szCs w:val="22"/>
          <w:highlight w:val="none"/>
          <w:lang w:val="en-US" w:eastAsia="zh-CN" w:bidi="ar-SA"/>
        </w:rPr>
        <w:t>环境管理</w:t>
      </w:r>
      <w:bookmarkEnd w:id="16"/>
      <w:r>
        <w:rPr>
          <w:rFonts w:hint="eastAsia" w:ascii="Times New Roman" w:hAnsi="Times New Roman" w:eastAsia="宋体" w:cs="Times New Roman"/>
          <w:b/>
          <w:bCs/>
          <w:color w:val="auto"/>
          <w:spacing w:val="10"/>
          <w:w w:val="95"/>
          <w:sz w:val="32"/>
          <w:szCs w:val="22"/>
          <w:highlight w:val="none"/>
          <w:lang w:val="en-US" w:eastAsia="zh-CN" w:bidi="ar-SA"/>
        </w:rPr>
        <w:t>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为贯彻执行相关环境保护法律法规，及时了解项目及周围环境质量、社会因子的变化情况，掌握环境保护措施实施效果，保证项目所在区域良好的环境质量，在项目实施过程中需要进行相应的环境管理。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环境管理的主要目标为监督和检查项目污染防治措施、生态影响恢复措施的落实情况，确保各项环境保护措施按照环评及批复要求进行落实，把项目建设对周边环境的影响减小到最低程度，确保环境保护设施建设达到设计要求，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1）施工期环境管理机构由</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和施工单位联合组成，负责项目施工期间环境管理的组织、协调、监督和检查工作。在各个单项施工合同中列入环境保护的相关要求，明确了参与单位的环境保护责任。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2）施工期环境管理机构工作人员监督、检查各项环保设施的落实情况，重点检查项目进站是否符合“三同时”原则。同时对施工期废气治理、污水处置、固废处置，噪声排放等工作进行组织协调，督促落实。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通过现场调查，并根据建设单位提供的资料可知，在本项目的施工期间没有发生过环境污染事故，地方生态环境主管部门未接到有关项目建设引起噪声污染、水环境污染和大气环境污染的环保投诉。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本项目不涉及</w:t>
            </w:r>
            <w:r>
              <w:rPr>
                <w:rFonts w:hint="eastAsia" w:ascii="Times New Roman" w:hAnsi="Times New Roman" w:eastAsia="宋体" w:cs="Times New Roman"/>
                <w:color w:val="auto"/>
                <w:sz w:val="24"/>
                <w:szCs w:val="24"/>
                <w:highlight w:val="none"/>
                <w:lang w:eastAsia="zh-CN"/>
              </w:rPr>
              <w:t>石油</w:t>
            </w:r>
            <w:r>
              <w:rPr>
                <w:rFonts w:hint="eastAsia" w:ascii="Times New Roman" w:hAnsi="Times New Roman" w:eastAsia="宋体" w:cs="Times New Roman"/>
                <w:color w:val="auto"/>
                <w:sz w:val="24"/>
                <w:szCs w:val="24"/>
                <w:highlight w:val="none"/>
              </w:rPr>
              <w:t>开采，</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负责</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rPr>
              <w:t>关井期管理工作，有专职环保管理人员负责环境管理工作。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eastAsia"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用以掌握三废排放变化状况，强化</w:t>
            </w:r>
            <w:r>
              <w:rPr>
                <w:rFonts w:hint="eastAsia"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监测计划及其落实情况</w:t>
            </w:r>
          </w:p>
          <w:p w14:paraId="562BD9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color w:val="0000FF"/>
                <w:sz w:val="24"/>
                <w:szCs w:val="24"/>
                <w:highlight w:val="none"/>
                <w:lang w:val="en-US" w:eastAsia="zh-CN"/>
              </w:rPr>
              <w:t>本项目为石油勘探项目，不涉及石油开采，环境影响报告表中未提出监测计划。</w:t>
            </w:r>
          </w:p>
          <w:p w14:paraId="1291E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eastAsia" w:ascii="Times New Roman" w:hAnsi="Times New Roman" w:eastAsia="宋体" w:cs="Times New Roman"/>
                <w:b/>
                <w:bCs/>
                <w:color w:val="auto"/>
                <w:w w:val="100"/>
                <w:sz w:val="24"/>
                <w:szCs w:val="24"/>
                <w:highlight w:val="none"/>
                <w:vertAlign w:val="baseline"/>
                <w:lang w:val="en-US" w:eastAsia="zh-CN"/>
              </w:rPr>
              <w:t>9</w:t>
            </w:r>
            <w:r>
              <w:rPr>
                <w:rFonts w:hint="default" w:ascii="Times New Roman" w:hAnsi="Times New Roman" w:eastAsia="宋体" w:cs="Times New Roman"/>
                <w:b/>
                <w:bCs/>
                <w:color w:val="auto"/>
                <w:w w:val="100"/>
                <w:sz w:val="24"/>
                <w:szCs w:val="24"/>
                <w:highlight w:val="none"/>
                <w:vertAlign w:val="baseline"/>
                <w:lang w:val="en-US" w:eastAsia="zh-CN"/>
              </w:rPr>
              <w:t>.4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b/>
                <w:bCs/>
                <w:color w:val="auto"/>
                <w:w w:val="100"/>
                <w:sz w:val="24"/>
                <w:szCs w:val="24"/>
                <w:highlight w:val="none"/>
                <w:vertAlign w:val="baseline"/>
                <w:lang w:val="en-US" w:eastAsia="zh-CN"/>
              </w:rPr>
            </w:pPr>
            <w:r>
              <w:rPr>
                <w:rFonts w:hint="eastAsia"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rPr>
              <w:t>并于</w:t>
            </w:r>
            <w:r>
              <w:rPr>
                <w:rFonts w:hint="eastAsia" w:ascii="Times New Roman" w:hAnsi="Times New Roman" w:eastAsia="宋体" w:cs="Times New Roman"/>
                <w:color w:val="auto"/>
                <w:sz w:val="24"/>
                <w:szCs w:val="24"/>
                <w:highlight w:val="none"/>
                <w:lang w:val="en-US" w:eastAsia="zh-CN"/>
              </w:rPr>
              <w:t>2023年1月11日取得了庆阳市生态环境局宁县分局</w:t>
            </w:r>
            <w:r>
              <w:rPr>
                <w:rFonts w:hint="default" w:ascii="Times New Roman" w:hAnsi="Times New Roman" w:eastAsia="宋体" w:cs="Times New Roman"/>
                <w:color w:val="auto"/>
                <w:sz w:val="24"/>
                <w:szCs w:val="24"/>
                <w:highlight w:val="none"/>
                <w:lang w:val="en-US" w:eastAsia="zh-CN"/>
              </w:rPr>
              <w:t>预案备案文件，并</w:t>
            </w:r>
            <w:r>
              <w:rPr>
                <w:rFonts w:hint="eastAsia" w:ascii="Times New Roman" w:hAnsi="Times New Roman" w:eastAsia="宋体" w:cs="Times New Roman"/>
                <w:color w:val="auto"/>
                <w:sz w:val="24"/>
                <w:szCs w:val="24"/>
                <w:highlight w:val="none"/>
                <w:lang w:val="en-US" w:eastAsia="zh-CN"/>
              </w:rPr>
              <w:t>按照</w:t>
            </w:r>
            <w:r>
              <w:rPr>
                <w:rFonts w:hint="default" w:ascii="Times New Roman" w:hAnsi="Times New Roman" w:eastAsia="宋体" w:cs="Times New Roman"/>
                <w:color w:val="auto"/>
                <w:sz w:val="24"/>
                <w:szCs w:val="24"/>
                <w:highlight w:val="none"/>
                <w:lang w:val="en-US" w:eastAsia="zh-CN"/>
              </w:rPr>
              <w:t>预案中相关应急措施进行定期演练。</w:t>
            </w:r>
            <w:r>
              <w:rPr>
                <w:rFonts w:hint="eastAsia" w:ascii="Times New Roman" w:hAnsi="Times New Roman" w:eastAsia="宋体" w:cs="Times New Roman"/>
                <w:color w:val="auto"/>
                <w:sz w:val="24"/>
                <w:szCs w:val="24"/>
                <w:highlight w:val="none"/>
                <w:lang w:val="en-US" w:eastAsia="zh-CN"/>
              </w:rPr>
              <w:t>该应急预案修编日期为2026年1月11日，在本项目验收时间范围内。环保管理机构与管理制度健全，环境保护相关档案资料齐备，保存完整，采取的环境管理措施到位，从现场调查的情况来看，环境保护工作取得了较好的效果，没有因环境管理失误对环境造成不良影响。</w:t>
            </w:r>
          </w:p>
          <w:p w14:paraId="48A9A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9.6排污许可证</w:t>
            </w:r>
          </w:p>
          <w:p w14:paraId="14ADBB8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155DF8D">
            <w:pPr>
              <w:keepNext w:val="0"/>
              <w:keepLines w:val="0"/>
              <w:widowControl w:val="0"/>
              <w:suppressLineNumbers w:val="0"/>
              <w:spacing w:before="0" w:beforeAutospacing="0" w:afterAutospacing="0"/>
              <w:ind w:left="0" w:right="0"/>
              <w:jc w:val="both"/>
              <w:rPr>
                <w:rFonts w:hint="default"/>
                <w:lang w:val="en-US" w:eastAsia="zh-CN"/>
              </w:rPr>
            </w:pPr>
          </w:p>
          <w:p w14:paraId="450CDB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bookmarkStart w:id="19" w:name="_Toc30324"/>
    </w:p>
    <w:p w14:paraId="06C04114">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10.</w:t>
      </w:r>
      <w:r>
        <w:rPr>
          <w:rFonts w:hint="default" w:ascii="Times New Roman" w:hAnsi="Times New Roman" w:eastAsia="宋体" w:cs="Times New Roman"/>
          <w:b/>
          <w:bCs/>
          <w:color w:val="auto"/>
          <w:spacing w:val="10"/>
          <w:w w:val="95"/>
          <w:sz w:val="32"/>
          <w:szCs w:val="22"/>
          <w:highlight w:val="none"/>
          <w:lang w:val="en-US" w:eastAsia="zh-CN" w:bidi="ar-SA"/>
        </w:rPr>
        <w:t>调查结论与建议</w:t>
      </w:r>
      <w:bookmarkEnd w:id="19"/>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eastAsia" w:ascii="Times New Roman" w:hAnsi="Times New Roman" w:eastAsia="宋体" w:cs="Times New Roman"/>
                <w:b/>
                <w:bCs/>
                <w:color w:val="auto"/>
                <w:sz w:val="24"/>
                <w:szCs w:val="24"/>
                <w:highlight w:val="none"/>
                <w:vertAlign w:val="baseline"/>
                <w:lang w:val="en-US" w:eastAsia="zh-CN"/>
              </w:rPr>
              <w:t>10</w:t>
            </w:r>
            <w:r>
              <w:rPr>
                <w:rFonts w:hint="default" w:ascii="Times New Roman" w:hAnsi="Times New Roman" w:eastAsia="宋体" w:cs="Times New Roman"/>
                <w:b/>
                <w:bCs/>
                <w:color w:val="auto"/>
                <w:sz w:val="24"/>
                <w:szCs w:val="24"/>
                <w:highlight w:val="none"/>
                <w:vertAlign w:val="baseline"/>
                <w:lang w:val="en-US" w:eastAsia="zh-CN"/>
              </w:rPr>
              <w:t>.1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5"/>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76AB4EB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eastAsia" w:ascii="Times New Roman" w:hAnsi="Times New Roman" w:eastAsia="宋体" w:cs="Times New Roman"/>
                <w:color w:val="0000FF"/>
                <w:sz w:val="24"/>
                <w:szCs w:val="24"/>
                <w:lang w:eastAsia="zh-CN"/>
              </w:rPr>
            </w:pPr>
            <w:r>
              <w:rPr>
                <w:rFonts w:hint="eastAsia" w:cs="Times New Roman"/>
                <w:color w:val="auto"/>
                <w:spacing w:val="0"/>
                <w:w w:val="100"/>
                <w:sz w:val="24"/>
                <w:szCs w:val="24"/>
                <w:highlight w:val="none"/>
                <w:lang w:eastAsia="zh-CN"/>
              </w:rPr>
              <w:t>JH55P2</w:t>
            </w:r>
            <w:r>
              <w:rPr>
                <w:rFonts w:hint="default" w:ascii="Times New Roman" w:hAnsi="Times New Roman" w:cs="Times New Roman"/>
                <w:color w:val="auto"/>
                <w:spacing w:val="0"/>
                <w:w w:val="100"/>
                <w:sz w:val="24"/>
                <w:szCs w:val="24"/>
                <w:highlight w:val="none"/>
                <w:lang w:val="en-US" w:eastAsia="zh-CN"/>
              </w:rPr>
              <w:t>位于</w:t>
            </w:r>
            <w:r>
              <w:rPr>
                <w:rFonts w:hint="eastAsia" w:cs="Times New Roman"/>
                <w:color w:val="auto"/>
                <w:spacing w:val="0"/>
                <w:w w:val="100"/>
                <w:sz w:val="24"/>
                <w:szCs w:val="24"/>
                <w:highlight w:val="none"/>
                <w:lang w:val="en-US" w:eastAsia="zh-CN"/>
              </w:rPr>
              <w:t>宁县平子镇平子村十一组</w:t>
            </w:r>
            <w:r>
              <w:rPr>
                <w:rFonts w:hint="default" w:ascii="Times New Roman" w:hAnsi="Times New Roman" w:cs="Times New Roman"/>
                <w:color w:val="auto"/>
                <w:spacing w:val="0"/>
                <w:w w:val="100"/>
                <w:sz w:val="24"/>
                <w:szCs w:val="24"/>
                <w:highlight w:val="none"/>
                <w:lang w:val="en-US" w:eastAsia="zh-CN"/>
              </w:rPr>
              <w:t>，坐标E</w:t>
            </w:r>
            <w:r>
              <w:rPr>
                <w:rFonts w:hint="eastAsia" w:cs="Times New Roman"/>
                <w:color w:val="auto"/>
                <w:spacing w:val="0"/>
                <w:w w:val="100"/>
                <w:sz w:val="24"/>
                <w:szCs w:val="24"/>
                <w:highlight w:val="none"/>
                <w:lang w:val="en-US" w:eastAsia="zh-CN"/>
              </w:rPr>
              <w:t>108°09′46.218″，N35°26′08.602″</w:t>
            </w:r>
            <w:r>
              <w:rPr>
                <w:rFonts w:hint="default"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z w:val="24"/>
                <w:szCs w:val="24"/>
                <w:lang w:val="en-US" w:eastAsia="zh-CN"/>
              </w:rPr>
              <w:t>本项目</w:t>
            </w:r>
            <w:r>
              <w:rPr>
                <w:rFonts w:hint="default" w:ascii="Times New Roman" w:hAnsi="Times New Roman" w:cs="Times New Roman"/>
                <w:color w:val="auto"/>
                <w:sz w:val="24"/>
                <w:szCs w:val="24"/>
                <w:lang w:val="en-US" w:eastAsia="zh-CN"/>
              </w:rPr>
              <w:t>建设</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口</w:t>
            </w:r>
            <w:r>
              <w:rPr>
                <w:rFonts w:hint="eastAsia" w:cs="Times New Roman"/>
                <w:color w:val="auto"/>
                <w:sz w:val="24"/>
                <w:szCs w:val="24"/>
                <w:lang w:val="en-US" w:eastAsia="zh-CN"/>
              </w:rPr>
              <w:t>石油</w:t>
            </w:r>
            <w:r>
              <w:rPr>
                <w:rFonts w:hint="default" w:ascii="Times New Roman" w:hAnsi="Times New Roman" w:eastAsia="宋体" w:cs="Times New Roman"/>
                <w:color w:val="auto"/>
                <w:sz w:val="24"/>
                <w:szCs w:val="24"/>
                <w:lang w:val="en-US" w:eastAsia="zh-CN"/>
              </w:rPr>
              <w:t>探井</w:t>
            </w:r>
            <w:r>
              <w:rPr>
                <w:rFonts w:hint="eastAsia" w:cs="Times New Roman"/>
                <w:color w:val="auto"/>
                <w:sz w:val="24"/>
                <w:szCs w:val="24"/>
                <w:lang w:val="en-US" w:eastAsia="zh-CN"/>
              </w:rPr>
              <w:t>及进场道路，均为临时占地，</w:t>
            </w:r>
            <w:r>
              <w:rPr>
                <w:rFonts w:hint="default" w:ascii="Times New Roman" w:hAnsi="Times New Roman" w:eastAsia="宋体" w:cs="Times New Roman"/>
                <w:color w:val="auto"/>
                <w:sz w:val="24"/>
                <w:szCs w:val="24"/>
              </w:rPr>
              <w:t>临时占地</w:t>
            </w:r>
            <w:r>
              <w:rPr>
                <w:rFonts w:hint="eastAsia" w:cs="Times New Roman"/>
                <w:color w:val="auto"/>
                <w:sz w:val="24"/>
                <w:szCs w:val="24"/>
                <w:lang w:val="en-US" w:eastAsia="zh-CN"/>
              </w:rPr>
              <w:t>面积</w:t>
            </w:r>
            <w:r>
              <w:rPr>
                <w:rFonts w:hint="eastAsia" w:cs="Times New Roman"/>
                <w:b w:val="0"/>
                <w:color w:val="auto"/>
                <w:spacing w:val="0"/>
                <w:w w:val="100"/>
                <w:sz w:val="24"/>
                <w:szCs w:val="24"/>
                <w:highlight w:val="none"/>
                <w:lang w:val="en-US" w:eastAsia="zh-CN" w:bidi="ar-SA"/>
              </w:rPr>
              <w:t>16347.46</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2</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lang w:val="en-US" w:eastAsia="zh-CN"/>
              </w:rPr>
              <w:t>占地类型为</w:t>
            </w:r>
            <w:r>
              <w:rPr>
                <w:rFonts w:hint="eastAsia" w:cs="Times New Roman"/>
                <w:color w:val="auto"/>
                <w:sz w:val="24"/>
                <w:szCs w:val="24"/>
                <w:lang w:val="en-US" w:eastAsia="zh-CN"/>
              </w:rPr>
              <w:t>耕地</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钻井深度分别为：2012m，为水平井，</w:t>
            </w:r>
            <w:r>
              <w:rPr>
                <w:rFonts w:hint="default" w:ascii="Times New Roman" w:hAnsi="Times New Roman" w:eastAsia="宋体" w:cs="Times New Roman"/>
                <w:color w:val="FF0000"/>
                <w:spacing w:val="0"/>
                <w:sz w:val="24"/>
                <w:szCs w:val="24"/>
                <w:highlight w:val="none"/>
                <w:lang w:val="en-US" w:eastAsia="zh-CN"/>
              </w:rPr>
              <w:t>目的层位为长6、长7</w:t>
            </w:r>
            <w:r>
              <w:rPr>
                <w:rFonts w:hint="eastAsia" w:cs="Times New Roman"/>
                <w:color w:val="auto"/>
                <w:sz w:val="24"/>
                <w:szCs w:val="24"/>
                <w:lang w:eastAsia="zh-CN"/>
              </w:rPr>
              <w:t>。</w:t>
            </w:r>
            <w:r>
              <w:rPr>
                <w:rFonts w:hint="eastAsia"/>
                <w:color w:val="auto"/>
                <w:sz w:val="24"/>
              </w:rPr>
              <w:t>钻井结束后，进行了完井测试，工程实际建设内容与环评及审查意见内容一致</w:t>
            </w:r>
            <w:r>
              <w:rPr>
                <w:rFonts w:hint="eastAsia"/>
                <w:sz w:val="24"/>
              </w:rPr>
              <w:t>。</w:t>
            </w:r>
          </w:p>
          <w:p w14:paraId="10FCE751">
            <w:pPr>
              <w:pStyle w:val="37"/>
              <w:keepNext w:val="0"/>
              <w:keepLines w:val="0"/>
              <w:pageBreakBefore w:val="0"/>
              <w:widowControl/>
              <w:suppressLineNumbers w:val="0"/>
              <w:kinsoku/>
              <w:wordWrap/>
              <w:overflowPunct/>
              <w:topLinePunct w:val="0"/>
              <w:autoSpaceDE/>
              <w:autoSpaceDN/>
              <w:bidi w:val="0"/>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eastAsia"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该项目实际总投资500万元，环保投资为</w:t>
            </w:r>
            <w:r>
              <w:rPr>
                <w:rFonts w:hint="eastAsia" w:ascii="Times New Roman" w:hAnsi="Times New Roman" w:eastAsia="宋体" w:cs="Times New Roman"/>
                <w:color w:val="auto"/>
                <w:sz w:val="24"/>
                <w:szCs w:val="24"/>
                <w:highlight w:val="none"/>
                <w:lang w:val="en-US" w:eastAsia="zh-CN" w:bidi="ar-SA"/>
              </w:rPr>
              <w:t>55.04万</w:t>
            </w:r>
            <w:r>
              <w:rPr>
                <w:rFonts w:hint="eastAsia" w:ascii="Times New Roman" w:hAnsi="Times New Roman" w:eastAsia="宋体" w:cs="Times New Roman"/>
                <w:color w:val="auto"/>
                <w:spacing w:val="0"/>
                <w:w w:val="100"/>
                <w:sz w:val="24"/>
                <w:szCs w:val="24"/>
                <w:highlight w:val="none"/>
                <w:lang w:val="en-US" w:eastAsia="zh-CN" w:bidi="ar-SA"/>
              </w:rPr>
              <w:t>元，占工程实际总投资的11.0%。主要用于施工扬尘治理、废水处理、固体废物处理、噪声污染防治，以及施工迹地生态恢复等。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bCs/>
                <w:color w:val="auto"/>
                <w:sz w:val="24"/>
                <w:szCs w:val="24"/>
                <w:highlight w:val="none"/>
                <w:vertAlign w:val="baseline"/>
                <w:lang w:val="en-US" w:eastAsia="zh-CN"/>
              </w:rPr>
            </w:pPr>
            <w:r>
              <w:rPr>
                <w:rFonts w:hint="eastAsia" w:ascii="Times New Roman" w:hAnsi="Times New Roman" w:eastAsia="宋体" w:cs="Times New Roman"/>
                <w:b/>
                <w:bCs/>
                <w:color w:val="auto"/>
                <w:sz w:val="24"/>
                <w:szCs w:val="24"/>
                <w:highlight w:val="none"/>
                <w:vertAlign w:val="baseline"/>
                <w:lang w:val="en-US" w:eastAsia="zh-CN"/>
              </w:rPr>
              <w:t>3、环境影响调查结论</w:t>
            </w:r>
          </w:p>
          <w:p w14:paraId="79E2A2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5F4F6C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b w:val="0"/>
                <w:bCs w:val="0"/>
                <w:color w:val="FF0000"/>
                <w:sz w:val="24"/>
                <w:szCs w:val="24"/>
                <w:highlight w:val="none"/>
                <w:lang w:val="en-US" w:eastAsia="zh-CN" w:bidi="ar-SA"/>
              </w:rPr>
              <w:t>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w:t>
            </w:r>
            <w:r>
              <w:rPr>
                <w:rFonts w:hint="eastAsia"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采油一厂已编制</w:t>
            </w:r>
            <w:r>
              <w:rPr>
                <w:rFonts w:hint="eastAsia" w:ascii="Times New Roman" w:hAnsi="Times New Roman" w:eastAsia="宋体" w:cs="Times New Roman"/>
                <w:color w:val="auto"/>
                <w:sz w:val="24"/>
                <w:szCs w:val="24"/>
                <w:highlight w:val="none"/>
                <w:lang w:val="en-US" w:eastAsia="zh-CN"/>
              </w:rPr>
              <w:t>突发环境事件应急预案，并于2023年1月11日取得了庆阳市生态环境局宁县分局预案备案文件，并按照预案中相关应急措施进行定期演练。该应急预案修编日期为2026年1月11日，在本项目验收时间范围内</w:t>
            </w:r>
            <w:r>
              <w:rPr>
                <w:rFonts w:hint="default" w:ascii="Times New Roman" w:hAnsi="Times New Roman" w:eastAsia="宋体" w:cs="Times New Roman"/>
                <w:color w:val="auto"/>
                <w:sz w:val="24"/>
                <w:szCs w:val="24"/>
                <w:highlight w:val="none"/>
                <w:lang w:val="en-US" w:eastAsia="zh-CN"/>
              </w:rPr>
              <w:t>。</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2A47A7DD">
            <w:pPr>
              <w:pStyle w:val="7"/>
              <w:keepNext/>
              <w:keepLines/>
              <w:pageBreakBefore w:val="0"/>
              <w:widowControl/>
              <w:numPr>
                <w:ilvl w:val="0"/>
                <w:numId w:val="6"/>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0620C06E">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10.2建议和要求</w:t>
            </w:r>
          </w:p>
          <w:p w14:paraId="51E0AD5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（1）向井场及周边的居民大力宣传有关安全、环保知识，减少有意识和无意识的人为破坏。</w:t>
            </w:r>
          </w:p>
          <w:p w14:paraId="536EA94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（2）井场具有开采价值，纳入油田区块管理，永久封井的做好管理工作。</w:t>
            </w:r>
          </w:p>
          <w:p w14:paraId="4E0644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加强井场生态恢复</w:t>
            </w:r>
            <w:r>
              <w:rPr>
                <w:rFonts w:hint="eastAsia" w:ascii="Times New Roman" w:hAnsi="Times New Roman" w:eastAsia="宋体" w:cs="Times New Roman"/>
                <w:color w:val="auto"/>
                <w:sz w:val="24"/>
                <w:szCs w:val="24"/>
                <w:highlight w:val="none"/>
                <w:lang w:val="en-US" w:eastAsia="zh-CN"/>
              </w:rPr>
              <w:t>措施的维护</w:t>
            </w:r>
            <w:r>
              <w:rPr>
                <w:rFonts w:hint="default" w:ascii="Times New Roman" w:hAnsi="Times New Roman" w:eastAsia="宋体" w:cs="Times New Roman"/>
                <w:color w:val="auto"/>
                <w:sz w:val="24"/>
                <w:szCs w:val="24"/>
                <w:highlight w:val="none"/>
                <w:lang w:val="en-US" w:eastAsia="zh-CN"/>
              </w:rPr>
              <w:t>工作</w:t>
            </w:r>
            <w:r>
              <w:rPr>
                <w:rFonts w:hint="eastAsia" w:ascii="Times New Roman" w:hAnsi="Times New Roman" w:eastAsia="宋体" w:cs="Times New Roman"/>
                <w:color w:val="auto"/>
                <w:sz w:val="24"/>
                <w:szCs w:val="24"/>
                <w:highlight w:val="none"/>
                <w:lang w:val="en-US" w:eastAsia="zh-CN"/>
              </w:rPr>
              <w:t>。</w:t>
            </w:r>
          </w:p>
          <w:p w14:paraId="4D7AC6F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（4）建设单位做好勘探井转为生产井的衔接工作，确保过渡期无新的生态环境负面影响。</w:t>
            </w:r>
          </w:p>
          <w:p w14:paraId="7FA5A31D">
            <w:pPr>
              <w:pStyle w:val="5"/>
              <w:widowControl w:val="0"/>
              <w:suppressLineNumbers w:val="0"/>
              <w:spacing w:before="0"/>
              <w:ind w:left="0" w:right="0"/>
              <w:jc w:val="both"/>
              <w:rPr>
                <w:rFonts w:hint="default"/>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0763B995">
      <w:pPr>
        <w:pStyle w:val="24"/>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7130">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68A4E">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E68A4E">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9C18D">
                          <w:pPr>
                            <w:pStyle w:val="1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F9C18D">
                    <w:pPr>
                      <w:pStyle w:val="16"/>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9E70"/>
    <w:multiLevelType w:val="singleLevel"/>
    <w:tmpl w:val="B2E69E70"/>
    <w:lvl w:ilvl="0" w:tentative="0">
      <w:start w:val="1"/>
      <w:numFmt w:val="decimal"/>
      <w:suff w:val="nothing"/>
      <w:lvlText w:val="（%1）"/>
      <w:lvlJc w:val="left"/>
    </w:lvl>
  </w:abstractNum>
  <w:abstractNum w:abstractNumId="1">
    <w:nsid w:val="CB2FF0EA"/>
    <w:multiLevelType w:val="singleLevel"/>
    <w:tmpl w:val="CB2FF0EA"/>
    <w:lvl w:ilvl="0" w:tentative="0">
      <w:start w:val="4"/>
      <w:numFmt w:val="decimal"/>
      <w:suff w:val="nothing"/>
      <w:lvlText w:val="%1、"/>
      <w:lvlJc w:val="left"/>
    </w:lvl>
  </w:abstractNum>
  <w:abstractNum w:abstractNumId="2">
    <w:nsid w:val="D604CBF7"/>
    <w:multiLevelType w:val="singleLevel"/>
    <w:tmpl w:val="D604CBF7"/>
    <w:lvl w:ilvl="0" w:tentative="0">
      <w:start w:val="4"/>
      <w:numFmt w:val="decimal"/>
      <w:lvlText w:val="%1."/>
      <w:lvlJc w:val="left"/>
      <w:pPr>
        <w:tabs>
          <w:tab w:val="left" w:pos="312"/>
        </w:tabs>
      </w:pPr>
    </w:lvl>
  </w:abstractNum>
  <w:abstractNum w:abstractNumId="3">
    <w:nsid w:val="2A50A12A"/>
    <w:multiLevelType w:val="singleLevel"/>
    <w:tmpl w:val="2A50A12A"/>
    <w:lvl w:ilvl="0" w:tentative="0">
      <w:start w:val="1"/>
      <w:numFmt w:val="decimal"/>
      <w:suff w:val="nothing"/>
      <w:lvlText w:val="（%1）"/>
      <w:lvlJc w:val="left"/>
    </w:lvl>
  </w:abstractNum>
  <w:abstractNum w:abstractNumId="4">
    <w:nsid w:val="483546B3"/>
    <w:multiLevelType w:val="singleLevel"/>
    <w:tmpl w:val="483546B3"/>
    <w:lvl w:ilvl="0" w:tentative="0">
      <w:start w:val="1"/>
      <w:numFmt w:val="decimal"/>
      <w:suff w:val="nothing"/>
      <w:lvlText w:val="%1、"/>
      <w:lvlJc w:val="left"/>
    </w:lvl>
  </w:abstractNum>
  <w:abstractNum w:abstractNumId="5">
    <w:nsid w:val="4F5213C2"/>
    <w:multiLevelType w:val="singleLevel"/>
    <w:tmpl w:val="4F5213C2"/>
    <w:lvl w:ilvl="0" w:tentative="0">
      <w:start w:val="1"/>
      <w:numFmt w:val="decimal"/>
      <w:suff w:val="nothing"/>
      <w:lvlText w:val="%1、"/>
      <w:lvlJc w:val="left"/>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135135"/>
    <w:rsid w:val="00150EAD"/>
    <w:rsid w:val="00166B44"/>
    <w:rsid w:val="0018274C"/>
    <w:rsid w:val="001A4A6C"/>
    <w:rsid w:val="001E351F"/>
    <w:rsid w:val="001F1C09"/>
    <w:rsid w:val="00220FB0"/>
    <w:rsid w:val="002657CB"/>
    <w:rsid w:val="00295C6D"/>
    <w:rsid w:val="002A3D8A"/>
    <w:rsid w:val="002C65ED"/>
    <w:rsid w:val="003145A2"/>
    <w:rsid w:val="003752C8"/>
    <w:rsid w:val="00390482"/>
    <w:rsid w:val="003F1D0B"/>
    <w:rsid w:val="003F23CE"/>
    <w:rsid w:val="00490CB3"/>
    <w:rsid w:val="004C4EDD"/>
    <w:rsid w:val="0055266A"/>
    <w:rsid w:val="00563274"/>
    <w:rsid w:val="005714C6"/>
    <w:rsid w:val="005B47D0"/>
    <w:rsid w:val="005C088A"/>
    <w:rsid w:val="005E7DB3"/>
    <w:rsid w:val="005F037B"/>
    <w:rsid w:val="00616DBC"/>
    <w:rsid w:val="006911F9"/>
    <w:rsid w:val="0069744B"/>
    <w:rsid w:val="00702588"/>
    <w:rsid w:val="00724DE5"/>
    <w:rsid w:val="00733E26"/>
    <w:rsid w:val="007A1026"/>
    <w:rsid w:val="007B6B90"/>
    <w:rsid w:val="007D0F25"/>
    <w:rsid w:val="007E1AC4"/>
    <w:rsid w:val="00803C8F"/>
    <w:rsid w:val="0086777B"/>
    <w:rsid w:val="008A4EAD"/>
    <w:rsid w:val="008B5614"/>
    <w:rsid w:val="00951517"/>
    <w:rsid w:val="00951FEE"/>
    <w:rsid w:val="009B5E85"/>
    <w:rsid w:val="009D0EA3"/>
    <w:rsid w:val="009F2E6D"/>
    <w:rsid w:val="00A83AD0"/>
    <w:rsid w:val="00AA32B3"/>
    <w:rsid w:val="00AC3E2D"/>
    <w:rsid w:val="00B36066"/>
    <w:rsid w:val="00B51FAF"/>
    <w:rsid w:val="00B52690"/>
    <w:rsid w:val="00B561ED"/>
    <w:rsid w:val="00BA1A55"/>
    <w:rsid w:val="00C91C98"/>
    <w:rsid w:val="00CA759C"/>
    <w:rsid w:val="00CF3752"/>
    <w:rsid w:val="00D074CA"/>
    <w:rsid w:val="00D11846"/>
    <w:rsid w:val="00D74DF5"/>
    <w:rsid w:val="00DC19CB"/>
    <w:rsid w:val="00DF270A"/>
    <w:rsid w:val="00E645F8"/>
    <w:rsid w:val="00ED3BD8"/>
    <w:rsid w:val="00EF40AB"/>
    <w:rsid w:val="00EF7950"/>
    <w:rsid w:val="00F211EF"/>
    <w:rsid w:val="00F46D15"/>
    <w:rsid w:val="00F705B3"/>
    <w:rsid w:val="00F76805"/>
    <w:rsid w:val="00FC02BF"/>
    <w:rsid w:val="00FF0E03"/>
    <w:rsid w:val="01022EEC"/>
    <w:rsid w:val="01062EEC"/>
    <w:rsid w:val="01141165"/>
    <w:rsid w:val="0119244B"/>
    <w:rsid w:val="011B7573"/>
    <w:rsid w:val="011C44BE"/>
    <w:rsid w:val="011C50FD"/>
    <w:rsid w:val="011E3D92"/>
    <w:rsid w:val="011F2AD1"/>
    <w:rsid w:val="01233A9E"/>
    <w:rsid w:val="0124255B"/>
    <w:rsid w:val="01311D17"/>
    <w:rsid w:val="01323CE1"/>
    <w:rsid w:val="014D4677"/>
    <w:rsid w:val="01540E45"/>
    <w:rsid w:val="016519C1"/>
    <w:rsid w:val="016D19EC"/>
    <w:rsid w:val="016D4D19"/>
    <w:rsid w:val="016F283F"/>
    <w:rsid w:val="017764CA"/>
    <w:rsid w:val="01787946"/>
    <w:rsid w:val="017936BE"/>
    <w:rsid w:val="0179546C"/>
    <w:rsid w:val="017A36FD"/>
    <w:rsid w:val="0185764C"/>
    <w:rsid w:val="01877B89"/>
    <w:rsid w:val="018A7679"/>
    <w:rsid w:val="01910A08"/>
    <w:rsid w:val="019112F3"/>
    <w:rsid w:val="019127B6"/>
    <w:rsid w:val="019422A6"/>
    <w:rsid w:val="019C3DA1"/>
    <w:rsid w:val="019D1CEC"/>
    <w:rsid w:val="019E4ED3"/>
    <w:rsid w:val="01A2062B"/>
    <w:rsid w:val="01A26771"/>
    <w:rsid w:val="01A50B3B"/>
    <w:rsid w:val="01AB3280"/>
    <w:rsid w:val="01B110AA"/>
    <w:rsid w:val="01B46289"/>
    <w:rsid w:val="01B82438"/>
    <w:rsid w:val="01BB5A85"/>
    <w:rsid w:val="01C72EFD"/>
    <w:rsid w:val="01C901A1"/>
    <w:rsid w:val="01C963F3"/>
    <w:rsid w:val="01CF1530"/>
    <w:rsid w:val="01D4740C"/>
    <w:rsid w:val="01D86637"/>
    <w:rsid w:val="01D9415D"/>
    <w:rsid w:val="01E07299"/>
    <w:rsid w:val="01E90844"/>
    <w:rsid w:val="01EA5991"/>
    <w:rsid w:val="01EC0334"/>
    <w:rsid w:val="01EF3980"/>
    <w:rsid w:val="01F01BD2"/>
    <w:rsid w:val="01F176F8"/>
    <w:rsid w:val="01F40F97"/>
    <w:rsid w:val="01F42D45"/>
    <w:rsid w:val="01F546B2"/>
    <w:rsid w:val="01FF0067"/>
    <w:rsid w:val="020421DD"/>
    <w:rsid w:val="020B07BA"/>
    <w:rsid w:val="020E3E06"/>
    <w:rsid w:val="020F7B7E"/>
    <w:rsid w:val="02131F64"/>
    <w:rsid w:val="021921CC"/>
    <w:rsid w:val="021B4775"/>
    <w:rsid w:val="0224187C"/>
    <w:rsid w:val="022A2C9E"/>
    <w:rsid w:val="023868B8"/>
    <w:rsid w:val="024141DC"/>
    <w:rsid w:val="024912E2"/>
    <w:rsid w:val="024C492F"/>
    <w:rsid w:val="02511F45"/>
    <w:rsid w:val="025714DE"/>
    <w:rsid w:val="025727E8"/>
    <w:rsid w:val="025832D3"/>
    <w:rsid w:val="02587777"/>
    <w:rsid w:val="025A529E"/>
    <w:rsid w:val="025D7143"/>
    <w:rsid w:val="025F4662"/>
    <w:rsid w:val="02637F53"/>
    <w:rsid w:val="026478F5"/>
    <w:rsid w:val="026532A6"/>
    <w:rsid w:val="02734D1B"/>
    <w:rsid w:val="02757789"/>
    <w:rsid w:val="027A149C"/>
    <w:rsid w:val="02830E67"/>
    <w:rsid w:val="028C11CF"/>
    <w:rsid w:val="028D6E3D"/>
    <w:rsid w:val="028E13EB"/>
    <w:rsid w:val="02935D81"/>
    <w:rsid w:val="02945FBB"/>
    <w:rsid w:val="02981BF3"/>
    <w:rsid w:val="029925B5"/>
    <w:rsid w:val="029B75CA"/>
    <w:rsid w:val="02A705C7"/>
    <w:rsid w:val="02A824AD"/>
    <w:rsid w:val="02AA30B8"/>
    <w:rsid w:val="02B917E0"/>
    <w:rsid w:val="02BB22C4"/>
    <w:rsid w:val="02BF7CA2"/>
    <w:rsid w:val="02C31095"/>
    <w:rsid w:val="02C4009F"/>
    <w:rsid w:val="02C531E2"/>
    <w:rsid w:val="02C72207"/>
    <w:rsid w:val="02C80459"/>
    <w:rsid w:val="02C8308D"/>
    <w:rsid w:val="02CA0054"/>
    <w:rsid w:val="02CB3234"/>
    <w:rsid w:val="02D44637"/>
    <w:rsid w:val="02D52B76"/>
    <w:rsid w:val="02DF21EF"/>
    <w:rsid w:val="02E05E32"/>
    <w:rsid w:val="02E73401"/>
    <w:rsid w:val="02E82052"/>
    <w:rsid w:val="02ED7EC0"/>
    <w:rsid w:val="02EE3C38"/>
    <w:rsid w:val="02EF10DB"/>
    <w:rsid w:val="02EF1E8A"/>
    <w:rsid w:val="03065425"/>
    <w:rsid w:val="03086AA8"/>
    <w:rsid w:val="031420BC"/>
    <w:rsid w:val="031A4F39"/>
    <w:rsid w:val="03217B69"/>
    <w:rsid w:val="03237D85"/>
    <w:rsid w:val="03241A2B"/>
    <w:rsid w:val="03253AFD"/>
    <w:rsid w:val="0328143D"/>
    <w:rsid w:val="0328539C"/>
    <w:rsid w:val="032A692E"/>
    <w:rsid w:val="032B09E8"/>
    <w:rsid w:val="032B4594"/>
    <w:rsid w:val="032C7D6B"/>
    <w:rsid w:val="03345AEF"/>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C32FA"/>
    <w:rsid w:val="03906A9D"/>
    <w:rsid w:val="03915D3E"/>
    <w:rsid w:val="03922815"/>
    <w:rsid w:val="03965E35"/>
    <w:rsid w:val="03977E2B"/>
    <w:rsid w:val="03996BF7"/>
    <w:rsid w:val="039B3DC0"/>
    <w:rsid w:val="039C4493"/>
    <w:rsid w:val="039E740C"/>
    <w:rsid w:val="039F17E7"/>
    <w:rsid w:val="03A013D6"/>
    <w:rsid w:val="03A04F32"/>
    <w:rsid w:val="03A52548"/>
    <w:rsid w:val="03AD0875"/>
    <w:rsid w:val="03BD629B"/>
    <w:rsid w:val="03BE185C"/>
    <w:rsid w:val="03C926DB"/>
    <w:rsid w:val="03CA1FAF"/>
    <w:rsid w:val="03CC68AD"/>
    <w:rsid w:val="03CE7CF1"/>
    <w:rsid w:val="03CF3A69"/>
    <w:rsid w:val="03CF5817"/>
    <w:rsid w:val="03D270B5"/>
    <w:rsid w:val="03D42D07"/>
    <w:rsid w:val="03D66BA6"/>
    <w:rsid w:val="03E70DB3"/>
    <w:rsid w:val="03E92ECA"/>
    <w:rsid w:val="03EA2651"/>
    <w:rsid w:val="03F02344"/>
    <w:rsid w:val="03F4702C"/>
    <w:rsid w:val="03F62DA4"/>
    <w:rsid w:val="03F82FC0"/>
    <w:rsid w:val="03F86B1C"/>
    <w:rsid w:val="03FA2051"/>
    <w:rsid w:val="03FD29A1"/>
    <w:rsid w:val="040123E3"/>
    <w:rsid w:val="0405748B"/>
    <w:rsid w:val="040A2CF3"/>
    <w:rsid w:val="040B1509"/>
    <w:rsid w:val="040B79B6"/>
    <w:rsid w:val="040D6D41"/>
    <w:rsid w:val="04114082"/>
    <w:rsid w:val="04123780"/>
    <w:rsid w:val="041616A2"/>
    <w:rsid w:val="041A1188"/>
    <w:rsid w:val="041C0250"/>
    <w:rsid w:val="04277401"/>
    <w:rsid w:val="042E2066"/>
    <w:rsid w:val="0431202E"/>
    <w:rsid w:val="043164D2"/>
    <w:rsid w:val="04357D70"/>
    <w:rsid w:val="04367644"/>
    <w:rsid w:val="043809FC"/>
    <w:rsid w:val="043833BC"/>
    <w:rsid w:val="04387860"/>
    <w:rsid w:val="043B6147"/>
    <w:rsid w:val="04433F31"/>
    <w:rsid w:val="04482E3E"/>
    <w:rsid w:val="044959C1"/>
    <w:rsid w:val="045126D0"/>
    <w:rsid w:val="04533D1D"/>
    <w:rsid w:val="045521C0"/>
    <w:rsid w:val="045A1585"/>
    <w:rsid w:val="04644D0D"/>
    <w:rsid w:val="0467106F"/>
    <w:rsid w:val="04675A50"/>
    <w:rsid w:val="046C66E4"/>
    <w:rsid w:val="046E7887"/>
    <w:rsid w:val="047168CE"/>
    <w:rsid w:val="04722D72"/>
    <w:rsid w:val="0472717F"/>
    <w:rsid w:val="04727A0B"/>
    <w:rsid w:val="047A5783"/>
    <w:rsid w:val="04830723"/>
    <w:rsid w:val="04882551"/>
    <w:rsid w:val="048900BC"/>
    <w:rsid w:val="04891E6A"/>
    <w:rsid w:val="048B3E34"/>
    <w:rsid w:val="048C4069"/>
    <w:rsid w:val="048F1DD1"/>
    <w:rsid w:val="04926F71"/>
    <w:rsid w:val="049555F0"/>
    <w:rsid w:val="049820AD"/>
    <w:rsid w:val="049A7BD3"/>
    <w:rsid w:val="049B65B6"/>
    <w:rsid w:val="049F2B84"/>
    <w:rsid w:val="049F32D8"/>
    <w:rsid w:val="04A171B4"/>
    <w:rsid w:val="04A57872"/>
    <w:rsid w:val="04A722F0"/>
    <w:rsid w:val="04A8620D"/>
    <w:rsid w:val="04A930A7"/>
    <w:rsid w:val="04AD224F"/>
    <w:rsid w:val="04B47CAF"/>
    <w:rsid w:val="04B62533"/>
    <w:rsid w:val="04BA0275"/>
    <w:rsid w:val="04C66C1A"/>
    <w:rsid w:val="04C904B8"/>
    <w:rsid w:val="04C9495C"/>
    <w:rsid w:val="04C9670A"/>
    <w:rsid w:val="04CE6D30"/>
    <w:rsid w:val="04D330E5"/>
    <w:rsid w:val="04D56E5D"/>
    <w:rsid w:val="04D95235"/>
    <w:rsid w:val="04DA0918"/>
    <w:rsid w:val="04DA26C6"/>
    <w:rsid w:val="04E62E18"/>
    <w:rsid w:val="04E71D9A"/>
    <w:rsid w:val="04E92909"/>
    <w:rsid w:val="04ED76E2"/>
    <w:rsid w:val="04F03C97"/>
    <w:rsid w:val="04F55751"/>
    <w:rsid w:val="04F63670"/>
    <w:rsid w:val="04FA7776"/>
    <w:rsid w:val="04FC3176"/>
    <w:rsid w:val="0501370E"/>
    <w:rsid w:val="05065269"/>
    <w:rsid w:val="05081BD2"/>
    <w:rsid w:val="050D2A9B"/>
    <w:rsid w:val="050D40FB"/>
    <w:rsid w:val="05141EB3"/>
    <w:rsid w:val="05160A69"/>
    <w:rsid w:val="05184F9C"/>
    <w:rsid w:val="051F457C"/>
    <w:rsid w:val="05203D0E"/>
    <w:rsid w:val="052878D5"/>
    <w:rsid w:val="052B2F21"/>
    <w:rsid w:val="052C3426"/>
    <w:rsid w:val="052D40B4"/>
    <w:rsid w:val="05327B94"/>
    <w:rsid w:val="05391C88"/>
    <w:rsid w:val="053B7608"/>
    <w:rsid w:val="053C512E"/>
    <w:rsid w:val="05405671"/>
    <w:rsid w:val="05410997"/>
    <w:rsid w:val="05463C8E"/>
    <w:rsid w:val="05465FAD"/>
    <w:rsid w:val="054A57DE"/>
    <w:rsid w:val="05557F9E"/>
    <w:rsid w:val="05585FBD"/>
    <w:rsid w:val="055A508B"/>
    <w:rsid w:val="055A55B4"/>
    <w:rsid w:val="055C30DB"/>
    <w:rsid w:val="05616943"/>
    <w:rsid w:val="05647814"/>
    <w:rsid w:val="05663F59"/>
    <w:rsid w:val="05720B50"/>
    <w:rsid w:val="05737CC1"/>
    <w:rsid w:val="057E5747"/>
    <w:rsid w:val="05816FE5"/>
    <w:rsid w:val="05881725"/>
    <w:rsid w:val="058A40EC"/>
    <w:rsid w:val="058A5E9A"/>
    <w:rsid w:val="05972365"/>
    <w:rsid w:val="059E36F3"/>
    <w:rsid w:val="05A86320"/>
    <w:rsid w:val="05AB4B50"/>
    <w:rsid w:val="05AD7DDA"/>
    <w:rsid w:val="05B01454"/>
    <w:rsid w:val="05B2719F"/>
    <w:rsid w:val="05BD2794"/>
    <w:rsid w:val="05BD3240"/>
    <w:rsid w:val="05BE041F"/>
    <w:rsid w:val="05C0366A"/>
    <w:rsid w:val="05C23886"/>
    <w:rsid w:val="05C41034"/>
    <w:rsid w:val="05C649F8"/>
    <w:rsid w:val="05C77E2B"/>
    <w:rsid w:val="05CA1F8A"/>
    <w:rsid w:val="05CD5D86"/>
    <w:rsid w:val="05CF7D50"/>
    <w:rsid w:val="05D4686F"/>
    <w:rsid w:val="05DB4D76"/>
    <w:rsid w:val="05DE7F94"/>
    <w:rsid w:val="05E337FC"/>
    <w:rsid w:val="05E84B26"/>
    <w:rsid w:val="05EB4740"/>
    <w:rsid w:val="05EC445F"/>
    <w:rsid w:val="05F31C91"/>
    <w:rsid w:val="05F61781"/>
    <w:rsid w:val="05F72E03"/>
    <w:rsid w:val="05FA6846"/>
    <w:rsid w:val="06021ED4"/>
    <w:rsid w:val="06096608"/>
    <w:rsid w:val="06141C07"/>
    <w:rsid w:val="061614DB"/>
    <w:rsid w:val="0619597F"/>
    <w:rsid w:val="061B4DDA"/>
    <w:rsid w:val="061C3457"/>
    <w:rsid w:val="061D6AD0"/>
    <w:rsid w:val="06217102"/>
    <w:rsid w:val="062C51A3"/>
    <w:rsid w:val="062E2CC9"/>
    <w:rsid w:val="0633208D"/>
    <w:rsid w:val="0639082E"/>
    <w:rsid w:val="063D2F0C"/>
    <w:rsid w:val="063E0A32"/>
    <w:rsid w:val="06424B2E"/>
    <w:rsid w:val="0644429B"/>
    <w:rsid w:val="06455476"/>
    <w:rsid w:val="06456265"/>
    <w:rsid w:val="064A12E8"/>
    <w:rsid w:val="064E5119"/>
    <w:rsid w:val="06573980"/>
    <w:rsid w:val="06622973"/>
    <w:rsid w:val="0667220B"/>
    <w:rsid w:val="066C139F"/>
    <w:rsid w:val="066C1A43"/>
    <w:rsid w:val="067508F8"/>
    <w:rsid w:val="06765CEE"/>
    <w:rsid w:val="06787E06"/>
    <w:rsid w:val="067C6A3C"/>
    <w:rsid w:val="067D155B"/>
    <w:rsid w:val="06826B71"/>
    <w:rsid w:val="06840E03"/>
    <w:rsid w:val="068766B9"/>
    <w:rsid w:val="06894493"/>
    <w:rsid w:val="068D618F"/>
    <w:rsid w:val="06906F40"/>
    <w:rsid w:val="06913258"/>
    <w:rsid w:val="06936FD0"/>
    <w:rsid w:val="0696261C"/>
    <w:rsid w:val="06986394"/>
    <w:rsid w:val="069D1BFD"/>
    <w:rsid w:val="06A905A2"/>
    <w:rsid w:val="06AB431A"/>
    <w:rsid w:val="06AE6F3C"/>
    <w:rsid w:val="06B01930"/>
    <w:rsid w:val="06B86A37"/>
    <w:rsid w:val="06B974A5"/>
    <w:rsid w:val="06BA27AF"/>
    <w:rsid w:val="06BC30EF"/>
    <w:rsid w:val="06BC56C6"/>
    <w:rsid w:val="06BC6527"/>
    <w:rsid w:val="06C037F3"/>
    <w:rsid w:val="06C47189"/>
    <w:rsid w:val="06C54CB0"/>
    <w:rsid w:val="06CB49BC"/>
    <w:rsid w:val="06CC5B3F"/>
    <w:rsid w:val="06CE0008"/>
    <w:rsid w:val="06D575E9"/>
    <w:rsid w:val="06DA075B"/>
    <w:rsid w:val="06DC1469"/>
    <w:rsid w:val="06DC5E15"/>
    <w:rsid w:val="06DD5B44"/>
    <w:rsid w:val="06E11AE9"/>
    <w:rsid w:val="06E6018A"/>
    <w:rsid w:val="06E65352"/>
    <w:rsid w:val="06EC7548"/>
    <w:rsid w:val="06EE2458"/>
    <w:rsid w:val="06F34474"/>
    <w:rsid w:val="06F37A6F"/>
    <w:rsid w:val="06FC2A3B"/>
    <w:rsid w:val="06FC6DA9"/>
    <w:rsid w:val="06FF0E81"/>
    <w:rsid w:val="07041C7C"/>
    <w:rsid w:val="07091C9D"/>
    <w:rsid w:val="07097292"/>
    <w:rsid w:val="070B137F"/>
    <w:rsid w:val="070E58EA"/>
    <w:rsid w:val="07107F82"/>
    <w:rsid w:val="07124399"/>
    <w:rsid w:val="07135C73"/>
    <w:rsid w:val="07183108"/>
    <w:rsid w:val="071874D5"/>
    <w:rsid w:val="071D208A"/>
    <w:rsid w:val="071D689A"/>
    <w:rsid w:val="071E2D3E"/>
    <w:rsid w:val="071F2612"/>
    <w:rsid w:val="072639A0"/>
    <w:rsid w:val="07283BBC"/>
    <w:rsid w:val="072A2F74"/>
    <w:rsid w:val="0730481F"/>
    <w:rsid w:val="073562D9"/>
    <w:rsid w:val="07373DFF"/>
    <w:rsid w:val="0739271F"/>
    <w:rsid w:val="073A689E"/>
    <w:rsid w:val="073E6F3C"/>
    <w:rsid w:val="07402ACD"/>
    <w:rsid w:val="07462294"/>
    <w:rsid w:val="07484B91"/>
    <w:rsid w:val="074902BB"/>
    <w:rsid w:val="074D53D1"/>
    <w:rsid w:val="074E4E7E"/>
    <w:rsid w:val="074F739B"/>
    <w:rsid w:val="07500A1D"/>
    <w:rsid w:val="07524795"/>
    <w:rsid w:val="0754675F"/>
    <w:rsid w:val="07580B37"/>
    <w:rsid w:val="075A189C"/>
    <w:rsid w:val="075C75B8"/>
    <w:rsid w:val="075E40A2"/>
    <w:rsid w:val="076072C9"/>
    <w:rsid w:val="07660A33"/>
    <w:rsid w:val="07723089"/>
    <w:rsid w:val="07762B7A"/>
    <w:rsid w:val="077A4DF6"/>
    <w:rsid w:val="077D65A4"/>
    <w:rsid w:val="077E1A2E"/>
    <w:rsid w:val="077F2189"/>
    <w:rsid w:val="078017C9"/>
    <w:rsid w:val="078659B5"/>
    <w:rsid w:val="07866B35"/>
    <w:rsid w:val="078A01E7"/>
    <w:rsid w:val="07941252"/>
    <w:rsid w:val="07996868"/>
    <w:rsid w:val="079E79DA"/>
    <w:rsid w:val="07A1396F"/>
    <w:rsid w:val="07A33756"/>
    <w:rsid w:val="07A9580E"/>
    <w:rsid w:val="07AF7E3A"/>
    <w:rsid w:val="07B21C22"/>
    <w:rsid w:val="07B33862"/>
    <w:rsid w:val="07B40FAC"/>
    <w:rsid w:val="07B76CEE"/>
    <w:rsid w:val="07BC0F3D"/>
    <w:rsid w:val="07C733D5"/>
    <w:rsid w:val="07C80EFB"/>
    <w:rsid w:val="07D258D6"/>
    <w:rsid w:val="07D31C10"/>
    <w:rsid w:val="07E04497"/>
    <w:rsid w:val="07E15CFA"/>
    <w:rsid w:val="07EA1643"/>
    <w:rsid w:val="07EC2E3C"/>
    <w:rsid w:val="07EE0C0C"/>
    <w:rsid w:val="07F113FB"/>
    <w:rsid w:val="07F41CF0"/>
    <w:rsid w:val="07F97307"/>
    <w:rsid w:val="07FD6DFF"/>
    <w:rsid w:val="08030185"/>
    <w:rsid w:val="08053EFD"/>
    <w:rsid w:val="08070D6B"/>
    <w:rsid w:val="080C528C"/>
    <w:rsid w:val="08144660"/>
    <w:rsid w:val="0815082E"/>
    <w:rsid w:val="08163A15"/>
    <w:rsid w:val="081D1247"/>
    <w:rsid w:val="081D5FCD"/>
    <w:rsid w:val="08362309"/>
    <w:rsid w:val="08362BD1"/>
    <w:rsid w:val="0836469C"/>
    <w:rsid w:val="08412D5D"/>
    <w:rsid w:val="08442237"/>
    <w:rsid w:val="0849203C"/>
    <w:rsid w:val="084E7652"/>
    <w:rsid w:val="084F0A5C"/>
    <w:rsid w:val="084F33CB"/>
    <w:rsid w:val="08513E84"/>
    <w:rsid w:val="08527000"/>
    <w:rsid w:val="08543A14"/>
    <w:rsid w:val="08564759"/>
    <w:rsid w:val="0858402D"/>
    <w:rsid w:val="08601134"/>
    <w:rsid w:val="08607386"/>
    <w:rsid w:val="086329D2"/>
    <w:rsid w:val="08640C24"/>
    <w:rsid w:val="08643561"/>
    <w:rsid w:val="08674E90"/>
    <w:rsid w:val="0868494A"/>
    <w:rsid w:val="08722223"/>
    <w:rsid w:val="087370B9"/>
    <w:rsid w:val="08752E31"/>
    <w:rsid w:val="08760957"/>
    <w:rsid w:val="087A0447"/>
    <w:rsid w:val="087A532A"/>
    <w:rsid w:val="08803584"/>
    <w:rsid w:val="08843074"/>
    <w:rsid w:val="08852948"/>
    <w:rsid w:val="088A7057"/>
    <w:rsid w:val="088C1F29"/>
    <w:rsid w:val="088E5CA1"/>
    <w:rsid w:val="08910319"/>
    <w:rsid w:val="08940DDD"/>
    <w:rsid w:val="0895702F"/>
    <w:rsid w:val="089808C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B71DA"/>
    <w:rsid w:val="08E21B49"/>
    <w:rsid w:val="08E458C1"/>
    <w:rsid w:val="08E6788B"/>
    <w:rsid w:val="08EC29C7"/>
    <w:rsid w:val="08ED0F14"/>
    <w:rsid w:val="08F16230"/>
    <w:rsid w:val="08F55D20"/>
    <w:rsid w:val="08F655F4"/>
    <w:rsid w:val="08FF7E1C"/>
    <w:rsid w:val="090830A4"/>
    <w:rsid w:val="090917CB"/>
    <w:rsid w:val="090C33A6"/>
    <w:rsid w:val="090F35C3"/>
    <w:rsid w:val="09181829"/>
    <w:rsid w:val="091C1203"/>
    <w:rsid w:val="091F0FEF"/>
    <w:rsid w:val="0923288D"/>
    <w:rsid w:val="092C1798"/>
    <w:rsid w:val="092C7EAE"/>
    <w:rsid w:val="092D4163"/>
    <w:rsid w:val="09304766"/>
    <w:rsid w:val="09306D58"/>
    <w:rsid w:val="093218B9"/>
    <w:rsid w:val="093C56FD"/>
    <w:rsid w:val="093F256B"/>
    <w:rsid w:val="094559F1"/>
    <w:rsid w:val="09482972"/>
    <w:rsid w:val="094B1DE4"/>
    <w:rsid w:val="095567BF"/>
    <w:rsid w:val="09644C54"/>
    <w:rsid w:val="0965366A"/>
    <w:rsid w:val="09680BF5"/>
    <w:rsid w:val="096864F2"/>
    <w:rsid w:val="0969226A"/>
    <w:rsid w:val="096F5AD2"/>
    <w:rsid w:val="0970184A"/>
    <w:rsid w:val="097B7030"/>
    <w:rsid w:val="098552F6"/>
    <w:rsid w:val="09896468"/>
    <w:rsid w:val="098A46BA"/>
    <w:rsid w:val="09903C9B"/>
    <w:rsid w:val="09907166"/>
    <w:rsid w:val="09975029"/>
    <w:rsid w:val="099834FE"/>
    <w:rsid w:val="09A03EDE"/>
    <w:rsid w:val="09A15749"/>
    <w:rsid w:val="09A3577C"/>
    <w:rsid w:val="09A369A7"/>
    <w:rsid w:val="09B039F5"/>
    <w:rsid w:val="09B06648"/>
    <w:rsid w:val="09B16EAB"/>
    <w:rsid w:val="09B63701"/>
    <w:rsid w:val="09B71227"/>
    <w:rsid w:val="09B96D4E"/>
    <w:rsid w:val="09BA2AC6"/>
    <w:rsid w:val="09C0565C"/>
    <w:rsid w:val="09C0632E"/>
    <w:rsid w:val="09C35E1E"/>
    <w:rsid w:val="09C474A0"/>
    <w:rsid w:val="09C556F2"/>
    <w:rsid w:val="09C6146A"/>
    <w:rsid w:val="09C661EE"/>
    <w:rsid w:val="09C676BC"/>
    <w:rsid w:val="09C7187E"/>
    <w:rsid w:val="09CD0728"/>
    <w:rsid w:val="09CD0C44"/>
    <w:rsid w:val="09D122E9"/>
    <w:rsid w:val="09D43B87"/>
    <w:rsid w:val="09D74664"/>
    <w:rsid w:val="09DE4A06"/>
    <w:rsid w:val="09E10052"/>
    <w:rsid w:val="09E35B78"/>
    <w:rsid w:val="09E75E4D"/>
    <w:rsid w:val="09E85885"/>
    <w:rsid w:val="09EF451D"/>
    <w:rsid w:val="09F510F6"/>
    <w:rsid w:val="09F71624"/>
    <w:rsid w:val="0A0106F5"/>
    <w:rsid w:val="0A037FC9"/>
    <w:rsid w:val="0A110938"/>
    <w:rsid w:val="0A124E0D"/>
    <w:rsid w:val="0A127C3E"/>
    <w:rsid w:val="0A1404C0"/>
    <w:rsid w:val="0A163877"/>
    <w:rsid w:val="0A171CC6"/>
    <w:rsid w:val="0A1A1394"/>
    <w:rsid w:val="0A2763AD"/>
    <w:rsid w:val="0A2B7342"/>
    <w:rsid w:val="0A2D4C39"/>
    <w:rsid w:val="0A3A2CDB"/>
    <w:rsid w:val="0A3C34DB"/>
    <w:rsid w:val="0A410AF1"/>
    <w:rsid w:val="0A4D4588"/>
    <w:rsid w:val="0A51055F"/>
    <w:rsid w:val="0A530F50"/>
    <w:rsid w:val="0A54385D"/>
    <w:rsid w:val="0A56459C"/>
    <w:rsid w:val="0A5C1147"/>
    <w:rsid w:val="0A5C2888"/>
    <w:rsid w:val="0A5E227D"/>
    <w:rsid w:val="0A63385F"/>
    <w:rsid w:val="0A640318"/>
    <w:rsid w:val="0A653A66"/>
    <w:rsid w:val="0A6934E2"/>
    <w:rsid w:val="0A6F6E1B"/>
    <w:rsid w:val="0A7113D6"/>
    <w:rsid w:val="0A742C74"/>
    <w:rsid w:val="0A7809B7"/>
    <w:rsid w:val="0A8729A8"/>
    <w:rsid w:val="0A876917"/>
    <w:rsid w:val="0A8A693C"/>
    <w:rsid w:val="0A8E01DA"/>
    <w:rsid w:val="0A93759F"/>
    <w:rsid w:val="0A9450C5"/>
    <w:rsid w:val="0A9B28F7"/>
    <w:rsid w:val="0A9D666F"/>
    <w:rsid w:val="0AA2576C"/>
    <w:rsid w:val="0AA7304A"/>
    <w:rsid w:val="0AA95014"/>
    <w:rsid w:val="0AB01364"/>
    <w:rsid w:val="0AB03BF9"/>
    <w:rsid w:val="0AB063A2"/>
    <w:rsid w:val="0AB47515"/>
    <w:rsid w:val="0AB9662C"/>
    <w:rsid w:val="0ABB2680"/>
    <w:rsid w:val="0ABB6AF5"/>
    <w:rsid w:val="0ABC1909"/>
    <w:rsid w:val="0ABE4797"/>
    <w:rsid w:val="0ABE7666"/>
    <w:rsid w:val="0AC105A6"/>
    <w:rsid w:val="0AC44356"/>
    <w:rsid w:val="0AC7549A"/>
    <w:rsid w:val="0ACD0F93"/>
    <w:rsid w:val="0AD24031"/>
    <w:rsid w:val="0AD33E3F"/>
    <w:rsid w:val="0AD45172"/>
    <w:rsid w:val="0AD461BB"/>
    <w:rsid w:val="0AD6392F"/>
    <w:rsid w:val="0ADB7197"/>
    <w:rsid w:val="0ADD2DF0"/>
    <w:rsid w:val="0ADD6A6C"/>
    <w:rsid w:val="0AE0030A"/>
    <w:rsid w:val="0AE05A5E"/>
    <w:rsid w:val="0AE40D31"/>
    <w:rsid w:val="0AE778EA"/>
    <w:rsid w:val="0AEA2F37"/>
    <w:rsid w:val="0AFB5144"/>
    <w:rsid w:val="0AFD0EBC"/>
    <w:rsid w:val="0AFD318D"/>
    <w:rsid w:val="0AFD710E"/>
    <w:rsid w:val="0B04049C"/>
    <w:rsid w:val="0B095AB3"/>
    <w:rsid w:val="0B0D50BA"/>
    <w:rsid w:val="0B152302"/>
    <w:rsid w:val="0B177818"/>
    <w:rsid w:val="0B1A2728"/>
    <w:rsid w:val="0B1C2641"/>
    <w:rsid w:val="0B1D50BA"/>
    <w:rsid w:val="0B1F0902"/>
    <w:rsid w:val="0B1F0E32"/>
    <w:rsid w:val="0B212DFC"/>
    <w:rsid w:val="0B2428ED"/>
    <w:rsid w:val="0B2711C0"/>
    <w:rsid w:val="0B282BC9"/>
    <w:rsid w:val="0B297F03"/>
    <w:rsid w:val="0B2B3F13"/>
    <w:rsid w:val="0B2D79F3"/>
    <w:rsid w:val="0B304DED"/>
    <w:rsid w:val="0B310B66"/>
    <w:rsid w:val="0B35399D"/>
    <w:rsid w:val="0B3568A8"/>
    <w:rsid w:val="0B3C11A9"/>
    <w:rsid w:val="0B3E2E09"/>
    <w:rsid w:val="0B3F3C9B"/>
    <w:rsid w:val="0B4765DB"/>
    <w:rsid w:val="0B481FE1"/>
    <w:rsid w:val="0B494101"/>
    <w:rsid w:val="0B495EAF"/>
    <w:rsid w:val="0B4D1562"/>
    <w:rsid w:val="0B50723E"/>
    <w:rsid w:val="0B507DED"/>
    <w:rsid w:val="0B521208"/>
    <w:rsid w:val="0B554854"/>
    <w:rsid w:val="0B560D41"/>
    <w:rsid w:val="0B5807E8"/>
    <w:rsid w:val="0B60380B"/>
    <w:rsid w:val="0B617633"/>
    <w:rsid w:val="0B62583B"/>
    <w:rsid w:val="0B63653F"/>
    <w:rsid w:val="0B655B46"/>
    <w:rsid w:val="0B670D6C"/>
    <w:rsid w:val="0B6727D9"/>
    <w:rsid w:val="0B793428"/>
    <w:rsid w:val="0B7D1118"/>
    <w:rsid w:val="0B81537D"/>
    <w:rsid w:val="0B84112B"/>
    <w:rsid w:val="0B84338B"/>
    <w:rsid w:val="0B8E217B"/>
    <w:rsid w:val="0B8E7D66"/>
    <w:rsid w:val="0B9C6927"/>
    <w:rsid w:val="0B9F3D21"/>
    <w:rsid w:val="0BA17A99"/>
    <w:rsid w:val="0BA650B0"/>
    <w:rsid w:val="0BAC79F6"/>
    <w:rsid w:val="0BB00EE0"/>
    <w:rsid w:val="0BB21CA6"/>
    <w:rsid w:val="0BB377CC"/>
    <w:rsid w:val="0BBC1554"/>
    <w:rsid w:val="0BC1319E"/>
    <w:rsid w:val="0BC33EB3"/>
    <w:rsid w:val="0BC63572"/>
    <w:rsid w:val="0BC92842"/>
    <w:rsid w:val="0BCD0578"/>
    <w:rsid w:val="0BD04822"/>
    <w:rsid w:val="0BD641F6"/>
    <w:rsid w:val="0BDE6F3F"/>
    <w:rsid w:val="0BEA7692"/>
    <w:rsid w:val="0BEB51B8"/>
    <w:rsid w:val="0BEF4CA9"/>
    <w:rsid w:val="0BF0642E"/>
    <w:rsid w:val="0BF277E3"/>
    <w:rsid w:val="0BFA157F"/>
    <w:rsid w:val="0C000C64"/>
    <w:rsid w:val="0C041A53"/>
    <w:rsid w:val="0C0B585A"/>
    <w:rsid w:val="0C0F1E96"/>
    <w:rsid w:val="0C1507A5"/>
    <w:rsid w:val="0C191D25"/>
    <w:rsid w:val="0C216E2C"/>
    <w:rsid w:val="0C2B3807"/>
    <w:rsid w:val="0C2D757F"/>
    <w:rsid w:val="0C300E1D"/>
    <w:rsid w:val="0C3845C3"/>
    <w:rsid w:val="0C3B3950"/>
    <w:rsid w:val="0C3B65EE"/>
    <w:rsid w:val="0C3C5A14"/>
    <w:rsid w:val="0C3F2232"/>
    <w:rsid w:val="0C3F62B8"/>
    <w:rsid w:val="0C3F6E94"/>
    <w:rsid w:val="0C41302A"/>
    <w:rsid w:val="0C436DA2"/>
    <w:rsid w:val="0C441D60"/>
    <w:rsid w:val="0C48085D"/>
    <w:rsid w:val="0C4D7C21"/>
    <w:rsid w:val="0C4F3999"/>
    <w:rsid w:val="0C4F5747"/>
    <w:rsid w:val="0C4F6BDA"/>
    <w:rsid w:val="0C50326D"/>
    <w:rsid w:val="0C547201"/>
    <w:rsid w:val="0C603692"/>
    <w:rsid w:val="0C61547A"/>
    <w:rsid w:val="0C6A2581"/>
    <w:rsid w:val="0C6F4DCD"/>
    <w:rsid w:val="0C6F7B97"/>
    <w:rsid w:val="0C7043B9"/>
    <w:rsid w:val="0C711828"/>
    <w:rsid w:val="0C735804"/>
    <w:rsid w:val="0C743400"/>
    <w:rsid w:val="0C776A4C"/>
    <w:rsid w:val="0C7B02EA"/>
    <w:rsid w:val="0C7D0506"/>
    <w:rsid w:val="0C7D4058"/>
    <w:rsid w:val="0C7E3DA7"/>
    <w:rsid w:val="0C7F42EA"/>
    <w:rsid w:val="0C831895"/>
    <w:rsid w:val="0C873133"/>
    <w:rsid w:val="0C8A2C23"/>
    <w:rsid w:val="0C8D4945"/>
    <w:rsid w:val="0C945850"/>
    <w:rsid w:val="0C9950B0"/>
    <w:rsid w:val="0C9A5778"/>
    <w:rsid w:val="0C9D2956"/>
    <w:rsid w:val="0CA23AC9"/>
    <w:rsid w:val="0CA26789"/>
    <w:rsid w:val="0CA63264"/>
    <w:rsid w:val="0CA830A9"/>
    <w:rsid w:val="0CAA5073"/>
    <w:rsid w:val="0CAA5E52"/>
    <w:rsid w:val="0CAD0C97"/>
    <w:rsid w:val="0CB34126"/>
    <w:rsid w:val="0CB358A1"/>
    <w:rsid w:val="0CBD3F8D"/>
    <w:rsid w:val="0CBD6B55"/>
    <w:rsid w:val="0CC04897"/>
    <w:rsid w:val="0CC04961"/>
    <w:rsid w:val="0CC94EBC"/>
    <w:rsid w:val="0CCC6D98"/>
    <w:rsid w:val="0CD43E9E"/>
    <w:rsid w:val="0CD65E68"/>
    <w:rsid w:val="0CEC07ED"/>
    <w:rsid w:val="0CF12CA2"/>
    <w:rsid w:val="0CF307C8"/>
    <w:rsid w:val="0CF42CB0"/>
    <w:rsid w:val="0CF462EF"/>
    <w:rsid w:val="0CF804C6"/>
    <w:rsid w:val="0CF85DDF"/>
    <w:rsid w:val="0CFD33F5"/>
    <w:rsid w:val="0CFF53BF"/>
    <w:rsid w:val="0D023324"/>
    <w:rsid w:val="0D074274"/>
    <w:rsid w:val="0D0C0CD0"/>
    <w:rsid w:val="0D164EFB"/>
    <w:rsid w:val="0D1D75F3"/>
    <w:rsid w:val="0D2210AE"/>
    <w:rsid w:val="0D22380E"/>
    <w:rsid w:val="0D232F82"/>
    <w:rsid w:val="0D28340D"/>
    <w:rsid w:val="0D291939"/>
    <w:rsid w:val="0D2C59C1"/>
    <w:rsid w:val="0D2E1801"/>
    <w:rsid w:val="0D305579"/>
    <w:rsid w:val="0D3112F1"/>
    <w:rsid w:val="0D3861DB"/>
    <w:rsid w:val="0D3C216F"/>
    <w:rsid w:val="0D4252AC"/>
    <w:rsid w:val="0D50069F"/>
    <w:rsid w:val="0D531267"/>
    <w:rsid w:val="0D5D2504"/>
    <w:rsid w:val="0D643474"/>
    <w:rsid w:val="0D6C40D7"/>
    <w:rsid w:val="0D6E21C2"/>
    <w:rsid w:val="0D6E42F3"/>
    <w:rsid w:val="0D7116ED"/>
    <w:rsid w:val="0D783105"/>
    <w:rsid w:val="0D784215"/>
    <w:rsid w:val="0D7A6610"/>
    <w:rsid w:val="0D8368AF"/>
    <w:rsid w:val="0D8609C6"/>
    <w:rsid w:val="0D8838E1"/>
    <w:rsid w:val="0D8E6B48"/>
    <w:rsid w:val="0D904269"/>
    <w:rsid w:val="0D9378B6"/>
    <w:rsid w:val="0D957AD2"/>
    <w:rsid w:val="0D965E01"/>
    <w:rsid w:val="0D9771BF"/>
    <w:rsid w:val="0D9C2C0E"/>
    <w:rsid w:val="0DA03D74"/>
    <w:rsid w:val="0DA16809"/>
    <w:rsid w:val="0DB333E3"/>
    <w:rsid w:val="0DB37F58"/>
    <w:rsid w:val="0DB461AA"/>
    <w:rsid w:val="0DB55A7E"/>
    <w:rsid w:val="0DB5782C"/>
    <w:rsid w:val="0DB92613"/>
    <w:rsid w:val="0DBF68FD"/>
    <w:rsid w:val="0DC022DF"/>
    <w:rsid w:val="0DC3019B"/>
    <w:rsid w:val="0DCD445C"/>
    <w:rsid w:val="0DD73C46"/>
    <w:rsid w:val="0DD8076D"/>
    <w:rsid w:val="0DD85A87"/>
    <w:rsid w:val="0DDA1988"/>
    <w:rsid w:val="0DDD6D83"/>
    <w:rsid w:val="0DE545B5"/>
    <w:rsid w:val="0DE95727"/>
    <w:rsid w:val="0DEE2BFC"/>
    <w:rsid w:val="0DEE408A"/>
    <w:rsid w:val="0DF02010"/>
    <w:rsid w:val="0DF26CD2"/>
    <w:rsid w:val="0DF53FDF"/>
    <w:rsid w:val="0DFC6334"/>
    <w:rsid w:val="0DFD060A"/>
    <w:rsid w:val="0DFD78B7"/>
    <w:rsid w:val="0DFE5677"/>
    <w:rsid w:val="0E0013EF"/>
    <w:rsid w:val="0E074C7B"/>
    <w:rsid w:val="0E082052"/>
    <w:rsid w:val="0E094EF4"/>
    <w:rsid w:val="0E0B7D94"/>
    <w:rsid w:val="0E127789"/>
    <w:rsid w:val="0E1409F6"/>
    <w:rsid w:val="0E1434A7"/>
    <w:rsid w:val="0E1704E7"/>
    <w:rsid w:val="0E1E1731"/>
    <w:rsid w:val="0E1F1149"/>
    <w:rsid w:val="0E2140D4"/>
    <w:rsid w:val="0E214EC1"/>
    <w:rsid w:val="0E26072A"/>
    <w:rsid w:val="0E285C93"/>
    <w:rsid w:val="0E294B7B"/>
    <w:rsid w:val="0E296557"/>
    <w:rsid w:val="0E29660B"/>
    <w:rsid w:val="0E2B5D40"/>
    <w:rsid w:val="0E337741"/>
    <w:rsid w:val="0E356BBF"/>
    <w:rsid w:val="0E3A7BBC"/>
    <w:rsid w:val="0E3C1CFB"/>
    <w:rsid w:val="0E3C6626"/>
    <w:rsid w:val="0E4137B5"/>
    <w:rsid w:val="0E43752E"/>
    <w:rsid w:val="0E470BD3"/>
    <w:rsid w:val="0E4911BF"/>
    <w:rsid w:val="0E4A0618"/>
    <w:rsid w:val="0E4A0A8E"/>
    <w:rsid w:val="0E4C695B"/>
    <w:rsid w:val="0E4E5C66"/>
    <w:rsid w:val="0E4F5ED2"/>
    <w:rsid w:val="0E5057A7"/>
    <w:rsid w:val="0E521078"/>
    <w:rsid w:val="0E527771"/>
    <w:rsid w:val="0E536488"/>
    <w:rsid w:val="0E552DBD"/>
    <w:rsid w:val="0E552FD0"/>
    <w:rsid w:val="0E557D0D"/>
    <w:rsid w:val="0E563C45"/>
    <w:rsid w:val="0E5E1C72"/>
    <w:rsid w:val="0E5F43F8"/>
    <w:rsid w:val="0E6B25E0"/>
    <w:rsid w:val="0E6D0107"/>
    <w:rsid w:val="0E6F05A5"/>
    <w:rsid w:val="0E7476E7"/>
    <w:rsid w:val="0E772D33"/>
    <w:rsid w:val="0E796AAB"/>
    <w:rsid w:val="0E7C0D4C"/>
    <w:rsid w:val="0E7C47EE"/>
    <w:rsid w:val="0E7E40C2"/>
    <w:rsid w:val="0E83792A"/>
    <w:rsid w:val="0E8813E4"/>
    <w:rsid w:val="0E8F62CF"/>
    <w:rsid w:val="0E9246B3"/>
    <w:rsid w:val="0E9733D5"/>
    <w:rsid w:val="0E996780"/>
    <w:rsid w:val="0E9B1118"/>
    <w:rsid w:val="0E9B4435"/>
    <w:rsid w:val="0E9D6C3E"/>
    <w:rsid w:val="0E9F20E3"/>
    <w:rsid w:val="0EA02077"/>
    <w:rsid w:val="0EA07AC5"/>
    <w:rsid w:val="0EA16002"/>
    <w:rsid w:val="0EA224A6"/>
    <w:rsid w:val="0EAA4EB7"/>
    <w:rsid w:val="0EAD7F26"/>
    <w:rsid w:val="0EAE31C6"/>
    <w:rsid w:val="0EB256CB"/>
    <w:rsid w:val="0EB66E30"/>
    <w:rsid w:val="0EB83A78"/>
    <w:rsid w:val="0EC248F6"/>
    <w:rsid w:val="0EC51CF1"/>
    <w:rsid w:val="0ECA521F"/>
    <w:rsid w:val="0ECD6DF7"/>
    <w:rsid w:val="0ED140CD"/>
    <w:rsid w:val="0ED168E7"/>
    <w:rsid w:val="0ED21347"/>
    <w:rsid w:val="0ED77A52"/>
    <w:rsid w:val="0EDB1514"/>
    <w:rsid w:val="0EDE2DB2"/>
    <w:rsid w:val="0EE303C9"/>
    <w:rsid w:val="0EE63E27"/>
    <w:rsid w:val="0EE7610B"/>
    <w:rsid w:val="0EE978C9"/>
    <w:rsid w:val="0EEA1757"/>
    <w:rsid w:val="0EEA79A9"/>
    <w:rsid w:val="0EEB5186"/>
    <w:rsid w:val="0EF3685E"/>
    <w:rsid w:val="0EF425D6"/>
    <w:rsid w:val="0EF53A43"/>
    <w:rsid w:val="0EF95E3E"/>
    <w:rsid w:val="0F006F15"/>
    <w:rsid w:val="0F052A35"/>
    <w:rsid w:val="0F07055B"/>
    <w:rsid w:val="0F082129"/>
    <w:rsid w:val="0F087E2F"/>
    <w:rsid w:val="0F17111B"/>
    <w:rsid w:val="0F1802A8"/>
    <w:rsid w:val="0F1D38DB"/>
    <w:rsid w:val="0F1D7D7F"/>
    <w:rsid w:val="0F220EF1"/>
    <w:rsid w:val="0F235963"/>
    <w:rsid w:val="0F2410E0"/>
    <w:rsid w:val="0F2904D1"/>
    <w:rsid w:val="0F362BEE"/>
    <w:rsid w:val="0F38025F"/>
    <w:rsid w:val="0F39623B"/>
    <w:rsid w:val="0F40288F"/>
    <w:rsid w:val="0F43251D"/>
    <w:rsid w:val="0F456EC4"/>
    <w:rsid w:val="0F515A6B"/>
    <w:rsid w:val="0F5A2BFE"/>
    <w:rsid w:val="0F5B1EE7"/>
    <w:rsid w:val="0F607C6B"/>
    <w:rsid w:val="0F61431B"/>
    <w:rsid w:val="0F64150A"/>
    <w:rsid w:val="0F6E5418"/>
    <w:rsid w:val="0F7335C5"/>
    <w:rsid w:val="0F744C35"/>
    <w:rsid w:val="0F751969"/>
    <w:rsid w:val="0F796797"/>
    <w:rsid w:val="0F7A6D8E"/>
    <w:rsid w:val="0F7B4AA5"/>
    <w:rsid w:val="0F7C2A82"/>
    <w:rsid w:val="0F7C2CF7"/>
    <w:rsid w:val="0F824086"/>
    <w:rsid w:val="0F861008"/>
    <w:rsid w:val="0F8704DA"/>
    <w:rsid w:val="0F895F66"/>
    <w:rsid w:val="0F8B4CE8"/>
    <w:rsid w:val="0F94421F"/>
    <w:rsid w:val="0F9F0794"/>
    <w:rsid w:val="0F9F2542"/>
    <w:rsid w:val="0F9F379D"/>
    <w:rsid w:val="0FA97FF5"/>
    <w:rsid w:val="0FAB7138"/>
    <w:rsid w:val="0FAC4C5F"/>
    <w:rsid w:val="0FAE1B3D"/>
    <w:rsid w:val="0FB13B6D"/>
    <w:rsid w:val="0FB22C0A"/>
    <w:rsid w:val="0FBD6E6C"/>
    <w:rsid w:val="0FBF2BE4"/>
    <w:rsid w:val="0FC26FE7"/>
    <w:rsid w:val="0FC401FA"/>
    <w:rsid w:val="0FC66900"/>
    <w:rsid w:val="0FC7281C"/>
    <w:rsid w:val="0FC91CB4"/>
    <w:rsid w:val="0FD7617F"/>
    <w:rsid w:val="0FD91EF8"/>
    <w:rsid w:val="0FDD306A"/>
    <w:rsid w:val="0FDF6DE2"/>
    <w:rsid w:val="0FE4089C"/>
    <w:rsid w:val="0FE4264A"/>
    <w:rsid w:val="0FEA3AD6"/>
    <w:rsid w:val="0FEB6E16"/>
    <w:rsid w:val="0FF00FEF"/>
    <w:rsid w:val="0FF95DC6"/>
    <w:rsid w:val="0FFA3C1C"/>
    <w:rsid w:val="0FFE195E"/>
    <w:rsid w:val="10001F6E"/>
    <w:rsid w:val="10036F74"/>
    <w:rsid w:val="10042CED"/>
    <w:rsid w:val="10051DAE"/>
    <w:rsid w:val="10060D14"/>
    <w:rsid w:val="10066A51"/>
    <w:rsid w:val="10072DFF"/>
    <w:rsid w:val="100B2C10"/>
    <w:rsid w:val="100B7BD7"/>
    <w:rsid w:val="10124B1A"/>
    <w:rsid w:val="10125409"/>
    <w:rsid w:val="101A2510"/>
    <w:rsid w:val="101C5DF3"/>
    <w:rsid w:val="102424ED"/>
    <w:rsid w:val="10264A11"/>
    <w:rsid w:val="10284558"/>
    <w:rsid w:val="102A7BD6"/>
    <w:rsid w:val="102E7C6A"/>
    <w:rsid w:val="10305890"/>
    <w:rsid w:val="1030763E"/>
    <w:rsid w:val="10307AD1"/>
    <w:rsid w:val="1033613D"/>
    <w:rsid w:val="103510F8"/>
    <w:rsid w:val="10374E70"/>
    <w:rsid w:val="103A670E"/>
    <w:rsid w:val="104135F9"/>
    <w:rsid w:val="10417A9D"/>
    <w:rsid w:val="10456B0C"/>
    <w:rsid w:val="10463305"/>
    <w:rsid w:val="104B386B"/>
    <w:rsid w:val="105477D0"/>
    <w:rsid w:val="1055127B"/>
    <w:rsid w:val="10572E1C"/>
    <w:rsid w:val="105932D2"/>
    <w:rsid w:val="105C0433"/>
    <w:rsid w:val="105C48D7"/>
    <w:rsid w:val="105E41AB"/>
    <w:rsid w:val="105F7F23"/>
    <w:rsid w:val="10616A49"/>
    <w:rsid w:val="10635C65"/>
    <w:rsid w:val="1065378B"/>
    <w:rsid w:val="10667503"/>
    <w:rsid w:val="10691AB4"/>
    <w:rsid w:val="106B68C8"/>
    <w:rsid w:val="106D2640"/>
    <w:rsid w:val="106F0166"/>
    <w:rsid w:val="10740D75"/>
    <w:rsid w:val="10741C20"/>
    <w:rsid w:val="10755FB8"/>
    <w:rsid w:val="107C0612"/>
    <w:rsid w:val="107C4E2A"/>
    <w:rsid w:val="107E4317"/>
    <w:rsid w:val="10802373"/>
    <w:rsid w:val="10863711"/>
    <w:rsid w:val="10883147"/>
    <w:rsid w:val="10973F7E"/>
    <w:rsid w:val="1097589E"/>
    <w:rsid w:val="109A0F5B"/>
    <w:rsid w:val="10A27A44"/>
    <w:rsid w:val="10AA5642"/>
    <w:rsid w:val="10AD0C8E"/>
    <w:rsid w:val="10B206E1"/>
    <w:rsid w:val="10B45CF5"/>
    <w:rsid w:val="10BB5DC9"/>
    <w:rsid w:val="10BE6ECD"/>
    <w:rsid w:val="10C66B57"/>
    <w:rsid w:val="10C870A2"/>
    <w:rsid w:val="10CC3E81"/>
    <w:rsid w:val="10CF662A"/>
    <w:rsid w:val="10D206F5"/>
    <w:rsid w:val="10D6147E"/>
    <w:rsid w:val="10DF3C80"/>
    <w:rsid w:val="10E87F18"/>
    <w:rsid w:val="10EA5F52"/>
    <w:rsid w:val="10ED1D02"/>
    <w:rsid w:val="10F33F66"/>
    <w:rsid w:val="10F7015B"/>
    <w:rsid w:val="10FB3679"/>
    <w:rsid w:val="10FB5E9E"/>
    <w:rsid w:val="10FF1B4C"/>
    <w:rsid w:val="110237D8"/>
    <w:rsid w:val="11053860"/>
    <w:rsid w:val="1109680C"/>
    <w:rsid w:val="110A60E1"/>
    <w:rsid w:val="1111121D"/>
    <w:rsid w:val="111331E7"/>
    <w:rsid w:val="111C601E"/>
    <w:rsid w:val="111C620F"/>
    <w:rsid w:val="111F337A"/>
    <w:rsid w:val="112076B2"/>
    <w:rsid w:val="1122342A"/>
    <w:rsid w:val="11226A50"/>
    <w:rsid w:val="11287D75"/>
    <w:rsid w:val="112A0531"/>
    <w:rsid w:val="112F78F5"/>
    <w:rsid w:val="11325E55"/>
    <w:rsid w:val="11351D18"/>
    <w:rsid w:val="113A1430"/>
    <w:rsid w:val="113B273E"/>
    <w:rsid w:val="11494E5B"/>
    <w:rsid w:val="114E3535"/>
    <w:rsid w:val="11621A79"/>
    <w:rsid w:val="116B6410"/>
    <w:rsid w:val="116E48C1"/>
    <w:rsid w:val="1173399A"/>
    <w:rsid w:val="11744091"/>
    <w:rsid w:val="11777A55"/>
    <w:rsid w:val="117A14B8"/>
    <w:rsid w:val="117C2CAF"/>
    <w:rsid w:val="117D32A8"/>
    <w:rsid w:val="118771A0"/>
    <w:rsid w:val="118E7D16"/>
    <w:rsid w:val="11904838"/>
    <w:rsid w:val="11943E08"/>
    <w:rsid w:val="1194410A"/>
    <w:rsid w:val="11977084"/>
    <w:rsid w:val="119B75C7"/>
    <w:rsid w:val="11A04FED"/>
    <w:rsid w:val="11A36E95"/>
    <w:rsid w:val="11A43DCD"/>
    <w:rsid w:val="11A872DE"/>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64458"/>
    <w:rsid w:val="11E93F48"/>
    <w:rsid w:val="11F13A88"/>
    <w:rsid w:val="11F31F18"/>
    <w:rsid w:val="11F35990"/>
    <w:rsid w:val="11F50B3F"/>
    <w:rsid w:val="11F612D3"/>
    <w:rsid w:val="11FC1ECD"/>
    <w:rsid w:val="12040D82"/>
    <w:rsid w:val="12045226"/>
    <w:rsid w:val="12054B59"/>
    <w:rsid w:val="120863C7"/>
    <w:rsid w:val="12086726"/>
    <w:rsid w:val="120A5069"/>
    <w:rsid w:val="12103BCB"/>
    <w:rsid w:val="121960FF"/>
    <w:rsid w:val="121A313E"/>
    <w:rsid w:val="121A67F7"/>
    <w:rsid w:val="121E0096"/>
    <w:rsid w:val="1220326C"/>
    <w:rsid w:val="122A6C3F"/>
    <w:rsid w:val="123526C4"/>
    <w:rsid w:val="12360E39"/>
    <w:rsid w:val="123C051C"/>
    <w:rsid w:val="123E414F"/>
    <w:rsid w:val="123F24AA"/>
    <w:rsid w:val="12412E7D"/>
    <w:rsid w:val="125515DD"/>
    <w:rsid w:val="125735A8"/>
    <w:rsid w:val="125A7AA6"/>
    <w:rsid w:val="125C296C"/>
    <w:rsid w:val="126A321F"/>
    <w:rsid w:val="1272000B"/>
    <w:rsid w:val="12723F3D"/>
    <w:rsid w:val="12747CB6"/>
    <w:rsid w:val="1276256E"/>
    <w:rsid w:val="127E6D86"/>
    <w:rsid w:val="12810624"/>
    <w:rsid w:val="128413AE"/>
    <w:rsid w:val="128A572B"/>
    <w:rsid w:val="128F15C7"/>
    <w:rsid w:val="128F2D41"/>
    <w:rsid w:val="12902616"/>
    <w:rsid w:val="12985F6F"/>
    <w:rsid w:val="129F0E57"/>
    <w:rsid w:val="129F5A65"/>
    <w:rsid w:val="12A12A75"/>
    <w:rsid w:val="12A62B0D"/>
    <w:rsid w:val="12AA451D"/>
    <w:rsid w:val="12B268AA"/>
    <w:rsid w:val="12B549BD"/>
    <w:rsid w:val="12BA7692"/>
    <w:rsid w:val="12C30BED"/>
    <w:rsid w:val="12C32F26"/>
    <w:rsid w:val="12C63CBE"/>
    <w:rsid w:val="12CD5618"/>
    <w:rsid w:val="12CE2527"/>
    <w:rsid w:val="12D270D2"/>
    <w:rsid w:val="12DE7825"/>
    <w:rsid w:val="12E666D9"/>
    <w:rsid w:val="12E82EF7"/>
    <w:rsid w:val="12E878DB"/>
    <w:rsid w:val="12EC0194"/>
    <w:rsid w:val="12F72695"/>
    <w:rsid w:val="12F9640D"/>
    <w:rsid w:val="13053004"/>
    <w:rsid w:val="130866EA"/>
    <w:rsid w:val="130B7721"/>
    <w:rsid w:val="130D3782"/>
    <w:rsid w:val="130E7841"/>
    <w:rsid w:val="13135EB3"/>
    <w:rsid w:val="13145B25"/>
    <w:rsid w:val="13191D25"/>
    <w:rsid w:val="13217712"/>
    <w:rsid w:val="132316DC"/>
    <w:rsid w:val="1323348A"/>
    <w:rsid w:val="1324792E"/>
    <w:rsid w:val="13271457"/>
    <w:rsid w:val="13272FB7"/>
    <w:rsid w:val="132D2863"/>
    <w:rsid w:val="133053DB"/>
    <w:rsid w:val="13335D9C"/>
    <w:rsid w:val="133B6A25"/>
    <w:rsid w:val="133B79AC"/>
    <w:rsid w:val="133E02C4"/>
    <w:rsid w:val="133F6234"/>
    <w:rsid w:val="13405DEA"/>
    <w:rsid w:val="13421B62"/>
    <w:rsid w:val="134566BC"/>
    <w:rsid w:val="134753CA"/>
    <w:rsid w:val="134C29E0"/>
    <w:rsid w:val="13580A0A"/>
    <w:rsid w:val="1360648C"/>
    <w:rsid w:val="136617BC"/>
    <w:rsid w:val="136E6DFB"/>
    <w:rsid w:val="136F66CF"/>
    <w:rsid w:val="137141F5"/>
    <w:rsid w:val="13727D5F"/>
    <w:rsid w:val="13734411"/>
    <w:rsid w:val="13741F37"/>
    <w:rsid w:val="137912FC"/>
    <w:rsid w:val="137B5074"/>
    <w:rsid w:val="137D5290"/>
    <w:rsid w:val="138008DC"/>
    <w:rsid w:val="13802363"/>
    <w:rsid w:val="13826402"/>
    <w:rsid w:val="13830CE4"/>
    <w:rsid w:val="13871C6A"/>
    <w:rsid w:val="13912AE9"/>
    <w:rsid w:val="13920CCD"/>
    <w:rsid w:val="13961EAE"/>
    <w:rsid w:val="13972590"/>
    <w:rsid w:val="13974501"/>
    <w:rsid w:val="139908A5"/>
    <w:rsid w:val="139F2458"/>
    <w:rsid w:val="13A42943"/>
    <w:rsid w:val="13A66595"/>
    <w:rsid w:val="13AB3BAB"/>
    <w:rsid w:val="13AB53F8"/>
    <w:rsid w:val="13AC657F"/>
    <w:rsid w:val="13BC5DB8"/>
    <w:rsid w:val="13C24A51"/>
    <w:rsid w:val="13C42478"/>
    <w:rsid w:val="13C800FB"/>
    <w:rsid w:val="13DE01AE"/>
    <w:rsid w:val="13DF2573"/>
    <w:rsid w:val="13E069FD"/>
    <w:rsid w:val="13E51B17"/>
    <w:rsid w:val="13E62E35"/>
    <w:rsid w:val="13E7095B"/>
    <w:rsid w:val="13E75572"/>
    <w:rsid w:val="13EF52EF"/>
    <w:rsid w:val="13F6294C"/>
    <w:rsid w:val="13F762F6"/>
    <w:rsid w:val="13F97987"/>
    <w:rsid w:val="13FA41EA"/>
    <w:rsid w:val="13FF3EF7"/>
    <w:rsid w:val="13FF5CA5"/>
    <w:rsid w:val="1400303A"/>
    <w:rsid w:val="14025795"/>
    <w:rsid w:val="140421EF"/>
    <w:rsid w:val="14060DE1"/>
    <w:rsid w:val="14092680"/>
    <w:rsid w:val="1411552A"/>
    <w:rsid w:val="14121CFA"/>
    <w:rsid w:val="141310F8"/>
    <w:rsid w:val="14173200"/>
    <w:rsid w:val="141860EE"/>
    <w:rsid w:val="141A7667"/>
    <w:rsid w:val="141B5B83"/>
    <w:rsid w:val="141C7294"/>
    <w:rsid w:val="141F1EA3"/>
    <w:rsid w:val="14276FAA"/>
    <w:rsid w:val="14294AD0"/>
    <w:rsid w:val="142C09E8"/>
    <w:rsid w:val="14305E5E"/>
    <w:rsid w:val="14346B76"/>
    <w:rsid w:val="14357918"/>
    <w:rsid w:val="143811B7"/>
    <w:rsid w:val="14392305"/>
    <w:rsid w:val="14486567"/>
    <w:rsid w:val="14507177"/>
    <w:rsid w:val="145C4EA5"/>
    <w:rsid w:val="145D29CB"/>
    <w:rsid w:val="145D4214"/>
    <w:rsid w:val="1471073F"/>
    <w:rsid w:val="1485199D"/>
    <w:rsid w:val="14865B6C"/>
    <w:rsid w:val="148D60AB"/>
    <w:rsid w:val="14911599"/>
    <w:rsid w:val="14962841"/>
    <w:rsid w:val="14983A03"/>
    <w:rsid w:val="149A3C1F"/>
    <w:rsid w:val="149B22F8"/>
    <w:rsid w:val="14A30D26"/>
    <w:rsid w:val="14A405FA"/>
    <w:rsid w:val="14A762CF"/>
    <w:rsid w:val="14A8633C"/>
    <w:rsid w:val="14AE6EE2"/>
    <w:rsid w:val="14B44CE1"/>
    <w:rsid w:val="14BE790E"/>
    <w:rsid w:val="14C06253"/>
    <w:rsid w:val="14C20ED8"/>
    <w:rsid w:val="14C872F2"/>
    <w:rsid w:val="14C94ED5"/>
    <w:rsid w:val="14CB1B54"/>
    <w:rsid w:val="14CF129F"/>
    <w:rsid w:val="14CF1B1B"/>
    <w:rsid w:val="14D273DE"/>
    <w:rsid w:val="14D40EDF"/>
    <w:rsid w:val="14DB04C0"/>
    <w:rsid w:val="14DF2DF6"/>
    <w:rsid w:val="14DF7B05"/>
    <w:rsid w:val="14E17C22"/>
    <w:rsid w:val="14E37E55"/>
    <w:rsid w:val="14E530ED"/>
    <w:rsid w:val="14E8498B"/>
    <w:rsid w:val="14E86BD0"/>
    <w:rsid w:val="14EA425F"/>
    <w:rsid w:val="14EC447B"/>
    <w:rsid w:val="14F234C5"/>
    <w:rsid w:val="14F52F16"/>
    <w:rsid w:val="14F93F9F"/>
    <w:rsid w:val="14FF1472"/>
    <w:rsid w:val="15077134"/>
    <w:rsid w:val="150D6C7B"/>
    <w:rsid w:val="151439D2"/>
    <w:rsid w:val="15165CA2"/>
    <w:rsid w:val="15186E22"/>
    <w:rsid w:val="15194B44"/>
    <w:rsid w:val="151D77DE"/>
    <w:rsid w:val="152051AC"/>
    <w:rsid w:val="15205ED3"/>
    <w:rsid w:val="152534C4"/>
    <w:rsid w:val="15265878"/>
    <w:rsid w:val="15284ADE"/>
    <w:rsid w:val="152A7A45"/>
    <w:rsid w:val="152D05F0"/>
    <w:rsid w:val="15365999"/>
    <w:rsid w:val="15373433"/>
    <w:rsid w:val="15393438"/>
    <w:rsid w:val="153A3F16"/>
    <w:rsid w:val="153B130E"/>
    <w:rsid w:val="15412BF0"/>
    <w:rsid w:val="154475E3"/>
    <w:rsid w:val="154B54F4"/>
    <w:rsid w:val="154C316C"/>
    <w:rsid w:val="154C6CC8"/>
    <w:rsid w:val="154D2A40"/>
    <w:rsid w:val="154E59C0"/>
    <w:rsid w:val="154F67B8"/>
    <w:rsid w:val="15510782"/>
    <w:rsid w:val="15567B46"/>
    <w:rsid w:val="155713D3"/>
    <w:rsid w:val="155D0ED5"/>
    <w:rsid w:val="155D7127"/>
    <w:rsid w:val="15604521"/>
    <w:rsid w:val="1568787A"/>
    <w:rsid w:val="156F3D9A"/>
    <w:rsid w:val="156F619B"/>
    <w:rsid w:val="15736F3C"/>
    <w:rsid w:val="15763D45"/>
    <w:rsid w:val="157708C6"/>
    <w:rsid w:val="15774823"/>
    <w:rsid w:val="157955E3"/>
    <w:rsid w:val="157E55BA"/>
    <w:rsid w:val="157F7AF6"/>
    <w:rsid w:val="15804BC3"/>
    <w:rsid w:val="15810768"/>
    <w:rsid w:val="158346B4"/>
    <w:rsid w:val="158F12AA"/>
    <w:rsid w:val="159468C1"/>
    <w:rsid w:val="15962639"/>
    <w:rsid w:val="159A0CB4"/>
    <w:rsid w:val="159E26D3"/>
    <w:rsid w:val="159E6A4F"/>
    <w:rsid w:val="159F14ED"/>
    <w:rsid w:val="15A303A4"/>
    <w:rsid w:val="15A308B2"/>
    <w:rsid w:val="15B30AF5"/>
    <w:rsid w:val="15B34F99"/>
    <w:rsid w:val="15B71A60"/>
    <w:rsid w:val="15BA4298"/>
    <w:rsid w:val="15BD6FF9"/>
    <w:rsid w:val="15BF393E"/>
    <w:rsid w:val="15BF5ABC"/>
    <w:rsid w:val="15C75667"/>
    <w:rsid w:val="15C77DD4"/>
    <w:rsid w:val="15C92400"/>
    <w:rsid w:val="15D114D0"/>
    <w:rsid w:val="15D373E9"/>
    <w:rsid w:val="15D53161"/>
    <w:rsid w:val="15D60A62"/>
    <w:rsid w:val="15D704BB"/>
    <w:rsid w:val="15DA2525"/>
    <w:rsid w:val="15DB2014"/>
    <w:rsid w:val="15DF7B3C"/>
    <w:rsid w:val="15E16E62"/>
    <w:rsid w:val="15E213DA"/>
    <w:rsid w:val="15E40C88"/>
    <w:rsid w:val="15E52CE0"/>
    <w:rsid w:val="15EC04AB"/>
    <w:rsid w:val="15F31CC5"/>
    <w:rsid w:val="15F4066B"/>
    <w:rsid w:val="15F5110D"/>
    <w:rsid w:val="15F706AA"/>
    <w:rsid w:val="15FA4976"/>
    <w:rsid w:val="15FC5B9C"/>
    <w:rsid w:val="15FD578A"/>
    <w:rsid w:val="160948EA"/>
    <w:rsid w:val="16220333"/>
    <w:rsid w:val="16247C45"/>
    <w:rsid w:val="162D4A17"/>
    <w:rsid w:val="16303DCB"/>
    <w:rsid w:val="163065E9"/>
    <w:rsid w:val="16332694"/>
    <w:rsid w:val="1635775C"/>
    <w:rsid w:val="1638724C"/>
    <w:rsid w:val="16421F12"/>
    <w:rsid w:val="1642632E"/>
    <w:rsid w:val="16442095"/>
    <w:rsid w:val="164B3423"/>
    <w:rsid w:val="164B51D1"/>
    <w:rsid w:val="164E0880"/>
    <w:rsid w:val="165027E8"/>
    <w:rsid w:val="1651030E"/>
    <w:rsid w:val="165241DD"/>
    <w:rsid w:val="165453C2"/>
    <w:rsid w:val="16551655"/>
    <w:rsid w:val="165D2399"/>
    <w:rsid w:val="16646293"/>
    <w:rsid w:val="16685D83"/>
    <w:rsid w:val="1669631E"/>
    <w:rsid w:val="16730284"/>
    <w:rsid w:val="167C5922"/>
    <w:rsid w:val="167D1693"/>
    <w:rsid w:val="167F4E7B"/>
    <w:rsid w:val="16832BBD"/>
    <w:rsid w:val="168406E3"/>
    <w:rsid w:val="1684629D"/>
    <w:rsid w:val="168626AD"/>
    <w:rsid w:val="168C319F"/>
    <w:rsid w:val="168D7598"/>
    <w:rsid w:val="16924BAE"/>
    <w:rsid w:val="1694550C"/>
    <w:rsid w:val="1695644C"/>
    <w:rsid w:val="169E164B"/>
    <w:rsid w:val="16A06066"/>
    <w:rsid w:val="16A82624"/>
    <w:rsid w:val="16AA4468"/>
    <w:rsid w:val="16AA639C"/>
    <w:rsid w:val="16B20605"/>
    <w:rsid w:val="16BF34C9"/>
    <w:rsid w:val="16C136E5"/>
    <w:rsid w:val="16C44F84"/>
    <w:rsid w:val="16C564D6"/>
    <w:rsid w:val="16C64742"/>
    <w:rsid w:val="16C94348"/>
    <w:rsid w:val="16CA259A"/>
    <w:rsid w:val="16CB4564"/>
    <w:rsid w:val="16CF7BB0"/>
    <w:rsid w:val="16D23900"/>
    <w:rsid w:val="16D36956"/>
    <w:rsid w:val="16D74CB7"/>
    <w:rsid w:val="16D7540A"/>
    <w:rsid w:val="16DC7FD2"/>
    <w:rsid w:val="16DF03E9"/>
    <w:rsid w:val="16E42F30"/>
    <w:rsid w:val="16EE60F3"/>
    <w:rsid w:val="16EF08D9"/>
    <w:rsid w:val="16EF3DAF"/>
    <w:rsid w:val="16F2564D"/>
    <w:rsid w:val="16FA2DB5"/>
    <w:rsid w:val="16FE0496"/>
    <w:rsid w:val="16FE2244"/>
    <w:rsid w:val="17045380"/>
    <w:rsid w:val="17077F2B"/>
    <w:rsid w:val="17101F77"/>
    <w:rsid w:val="1715758D"/>
    <w:rsid w:val="171750B3"/>
    <w:rsid w:val="171B605C"/>
    <w:rsid w:val="171E736C"/>
    <w:rsid w:val="172120C7"/>
    <w:rsid w:val="17237EFC"/>
    <w:rsid w:val="172422A9"/>
    <w:rsid w:val="17255A22"/>
    <w:rsid w:val="172577D0"/>
    <w:rsid w:val="172D166A"/>
    <w:rsid w:val="172D48D7"/>
    <w:rsid w:val="172E53E9"/>
    <w:rsid w:val="17312619"/>
    <w:rsid w:val="173619DD"/>
    <w:rsid w:val="17367C2F"/>
    <w:rsid w:val="17386D59"/>
    <w:rsid w:val="173B6FF4"/>
    <w:rsid w:val="173C3387"/>
    <w:rsid w:val="173D10BB"/>
    <w:rsid w:val="173E4D36"/>
    <w:rsid w:val="17400AAE"/>
    <w:rsid w:val="1743129B"/>
    <w:rsid w:val="1743234C"/>
    <w:rsid w:val="17435EA8"/>
    <w:rsid w:val="17452236"/>
    <w:rsid w:val="17457E73"/>
    <w:rsid w:val="17467C1C"/>
    <w:rsid w:val="1747139D"/>
    <w:rsid w:val="174721C5"/>
    <w:rsid w:val="174B2FAF"/>
    <w:rsid w:val="174D6C7D"/>
    <w:rsid w:val="174F3B50"/>
    <w:rsid w:val="174F484D"/>
    <w:rsid w:val="174F6F43"/>
    <w:rsid w:val="17515291"/>
    <w:rsid w:val="175235D3"/>
    <w:rsid w:val="17527900"/>
    <w:rsid w:val="17555BDC"/>
    <w:rsid w:val="175759E5"/>
    <w:rsid w:val="17575DF8"/>
    <w:rsid w:val="175B69DC"/>
    <w:rsid w:val="175C6F6A"/>
    <w:rsid w:val="175E0F34"/>
    <w:rsid w:val="175E6B6A"/>
    <w:rsid w:val="17604CAC"/>
    <w:rsid w:val="17620A24"/>
    <w:rsid w:val="176614E5"/>
    <w:rsid w:val="17667206"/>
    <w:rsid w:val="177249E0"/>
    <w:rsid w:val="17735C02"/>
    <w:rsid w:val="1776002C"/>
    <w:rsid w:val="177C13BA"/>
    <w:rsid w:val="177F14EE"/>
    <w:rsid w:val="178A7F7B"/>
    <w:rsid w:val="17946704"/>
    <w:rsid w:val="17981D0B"/>
    <w:rsid w:val="179C00E9"/>
    <w:rsid w:val="179E4A77"/>
    <w:rsid w:val="17A34B99"/>
    <w:rsid w:val="17A50911"/>
    <w:rsid w:val="17A5226F"/>
    <w:rsid w:val="17A75B29"/>
    <w:rsid w:val="17AC6144"/>
    <w:rsid w:val="17AD77C6"/>
    <w:rsid w:val="17AE3C6A"/>
    <w:rsid w:val="17B62B1E"/>
    <w:rsid w:val="17BD4979"/>
    <w:rsid w:val="17BF6981"/>
    <w:rsid w:val="17C50FB3"/>
    <w:rsid w:val="17CA0378"/>
    <w:rsid w:val="17CA6173"/>
    <w:rsid w:val="17CA6547"/>
    <w:rsid w:val="17CA65CA"/>
    <w:rsid w:val="17CE6C61"/>
    <w:rsid w:val="17CF3BE0"/>
    <w:rsid w:val="17D2722C"/>
    <w:rsid w:val="17D411F6"/>
    <w:rsid w:val="17D47866"/>
    <w:rsid w:val="17D52699"/>
    <w:rsid w:val="17D64F6F"/>
    <w:rsid w:val="17DB07D7"/>
    <w:rsid w:val="17DD3D91"/>
    <w:rsid w:val="17DD454F"/>
    <w:rsid w:val="17DF5B98"/>
    <w:rsid w:val="17E21B65"/>
    <w:rsid w:val="17E64F15"/>
    <w:rsid w:val="17F673BF"/>
    <w:rsid w:val="17FC7FF8"/>
    <w:rsid w:val="17FD074D"/>
    <w:rsid w:val="17FD7414"/>
    <w:rsid w:val="18003D99"/>
    <w:rsid w:val="18005E60"/>
    <w:rsid w:val="18023F85"/>
    <w:rsid w:val="180513B0"/>
    <w:rsid w:val="1807554D"/>
    <w:rsid w:val="180875DD"/>
    <w:rsid w:val="18100480"/>
    <w:rsid w:val="18134AB0"/>
    <w:rsid w:val="181D0DEF"/>
    <w:rsid w:val="181D2B9D"/>
    <w:rsid w:val="181F387F"/>
    <w:rsid w:val="182201B4"/>
    <w:rsid w:val="18241E46"/>
    <w:rsid w:val="182C1032"/>
    <w:rsid w:val="18302C42"/>
    <w:rsid w:val="18371DC4"/>
    <w:rsid w:val="183D02EF"/>
    <w:rsid w:val="183D4FEE"/>
    <w:rsid w:val="18491BE4"/>
    <w:rsid w:val="184E4D3B"/>
    <w:rsid w:val="184E71FB"/>
    <w:rsid w:val="185C36C6"/>
    <w:rsid w:val="185D40D7"/>
    <w:rsid w:val="185F34CB"/>
    <w:rsid w:val="18694035"/>
    <w:rsid w:val="186C3648"/>
    <w:rsid w:val="18723928"/>
    <w:rsid w:val="18773C95"/>
    <w:rsid w:val="187E47B3"/>
    <w:rsid w:val="18860BB9"/>
    <w:rsid w:val="188624F1"/>
    <w:rsid w:val="1887635C"/>
    <w:rsid w:val="18884AFD"/>
    <w:rsid w:val="18890233"/>
    <w:rsid w:val="188B5D59"/>
    <w:rsid w:val="188B7B07"/>
    <w:rsid w:val="189270E7"/>
    <w:rsid w:val="18934C0E"/>
    <w:rsid w:val="189746FE"/>
    <w:rsid w:val="189F35B2"/>
    <w:rsid w:val="18A84B5D"/>
    <w:rsid w:val="18A858F9"/>
    <w:rsid w:val="18A961DF"/>
    <w:rsid w:val="18AC4D5A"/>
    <w:rsid w:val="18AE1FE9"/>
    <w:rsid w:val="18B4763C"/>
    <w:rsid w:val="18B84674"/>
    <w:rsid w:val="18BA663E"/>
    <w:rsid w:val="18BC23B6"/>
    <w:rsid w:val="18BC7EEF"/>
    <w:rsid w:val="18BE588E"/>
    <w:rsid w:val="18C56A10"/>
    <w:rsid w:val="18CA2697"/>
    <w:rsid w:val="18CD6371"/>
    <w:rsid w:val="18D94D16"/>
    <w:rsid w:val="18DC02FF"/>
    <w:rsid w:val="18DE057F"/>
    <w:rsid w:val="18E25578"/>
    <w:rsid w:val="18E30F8A"/>
    <w:rsid w:val="18E45469"/>
    <w:rsid w:val="18E61C15"/>
    <w:rsid w:val="18E82CD9"/>
    <w:rsid w:val="18EB2C9C"/>
    <w:rsid w:val="18ED6A14"/>
    <w:rsid w:val="18EE0096"/>
    <w:rsid w:val="18F25DD8"/>
    <w:rsid w:val="18F77EEF"/>
    <w:rsid w:val="18FC27B3"/>
    <w:rsid w:val="19041CBE"/>
    <w:rsid w:val="19045B0B"/>
    <w:rsid w:val="1906204F"/>
    <w:rsid w:val="190A1374"/>
    <w:rsid w:val="190B0C48"/>
    <w:rsid w:val="191479B4"/>
    <w:rsid w:val="19157D18"/>
    <w:rsid w:val="19175453"/>
    <w:rsid w:val="191775ED"/>
    <w:rsid w:val="19241D0A"/>
    <w:rsid w:val="192F4936"/>
    <w:rsid w:val="19332236"/>
    <w:rsid w:val="19382B57"/>
    <w:rsid w:val="1938516E"/>
    <w:rsid w:val="193B777F"/>
    <w:rsid w:val="193F3921"/>
    <w:rsid w:val="19434886"/>
    <w:rsid w:val="194C2D7E"/>
    <w:rsid w:val="19560D8E"/>
    <w:rsid w:val="195B1BCF"/>
    <w:rsid w:val="195C76F5"/>
    <w:rsid w:val="195F55F7"/>
    <w:rsid w:val="19600F94"/>
    <w:rsid w:val="19611EE2"/>
    <w:rsid w:val="19650358"/>
    <w:rsid w:val="19662322"/>
    <w:rsid w:val="19687E48"/>
    <w:rsid w:val="196E7277"/>
    <w:rsid w:val="19713BDF"/>
    <w:rsid w:val="1976521A"/>
    <w:rsid w:val="19792055"/>
    <w:rsid w:val="197D7D98"/>
    <w:rsid w:val="197E3186"/>
    <w:rsid w:val="197E61E3"/>
    <w:rsid w:val="19800A63"/>
    <w:rsid w:val="19856C4C"/>
    <w:rsid w:val="1987566D"/>
    <w:rsid w:val="198C0AC2"/>
    <w:rsid w:val="19911EC9"/>
    <w:rsid w:val="19924070"/>
    <w:rsid w:val="199926F8"/>
    <w:rsid w:val="199B1FCC"/>
    <w:rsid w:val="199B52F9"/>
    <w:rsid w:val="19A05834"/>
    <w:rsid w:val="19A10856"/>
    <w:rsid w:val="19A36A6E"/>
    <w:rsid w:val="19AC267A"/>
    <w:rsid w:val="19AE61A3"/>
    <w:rsid w:val="19B150A8"/>
    <w:rsid w:val="19B65058"/>
    <w:rsid w:val="19BC1F42"/>
    <w:rsid w:val="19BE3F0C"/>
    <w:rsid w:val="19C332D1"/>
    <w:rsid w:val="19C5236C"/>
    <w:rsid w:val="19CA28B1"/>
    <w:rsid w:val="19CC487B"/>
    <w:rsid w:val="19D35C0A"/>
    <w:rsid w:val="19D76D7C"/>
    <w:rsid w:val="19D84FCE"/>
    <w:rsid w:val="19DB4ABE"/>
    <w:rsid w:val="19E971DB"/>
    <w:rsid w:val="19EB3DD4"/>
    <w:rsid w:val="19EB461F"/>
    <w:rsid w:val="19ED453B"/>
    <w:rsid w:val="19EF056A"/>
    <w:rsid w:val="19F81246"/>
    <w:rsid w:val="1A03241C"/>
    <w:rsid w:val="1A04497A"/>
    <w:rsid w:val="1A0B5C7A"/>
    <w:rsid w:val="1A134258"/>
    <w:rsid w:val="1A18361C"/>
    <w:rsid w:val="1A19345F"/>
    <w:rsid w:val="1A1C3315"/>
    <w:rsid w:val="1A1D3CEF"/>
    <w:rsid w:val="1A1F0E4F"/>
    <w:rsid w:val="1A25729D"/>
    <w:rsid w:val="1A2C5DF4"/>
    <w:rsid w:val="1A2E0437"/>
    <w:rsid w:val="1A341039"/>
    <w:rsid w:val="1A357D6B"/>
    <w:rsid w:val="1A361CF4"/>
    <w:rsid w:val="1A385A6D"/>
    <w:rsid w:val="1A385C3D"/>
    <w:rsid w:val="1A3B730B"/>
    <w:rsid w:val="1A425633"/>
    <w:rsid w:val="1A4408B5"/>
    <w:rsid w:val="1A4C0767"/>
    <w:rsid w:val="1A514D80"/>
    <w:rsid w:val="1A530AF8"/>
    <w:rsid w:val="1A544563"/>
    <w:rsid w:val="1A555ADC"/>
    <w:rsid w:val="1A56667A"/>
    <w:rsid w:val="1A5F749D"/>
    <w:rsid w:val="1A6D6869"/>
    <w:rsid w:val="1A6E76E0"/>
    <w:rsid w:val="1A722B93"/>
    <w:rsid w:val="1A730B07"/>
    <w:rsid w:val="1A733596"/>
    <w:rsid w:val="1A736AA5"/>
    <w:rsid w:val="1A742097"/>
    <w:rsid w:val="1A750A6F"/>
    <w:rsid w:val="1A7B1DFD"/>
    <w:rsid w:val="1A7C7171"/>
    <w:rsid w:val="1A807414"/>
    <w:rsid w:val="1A922E78"/>
    <w:rsid w:val="1A962E09"/>
    <w:rsid w:val="1A98475D"/>
    <w:rsid w:val="1A9A7C01"/>
    <w:rsid w:val="1A9B3BB2"/>
    <w:rsid w:val="1A9C0424"/>
    <w:rsid w:val="1A9F105F"/>
    <w:rsid w:val="1AA11864"/>
    <w:rsid w:val="1AA749A0"/>
    <w:rsid w:val="1AA90718"/>
    <w:rsid w:val="1AA94F5A"/>
    <w:rsid w:val="1AA9696A"/>
    <w:rsid w:val="1AAC1FB7"/>
    <w:rsid w:val="1AB175CD"/>
    <w:rsid w:val="1AB26E57"/>
    <w:rsid w:val="1AB64932"/>
    <w:rsid w:val="1ABC669E"/>
    <w:rsid w:val="1AC217DA"/>
    <w:rsid w:val="1AC35C7E"/>
    <w:rsid w:val="1AC41C40"/>
    <w:rsid w:val="1AC45552"/>
    <w:rsid w:val="1AC60017"/>
    <w:rsid w:val="1AC63078"/>
    <w:rsid w:val="1AC6751C"/>
    <w:rsid w:val="1AC94917"/>
    <w:rsid w:val="1ACB068F"/>
    <w:rsid w:val="1AD02149"/>
    <w:rsid w:val="1AD35795"/>
    <w:rsid w:val="1AD5150D"/>
    <w:rsid w:val="1AD52AE7"/>
    <w:rsid w:val="1AD5775F"/>
    <w:rsid w:val="1AD6374C"/>
    <w:rsid w:val="1ADA2FC8"/>
    <w:rsid w:val="1ADA3D88"/>
    <w:rsid w:val="1ADC289C"/>
    <w:rsid w:val="1ADD03C2"/>
    <w:rsid w:val="1ADF3C68"/>
    <w:rsid w:val="1AE14356"/>
    <w:rsid w:val="1AE254F2"/>
    <w:rsid w:val="1AE371A2"/>
    <w:rsid w:val="1AE41750"/>
    <w:rsid w:val="1AEF729B"/>
    <w:rsid w:val="1AF009F4"/>
    <w:rsid w:val="1AF11DCA"/>
    <w:rsid w:val="1AF91C79"/>
    <w:rsid w:val="1AFC1190"/>
    <w:rsid w:val="1AFC2F3E"/>
    <w:rsid w:val="1AFF16D2"/>
    <w:rsid w:val="1B086E06"/>
    <w:rsid w:val="1B0E2C71"/>
    <w:rsid w:val="1B176781"/>
    <w:rsid w:val="1B23671D"/>
    <w:rsid w:val="1B280A3D"/>
    <w:rsid w:val="1B281F85"/>
    <w:rsid w:val="1B2B0976"/>
    <w:rsid w:val="1B2E4E30"/>
    <w:rsid w:val="1B315A15"/>
    <w:rsid w:val="1B364282"/>
    <w:rsid w:val="1B3721C8"/>
    <w:rsid w:val="1B3A3A66"/>
    <w:rsid w:val="1B3E3557"/>
    <w:rsid w:val="1B451F52"/>
    <w:rsid w:val="1B4641B9"/>
    <w:rsid w:val="1B4D5548"/>
    <w:rsid w:val="1B4E306E"/>
    <w:rsid w:val="1B537AC3"/>
    <w:rsid w:val="1B564018"/>
    <w:rsid w:val="1B59213E"/>
    <w:rsid w:val="1B5D1FEF"/>
    <w:rsid w:val="1B5D46B2"/>
    <w:rsid w:val="1B612549"/>
    <w:rsid w:val="1B650AE3"/>
    <w:rsid w:val="1B657425"/>
    <w:rsid w:val="1B677FD8"/>
    <w:rsid w:val="1B6C00C4"/>
    <w:rsid w:val="1B6F680A"/>
    <w:rsid w:val="1B7156DA"/>
    <w:rsid w:val="1B7173EF"/>
    <w:rsid w:val="1B7D6571"/>
    <w:rsid w:val="1B7F0679"/>
    <w:rsid w:val="1B940A75"/>
    <w:rsid w:val="1B950C9D"/>
    <w:rsid w:val="1B963ADC"/>
    <w:rsid w:val="1B972C67"/>
    <w:rsid w:val="1B993A23"/>
    <w:rsid w:val="1B9C5D53"/>
    <w:rsid w:val="1B9E2247"/>
    <w:rsid w:val="1B9E5DA3"/>
    <w:rsid w:val="1B9F3C67"/>
    <w:rsid w:val="1BA64C58"/>
    <w:rsid w:val="1BA67CD5"/>
    <w:rsid w:val="1BAB4AC5"/>
    <w:rsid w:val="1BAF1D5E"/>
    <w:rsid w:val="1BB51EC1"/>
    <w:rsid w:val="1BB61551"/>
    <w:rsid w:val="1BB6659D"/>
    <w:rsid w:val="1BB90E2F"/>
    <w:rsid w:val="1BBE4697"/>
    <w:rsid w:val="1BC507A4"/>
    <w:rsid w:val="1BD23C9F"/>
    <w:rsid w:val="1BDC68CC"/>
    <w:rsid w:val="1BDE2999"/>
    <w:rsid w:val="1BE31EF1"/>
    <w:rsid w:val="1BE560E2"/>
    <w:rsid w:val="1BE73EBF"/>
    <w:rsid w:val="1BE7599C"/>
    <w:rsid w:val="1BE91714"/>
    <w:rsid w:val="1BEA548C"/>
    <w:rsid w:val="1BEF4851"/>
    <w:rsid w:val="1BF06CD1"/>
    <w:rsid w:val="1BF51F21"/>
    <w:rsid w:val="1C074B5F"/>
    <w:rsid w:val="1C177AE5"/>
    <w:rsid w:val="1C1B3B19"/>
    <w:rsid w:val="1C1C4F1A"/>
    <w:rsid w:val="1C1D13BE"/>
    <w:rsid w:val="1C1E66A8"/>
    <w:rsid w:val="1C204A0A"/>
    <w:rsid w:val="1C224C26"/>
    <w:rsid w:val="1C236CD9"/>
    <w:rsid w:val="1C297D63"/>
    <w:rsid w:val="1C2E35CB"/>
    <w:rsid w:val="1C2F6481"/>
    <w:rsid w:val="1C3109C5"/>
    <w:rsid w:val="1C314E69"/>
    <w:rsid w:val="1C32571D"/>
    <w:rsid w:val="1C34594F"/>
    <w:rsid w:val="1C387FA6"/>
    <w:rsid w:val="1C3F7586"/>
    <w:rsid w:val="1C44694B"/>
    <w:rsid w:val="1C47468D"/>
    <w:rsid w:val="1C4A7CD9"/>
    <w:rsid w:val="1C4C3A51"/>
    <w:rsid w:val="1C533032"/>
    <w:rsid w:val="1C56042C"/>
    <w:rsid w:val="1C562905"/>
    <w:rsid w:val="1C5D5C5E"/>
    <w:rsid w:val="1C5F3784"/>
    <w:rsid w:val="1C6074FD"/>
    <w:rsid w:val="1C640D9B"/>
    <w:rsid w:val="1C676DC2"/>
    <w:rsid w:val="1C694603"/>
    <w:rsid w:val="1C702409"/>
    <w:rsid w:val="1C710A47"/>
    <w:rsid w:val="1C733ECC"/>
    <w:rsid w:val="1C744EE3"/>
    <w:rsid w:val="1C752FA8"/>
    <w:rsid w:val="1C7865F4"/>
    <w:rsid w:val="1C7C4725"/>
    <w:rsid w:val="1C876837"/>
    <w:rsid w:val="1C8A6328"/>
    <w:rsid w:val="1C8B619A"/>
    <w:rsid w:val="1C907DE2"/>
    <w:rsid w:val="1C915908"/>
    <w:rsid w:val="1C9A25A2"/>
    <w:rsid w:val="1C9D42AD"/>
    <w:rsid w:val="1C9D708C"/>
    <w:rsid w:val="1C9D721F"/>
    <w:rsid w:val="1CA67605"/>
    <w:rsid w:val="1CA7512B"/>
    <w:rsid w:val="1CB11B06"/>
    <w:rsid w:val="1CB30131"/>
    <w:rsid w:val="1CB80CC2"/>
    <w:rsid w:val="1CB810E7"/>
    <w:rsid w:val="1CBB4733"/>
    <w:rsid w:val="1CBC0BD7"/>
    <w:rsid w:val="1CBD04AB"/>
    <w:rsid w:val="1CBF06C7"/>
    <w:rsid w:val="1CC108CC"/>
    <w:rsid w:val="1CC23D13"/>
    <w:rsid w:val="1CCC64DC"/>
    <w:rsid w:val="1CD423AD"/>
    <w:rsid w:val="1CDF48C5"/>
    <w:rsid w:val="1CE41EDC"/>
    <w:rsid w:val="1CE819CC"/>
    <w:rsid w:val="1CE912A0"/>
    <w:rsid w:val="1CEB326A"/>
    <w:rsid w:val="1CF3211F"/>
    <w:rsid w:val="1CF814E3"/>
    <w:rsid w:val="1CFA16FF"/>
    <w:rsid w:val="1CFA1EF9"/>
    <w:rsid w:val="1CFD4D4B"/>
    <w:rsid w:val="1CFF0AC4"/>
    <w:rsid w:val="1D0205B4"/>
    <w:rsid w:val="1D04364C"/>
    <w:rsid w:val="1D077918"/>
    <w:rsid w:val="1D08284B"/>
    <w:rsid w:val="1D0B56BA"/>
    <w:rsid w:val="1D0D0040"/>
    <w:rsid w:val="1D0D31E0"/>
    <w:rsid w:val="1D0E51AB"/>
    <w:rsid w:val="1D100597"/>
    <w:rsid w:val="1D104A7F"/>
    <w:rsid w:val="1D1207F7"/>
    <w:rsid w:val="1D1741B0"/>
    <w:rsid w:val="1D183933"/>
    <w:rsid w:val="1D214EDE"/>
    <w:rsid w:val="1D28001A"/>
    <w:rsid w:val="1D2B18B9"/>
    <w:rsid w:val="1D322646"/>
    <w:rsid w:val="1D3249F5"/>
    <w:rsid w:val="1D4053CC"/>
    <w:rsid w:val="1D444728"/>
    <w:rsid w:val="1D455E38"/>
    <w:rsid w:val="1D4604A0"/>
    <w:rsid w:val="1D4D4C12"/>
    <w:rsid w:val="1D540E0F"/>
    <w:rsid w:val="1D556936"/>
    <w:rsid w:val="1D567998"/>
    <w:rsid w:val="1D5726AE"/>
    <w:rsid w:val="1D57445C"/>
    <w:rsid w:val="1D5801D4"/>
    <w:rsid w:val="1D5A6AB3"/>
    <w:rsid w:val="1D5E1C8E"/>
    <w:rsid w:val="1D5E5D84"/>
    <w:rsid w:val="1D600881"/>
    <w:rsid w:val="1D623D91"/>
    <w:rsid w:val="1D66666E"/>
    <w:rsid w:val="1D666D95"/>
    <w:rsid w:val="1D682B0D"/>
    <w:rsid w:val="1D69418F"/>
    <w:rsid w:val="1D70376F"/>
    <w:rsid w:val="1D756FD8"/>
    <w:rsid w:val="1D772D50"/>
    <w:rsid w:val="1D7D3896"/>
    <w:rsid w:val="1D7E40DE"/>
    <w:rsid w:val="1D862F93"/>
    <w:rsid w:val="1D910C13"/>
    <w:rsid w:val="1D94745E"/>
    <w:rsid w:val="1D965BCC"/>
    <w:rsid w:val="1D9C6312"/>
    <w:rsid w:val="1D9C78E8"/>
    <w:rsid w:val="1DA13929"/>
    <w:rsid w:val="1DAB29F9"/>
    <w:rsid w:val="1DAE343C"/>
    <w:rsid w:val="1DB1168D"/>
    <w:rsid w:val="1DB20172"/>
    <w:rsid w:val="1DB7139E"/>
    <w:rsid w:val="1DB93368"/>
    <w:rsid w:val="1DBB5B2A"/>
    <w:rsid w:val="1DBE44DB"/>
    <w:rsid w:val="1DC52FAB"/>
    <w:rsid w:val="1DC65322"/>
    <w:rsid w:val="1DC85359"/>
    <w:rsid w:val="1DCD2970"/>
    <w:rsid w:val="1DCF0496"/>
    <w:rsid w:val="1DD43CFE"/>
    <w:rsid w:val="1DD6628E"/>
    <w:rsid w:val="1DD663F1"/>
    <w:rsid w:val="1DD7559C"/>
    <w:rsid w:val="1DD91DFE"/>
    <w:rsid w:val="1DDA5495"/>
    <w:rsid w:val="1DDB32DF"/>
    <w:rsid w:val="1DE026A3"/>
    <w:rsid w:val="1DE1641B"/>
    <w:rsid w:val="1DE63A32"/>
    <w:rsid w:val="1DED4DC0"/>
    <w:rsid w:val="1DED6B6E"/>
    <w:rsid w:val="1DFD1C32"/>
    <w:rsid w:val="1E002D45"/>
    <w:rsid w:val="1E032835"/>
    <w:rsid w:val="1E0B0BB8"/>
    <w:rsid w:val="1E0F6BD4"/>
    <w:rsid w:val="1E0F7CB7"/>
    <w:rsid w:val="1E1660C5"/>
    <w:rsid w:val="1E1D56A5"/>
    <w:rsid w:val="1E1E141D"/>
    <w:rsid w:val="1E22345E"/>
    <w:rsid w:val="1E2A6014"/>
    <w:rsid w:val="1E360515"/>
    <w:rsid w:val="1E3812B5"/>
    <w:rsid w:val="1E426EBA"/>
    <w:rsid w:val="1E440365"/>
    <w:rsid w:val="1E463F1E"/>
    <w:rsid w:val="1E486A15"/>
    <w:rsid w:val="1E4B75AE"/>
    <w:rsid w:val="1E4E3AB1"/>
    <w:rsid w:val="1E4F7829"/>
    <w:rsid w:val="1E5633AE"/>
    <w:rsid w:val="1E567848"/>
    <w:rsid w:val="1E570B35"/>
    <w:rsid w:val="1E574EB5"/>
    <w:rsid w:val="1E5D3CF4"/>
    <w:rsid w:val="1E5F23BD"/>
    <w:rsid w:val="1E6169F7"/>
    <w:rsid w:val="1E6432D4"/>
    <w:rsid w:val="1E6A1572"/>
    <w:rsid w:val="1E757DC6"/>
    <w:rsid w:val="1E780C87"/>
    <w:rsid w:val="1E780D78"/>
    <w:rsid w:val="1E845724"/>
    <w:rsid w:val="1E87192B"/>
    <w:rsid w:val="1E890F8D"/>
    <w:rsid w:val="1E8F6EB7"/>
    <w:rsid w:val="1E933BB9"/>
    <w:rsid w:val="1E935967"/>
    <w:rsid w:val="1E9516DF"/>
    <w:rsid w:val="1E997FFF"/>
    <w:rsid w:val="1E9A4F48"/>
    <w:rsid w:val="1E9B0CC0"/>
    <w:rsid w:val="1E9F430C"/>
    <w:rsid w:val="1E9F4582"/>
    <w:rsid w:val="1EA2204E"/>
    <w:rsid w:val="1EA638ED"/>
    <w:rsid w:val="1EA96F39"/>
    <w:rsid w:val="1EAB4FBE"/>
    <w:rsid w:val="1EAC07D7"/>
    <w:rsid w:val="1EB64FA8"/>
    <w:rsid w:val="1EB8717C"/>
    <w:rsid w:val="1EBF050A"/>
    <w:rsid w:val="1EC024D4"/>
    <w:rsid w:val="1EC51899"/>
    <w:rsid w:val="1ECC090F"/>
    <w:rsid w:val="1ECE05AB"/>
    <w:rsid w:val="1ED65854"/>
    <w:rsid w:val="1ED95739"/>
    <w:rsid w:val="1EE211AB"/>
    <w:rsid w:val="1EE7180F"/>
    <w:rsid w:val="1EED11DB"/>
    <w:rsid w:val="1EF53F2C"/>
    <w:rsid w:val="1EFD1E5A"/>
    <w:rsid w:val="1F00584E"/>
    <w:rsid w:val="1F010B23"/>
    <w:rsid w:val="1F071861"/>
    <w:rsid w:val="1F0D396C"/>
    <w:rsid w:val="1F132604"/>
    <w:rsid w:val="1F1545CE"/>
    <w:rsid w:val="1F1A3993"/>
    <w:rsid w:val="1F1B770B"/>
    <w:rsid w:val="1F1D7BFC"/>
    <w:rsid w:val="1F1F3C3A"/>
    <w:rsid w:val="1F202E63"/>
    <w:rsid w:val="1F226CEB"/>
    <w:rsid w:val="1F262338"/>
    <w:rsid w:val="1F302869"/>
    <w:rsid w:val="1F303DF5"/>
    <w:rsid w:val="1F360B38"/>
    <w:rsid w:val="1F3B03AF"/>
    <w:rsid w:val="1F3C7DAD"/>
    <w:rsid w:val="1F3F33F9"/>
    <w:rsid w:val="1F494A91"/>
    <w:rsid w:val="1F4A1709"/>
    <w:rsid w:val="1F542AF0"/>
    <w:rsid w:val="1F552C1D"/>
    <w:rsid w:val="1F6317DE"/>
    <w:rsid w:val="1F681905"/>
    <w:rsid w:val="1F6B2440"/>
    <w:rsid w:val="1F705CA9"/>
    <w:rsid w:val="1F707A57"/>
    <w:rsid w:val="1F731B56"/>
    <w:rsid w:val="1F74110F"/>
    <w:rsid w:val="1F7532BF"/>
    <w:rsid w:val="1F7D6B5C"/>
    <w:rsid w:val="1F7E0296"/>
    <w:rsid w:val="1F844F28"/>
    <w:rsid w:val="1F8654CC"/>
    <w:rsid w:val="1F8B4890"/>
    <w:rsid w:val="1F8D0609"/>
    <w:rsid w:val="1F8E6EBD"/>
    <w:rsid w:val="1F95570F"/>
    <w:rsid w:val="1F9574BD"/>
    <w:rsid w:val="1F9A0F77"/>
    <w:rsid w:val="1F9B5D57"/>
    <w:rsid w:val="1F9C0172"/>
    <w:rsid w:val="1FA12306"/>
    <w:rsid w:val="1FA26029"/>
    <w:rsid w:val="1FA52E26"/>
    <w:rsid w:val="1FA53BA4"/>
    <w:rsid w:val="1FAB4F33"/>
    <w:rsid w:val="1FAC6571"/>
    <w:rsid w:val="1FAD2A59"/>
    <w:rsid w:val="1FB121C4"/>
    <w:rsid w:val="1FB12B7B"/>
    <w:rsid w:val="1FB21E1D"/>
    <w:rsid w:val="1FB56D07"/>
    <w:rsid w:val="1FB7220A"/>
    <w:rsid w:val="1FC17307"/>
    <w:rsid w:val="1FCD088B"/>
    <w:rsid w:val="1FCF44DB"/>
    <w:rsid w:val="1FD20711"/>
    <w:rsid w:val="1FD60202"/>
    <w:rsid w:val="1FD61FB0"/>
    <w:rsid w:val="1FDA1374"/>
    <w:rsid w:val="1FDE7F6F"/>
    <w:rsid w:val="1FE346CD"/>
    <w:rsid w:val="1FE65BB1"/>
    <w:rsid w:val="1FEA7C53"/>
    <w:rsid w:val="1FEE7146"/>
    <w:rsid w:val="1FEF0EF4"/>
    <w:rsid w:val="1FF1600F"/>
    <w:rsid w:val="1FF45DCD"/>
    <w:rsid w:val="1FF563DD"/>
    <w:rsid w:val="1FFA64B0"/>
    <w:rsid w:val="20025A91"/>
    <w:rsid w:val="20047D3E"/>
    <w:rsid w:val="2006231E"/>
    <w:rsid w:val="200C6370"/>
    <w:rsid w:val="200D1749"/>
    <w:rsid w:val="2011402A"/>
    <w:rsid w:val="201168B8"/>
    <w:rsid w:val="201B5C14"/>
    <w:rsid w:val="201D4C4B"/>
    <w:rsid w:val="202111B2"/>
    <w:rsid w:val="202645B9"/>
    <w:rsid w:val="202B167B"/>
    <w:rsid w:val="202D1DEC"/>
    <w:rsid w:val="202E7D97"/>
    <w:rsid w:val="203171E6"/>
    <w:rsid w:val="20320885"/>
    <w:rsid w:val="20350095"/>
    <w:rsid w:val="20360CA0"/>
    <w:rsid w:val="20360F5B"/>
    <w:rsid w:val="20372E7D"/>
    <w:rsid w:val="203A38EA"/>
    <w:rsid w:val="203E7B55"/>
    <w:rsid w:val="204C4020"/>
    <w:rsid w:val="20515ADA"/>
    <w:rsid w:val="205729C5"/>
    <w:rsid w:val="205904EB"/>
    <w:rsid w:val="206155F1"/>
    <w:rsid w:val="20623843"/>
    <w:rsid w:val="206477EA"/>
    <w:rsid w:val="20713A86"/>
    <w:rsid w:val="20735702"/>
    <w:rsid w:val="207812B9"/>
    <w:rsid w:val="207864EE"/>
    <w:rsid w:val="207E43F5"/>
    <w:rsid w:val="2080305E"/>
    <w:rsid w:val="20823EE5"/>
    <w:rsid w:val="20847C5E"/>
    <w:rsid w:val="208C6B12"/>
    <w:rsid w:val="2091237A"/>
    <w:rsid w:val="20915ED7"/>
    <w:rsid w:val="20921043"/>
    <w:rsid w:val="20994D8B"/>
    <w:rsid w:val="209E1F77"/>
    <w:rsid w:val="20A06EA1"/>
    <w:rsid w:val="20A21BF5"/>
    <w:rsid w:val="20A26336"/>
    <w:rsid w:val="20A53730"/>
    <w:rsid w:val="20AC0F62"/>
    <w:rsid w:val="20AC74DF"/>
    <w:rsid w:val="20B561E4"/>
    <w:rsid w:val="20BB33CA"/>
    <w:rsid w:val="20C462AC"/>
    <w:rsid w:val="20CA4174"/>
    <w:rsid w:val="20CB5604"/>
    <w:rsid w:val="20D364EF"/>
    <w:rsid w:val="20D52267"/>
    <w:rsid w:val="20D5619C"/>
    <w:rsid w:val="20D9162C"/>
    <w:rsid w:val="20DB40B8"/>
    <w:rsid w:val="20E029BA"/>
    <w:rsid w:val="20E23E58"/>
    <w:rsid w:val="20EC135F"/>
    <w:rsid w:val="20EF4387"/>
    <w:rsid w:val="20F003D8"/>
    <w:rsid w:val="20F128FE"/>
    <w:rsid w:val="20F52909"/>
    <w:rsid w:val="20F6042F"/>
    <w:rsid w:val="20F85D62"/>
    <w:rsid w:val="20FC2382"/>
    <w:rsid w:val="21093CBF"/>
    <w:rsid w:val="210A342D"/>
    <w:rsid w:val="210D26FB"/>
    <w:rsid w:val="210F7CE3"/>
    <w:rsid w:val="211333F9"/>
    <w:rsid w:val="2116462E"/>
    <w:rsid w:val="21186CA9"/>
    <w:rsid w:val="211F3ADE"/>
    <w:rsid w:val="21246D4B"/>
    <w:rsid w:val="21262AC3"/>
    <w:rsid w:val="21276BA7"/>
    <w:rsid w:val="212B3D49"/>
    <w:rsid w:val="212E1977"/>
    <w:rsid w:val="21350F58"/>
    <w:rsid w:val="213528A0"/>
    <w:rsid w:val="213571AA"/>
    <w:rsid w:val="213640C3"/>
    <w:rsid w:val="213827F6"/>
    <w:rsid w:val="213D605E"/>
    <w:rsid w:val="213D7C44"/>
    <w:rsid w:val="213F4B2E"/>
    <w:rsid w:val="21425423"/>
    <w:rsid w:val="2149055F"/>
    <w:rsid w:val="21515666"/>
    <w:rsid w:val="215313DE"/>
    <w:rsid w:val="215533A8"/>
    <w:rsid w:val="21571C54"/>
    <w:rsid w:val="215F09C9"/>
    <w:rsid w:val="215F4227"/>
    <w:rsid w:val="21600CBF"/>
    <w:rsid w:val="216A2189"/>
    <w:rsid w:val="216B08FE"/>
    <w:rsid w:val="216D5B4C"/>
    <w:rsid w:val="216F2737"/>
    <w:rsid w:val="2176515B"/>
    <w:rsid w:val="217823A6"/>
    <w:rsid w:val="21792FBB"/>
    <w:rsid w:val="217A3D05"/>
    <w:rsid w:val="217B07D6"/>
    <w:rsid w:val="217D1E03"/>
    <w:rsid w:val="21815F4B"/>
    <w:rsid w:val="21843601"/>
    <w:rsid w:val="2184648F"/>
    <w:rsid w:val="218A325D"/>
    <w:rsid w:val="218C4D46"/>
    <w:rsid w:val="218C684C"/>
    <w:rsid w:val="218E56E9"/>
    <w:rsid w:val="219263AA"/>
    <w:rsid w:val="21984CC5"/>
    <w:rsid w:val="219A700D"/>
    <w:rsid w:val="219E4E2D"/>
    <w:rsid w:val="21A12149"/>
    <w:rsid w:val="21A67760"/>
    <w:rsid w:val="21AB2FC8"/>
    <w:rsid w:val="21AD4F92"/>
    <w:rsid w:val="21B87493"/>
    <w:rsid w:val="21C81C89"/>
    <w:rsid w:val="21C8332B"/>
    <w:rsid w:val="21C978F2"/>
    <w:rsid w:val="21D10024"/>
    <w:rsid w:val="21DA44FD"/>
    <w:rsid w:val="21DE514B"/>
    <w:rsid w:val="21E309B4"/>
    <w:rsid w:val="21E34462"/>
    <w:rsid w:val="21E45D3C"/>
    <w:rsid w:val="21F506E7"/>
    <w:rsid w:val="21F91F85"/>
    <w:rsid w:val="21F95279"/>
    <w:rsid w:val="21F97908"/>
    <w:rsid w:val="21FA6D32"/>
    <w:rsid w:val="21FA7AAB"/>
    <w:rsid w:val="21FC3824"/>
    <w:rsid w:val="21FE01EB"/>
    <w:rsid w:val="21FE36FF"/>
    <w:rsid w:val="22056B7C"/>
    <w:rsid w:val="220D3C83"/>
    <w:rsid w:val="221C1825"/>
    <w:rsid w:val="221C2118"/>
    <w:rsid w:val="22205764"/>
    <w:rsid w:val="22244B28"/>
    <w:rsid w:val="2228094B"/>
    <w:rsid w:val="22327245"/>
    <w:rsid w:val="22344675"/>
    <w:rsid w:val="22377E0A"/>
    <w:rsid w:val="223B259E"/>
    <w:rsid w:val="223B3EE7"/>
    <w:rsid w:val="223B434C"/>
    <w:rsid w:val="22407BB4"/>
    <w:rsid w:val="22410E56"/>
    <w:rsid w:val="224247EE"/>
    <w:rsid w:val="22476665"/>
    <w:rsid w:val="224A0A33"/>
    <w:rsid w:val="225549DB"/>
    <w:rsid w:val="225A1C20"/>
    <w:rsid w:val="225C2233"/>
    <w:rsid w:val="225F478E"/>
    <w:rsid w:val="22625D7D"/>
    <w:rsid w:val="2265586D"/>
    <w:rsid w:val="227117DF"/>
    <w:rsid w:val="22736CB4"/>
    <w:rsid w:val="22741EDB"/>
    <w:rsid w:val="22791E85"/>
    <w:rsid w:val="22795622"/>
    <w:rsid w:val="227C6712"/>
    <w:rsid w:val="227F4F1F"/>
    <w:rsid w:val="22812619"/>
    <w:rsid w:val="22824E29"/>
    <w:rsid w:val="228F4698"/>
    <w:rsid w:val="22904FEA"/>
    <w:rsid w:val="22963C78"/>
    <w:rsid w:val="22965A26"/>
    <w:rsid w:val="22967FAA"/>
    <w:rsid w:val="2297354C"/>
    <w:rsid w:val="2298179E"/>
    <w:rsid w:val="229972C4"/>
    <w:rsid w:val="22A00653"/>
    <w:rsid w:val="22AC6FF8"/>
    <w:rsid w:val="22AF6AE8"/>
    <w:rsid w:val="22B20386"/>
    <w:rsid w:val="22B91715"/>
    <w:rsid w:val="22BD6838"/>
    <w:rsid w:val="22C02AA3"/>
    <w:rsid w:val="22C32593"/>
    <w:rsid w:val="22C35EAF"/>
    <w:rsid w:val="22C67236"/>
    <w:rsid w:val="22C81958"/>
    <w:rsid w:val="22C977AC"/>
    <w:rsid w:val="22CF641B"/>
    <w:rsid w:val="22D5147B"/>
    <w:rsid w:val="22D622C7"/>
    <w:rsid w:val="22D93A1C"/>
    <w:rsid w:val="22DD18A7"/>
    <w:rsid w:val="22DD5403"/>
    <w:rsid w:val="22DF0DA2"/>
    <w:rsid w:val="22DF73CD"/>
    <w:rsid w:val="22E20377"/>
    <w:rsid w:val="22E345E0"/>
    <w:rsid w:val="22E52653"/>
    <w:rsid w:val="22E569AE"/>
    <w:rsid w:val="22E76282"/>
    <w:rsid w:val="22E95145"/>
    <w:rsid w:val="22EA7B20"/>
    <w:rsid w:val="22F56BF1"/>
    <w:rsid w:val="22F90E47"/>
    <w:rsid w:val="22FB277B"/>
    <w:rsid w:val="22FD7D58"/>
    <w:rsid w:val="22FF35CB"/>
    <w:rsid w:val="230F7587"/>
    <w:rsid w:val="231531C4"/>
    <w:rsid w:val="231F749E"/>
    <w:rsid w:val="2321413F"/>
    <w:rsid w:val="232217C1"/>
    <w:rsid w:val="23251A24"/>
    <w:rsid w:val="232C67F1"/>
    <w:rsid w:val="23344139"/>
    <w:rsid w:val="23360FB7"/>
    <w:rsid w:val="233A0AA7"/>
    <w:rsid w:val="233B3265"/>
    <w:rsid w:val="23403BE4"/>
    <w:rsid w:val="23445482"/>
    <w:rsid w:val="234750CE"/>
    <w:rsid w:val="234D2E95"/>
    <w:rsid w:val="234F5BD5"/>
    <w:rsid w:val="23566F63"/>
    <w:rsid w:val="235F246C"/>
    <w:rsid w:val="237415CC"/>
    <w:rsid w:val="23840081"/>
    <w:rsid w:val="238A4E8A"/>
    <w:rsid w:val="238B1303"/>
    <w:rsid w:val="238B6C1B"/>
    <w:rsid w:val="23900D85"/>
    <w:rsid w:val="239A1BA6"/>
    <w:rsid w:val="23A44173"/>
    <w:rsid w:val="23A80837"/>
    <w:rsid w:val="23B76CB9"/>
    <w:rsid w:val="23BC326A"/>
    <w:rsid w:val="23C17A60"/>
    <w:rsid w:val="23C232D7"/>
    <w:rsid w:val="23CB5BA3"/>
    <w:rsid w:val="23CD6AC9"/>
    <w:rsid w:val="23CF3667"/>
    <w:rsid w:val="23D44293"/>
    <w:rsid w:val="23E30B60"/>
    <w:rsid w:val="23E443FD"/>
    <w:rsid w:val="23E629DD"/>
    <w:rsid w:val="23E66539"/>
    <w:rsid w:val="23E72D7E"/>
    <w:rsid w:val="23EA026F"/>
    <w:rsid w:val="23EA508B"/>
    <w:rsid w:val="23EB61A9"/>
    <w:rsid w:val="23EF10D6"/>
    <w:rsid w:val="23F724F4"/>
    <w:rsid w:val="23F91D2C"/>
    <w:rsid w:val="23FA3D93"/>
    <w:rsid w:val="23FE7D27"/>
    <w:rsid w:val="24034E04"/>
    <w:rsid w:val="240939B7"/>
    <w:rsid w:val="240A129F"/>
    <w:rsid w:val="240C0129"/>
    <w:rsid w:val="240E52C2"/>
    <w:rsid w:val="24134E54"/>
    <w:rsid w:val="24135347"/>
    <w:rsid w:val="24170DE9"/>
    <w:rsid w:val="24174257"/>
    <w:rsid w:val="2419690F"/>
    <w:rsid w:val="241A4435"/>
    <w:rsid w:val="2420068E"/>
    <w:rsid w:val="242016BF"/>
    <w:rsid w:val="242034A3"/>
    <w:rsid w:val="24217571"/>
    <w:rsid w:val="242552B4"/>
    <w:rsid w:val="2426102C"/>
    <w:rsid w:val="24305A06"/>
    <w:rsid w:val="24305D97"/>
    <w:rsid w:val="24373239"/>
    <w:rsid w:val="243A0DA5"/>
    <w:rsid w:val="24443260"/>
    <w:rsid w:val="24457704"/>
    <w:rsid w:val="244D480A"/>
    <w:rsid w:val="24596D0B"/>
    <w:rsid w:val="245C3D02"/>
    <w:rsid w:val="2460453E"/>
    <w:rsid w:val="246B4C91"/>
    <w:rsid w:val="24765B0F"/>
    <w:rsid w:val="24771B4C"/>
    <w:rsid w:val="247731AD"/>
    <w:rsid w:val="247C6E9E"/>
    <w:rsid w:val="247E0F32"/>
    <w:rsid w:val="247F2548"/>
    <w:rsid w:val="24860C2C"/>
    <w:rsid w:val="248875F1"/>
    <w:rsid w:val="24903AB7"/>
    <w:rsid w:val="249145FE"/>
    <w:rsid w:val="249441E7"/>
    <w:rsid w:val="249621AB"/>
    <w:rsid w:val="249B154A"/>
    <w:rsid w:val="249C2E52"/>
    <w:rsid w:val="249E485B"/>
    <w:rsid w:val="24A47A11"/>
    <w:rsid w:val="24A6197F"/>
    <w:rsid w:val="24A92405"/>
    <w:rsid w:val="24AD52A9"/>
    <w:rsid w:val="24AF7273"/>
    <w:rsid w:val="24B53FFA"/>
    <w:rsid w:val="24B61418"/>
    <w:rsid w:val="24B77ED6"/>
    <w:rsid w:val="24B80EEA"/>
    <w:rsid w:val="24BA4846"/>
    <w:rsid w:val="24BA63DB"/>
    <w:rsid w:val="24C50802"/>
    <w:rsid w:val="24C820E3"/>
    <w:rsid w:val="24CF2D77"/>
    <w:rsid w:val="24D601DD"/>
    <w:rsid w:val="24D64800"/>
    <w:rsid w:val="24D85F7A"/>
    <w:rsid w:val="24E46F1D"/>
    <w:rsid w:val="24E567F1"/>
    <w:rsid w:val="24E64821"/>
    <w:rsid w:val="24E94533"/>
    <w:rsid w:val="24F5112A"/>
    <w:rsid w:val="24F715FB"/>
    <w:rsid w:val="24F9229C"/>
    <w:rsid w:val="24FC67A7"/>
    <w:rsid w:val="25007ACF"/>
    <w:rsid w:val="25050C41"/>
    <w:rsid w:val="25076767"/>
    <w:rsid w:val="25084F27"/>
    <w:rsid w:val="25090731"/>
    <w:rsid w:val="251315B0"/>
    <w:rsid w:val="25145328"/>
    <w:rsid w:val="251F746E"/>
    <w:rsid w:val="252C3B2C"/>
    <w:rsid w:val="252F3F10"/>
    <w:rsid w:val="25317C88"/>
    <w:rsid w:val="25367242"/>
    <w:rsid w:val="25386701"/>
    <w:rsid w:val="253908EB"/>
    <w:rsid w:val="253B6DF9"/>
    <w:rsid w:val="25401FA2"/>
    <w:rsid w:val="25407ECB"/>
    <w:rsid w:val="25445C0D"/>
    <w:rsid w:val="25453733"/>
    <w:rsid w:val="25457506"/>
    <w:rsid w:val="25480598"/>
    <w:rsid w:val="254D1A4E"/>
    <w:rsid w:val="255379FA"/>
    <w:rsid w:val="2556149D"/>
    <w:rsid w:val="25592D3B"/>
    <w:rsid w:val="255A71DF"/>
    <w:rsid w:val="255F69BB"/>
    <w:rsid w:val="256471D1"/>
    <w:rsid w:val="25695674"/>
    <w:rsid w:val="256A4F48"/>
    <w:rsid w:val="257858B7"/>
    <w:rsid w:val="25827827"/>
    <w:rsid w:val="258D52E9"/>
    <w:rsid w:val="259049AF"/>
    <w:rsid w:val="2593624D"/>
    <w:rsid w:val="259721E1"/>
    <w:rsid w:val="25981AB5"/>
    <w:rsid w:val="259935EC"/>
    <w:rsid w:val="259D70CC"/>
    <w:rsid w:val="259F2E44"/>
    <w:rsid w:val="25A4045A"/>
    <w:rsid w:val="25A97777"/>
    <w:rsid w:val="25AB3597"/>
    <w:rsid w:val="25AC5561"/>
    <w:rsid w:val="25AD72C5"/>
    <w:rsid w:val="25AD78E2"/>
    <w:rsid w:val="25B04D2A"/>
    <w:rsid w:val="25C32FD6"/>
    <w:rsid w:val="25CA090D"/>
    <w:rsid w:val="25CC175F"/>
    <w:rsid w:val="25D2016C"/>
    <w:rsid w:val="25D52D09"/>
    <w:rsid w:val="25D54AB7"/>
    <w:rsid w:val="25D54E86"/>
    <w:rsid w:val="25DB7D8E"/>
    <w:rsid w:val="25DD571A"/>
    <w:rsid w:val="25DE670F"/>
    <w:rsid w:val="25DF1492"/>
    <w:rsid w:val="25E62821"/>
    <w:rsid w:val="25F068FA"/>
    <w:rsid w:val="25FA451E"/>
    <w:rsid w:val="25FC2044"/>
    <w:rsid w:val="25FD5DBC"/>
    <w:rsid w:val="260809E9"/>
    <w:rsid w:val="26127ABA"/>
    <w:rsid w:val="26192C41"/>
    <w:rsid w:val="261C5147"/>
    <w:rsid w:val="26242212"/>
    <w:rsid w:val="26247424"/>
    <w:rsid w:val="26265313"/>
    <w:rsid w:val="262B0C7D"/>
    <w:rsid w:val="262F59FD"/>
    <w:rsid w:val="26325420"/>
    <w:rsid w:val="263D7F73"/>
    <w:rsid w:val="263F63D5"/>
    <w:rsid w:val="26416F3C"/>
    <w:rsid w:val="26435EC5"/>
    <w:rsid w:val="26437C73"/>
    <w:rsid w:val="264C2EC3"/>
    <w:rsid w:val="264D0AF2"/>
    <w:rsid w:val="264F486A"/>
    <w:rsid w:val="264F6618"/>
    <w:rsid w:val="26546AF3"/>
    <w:rsid w:val="265B0961"/>
    <w:rsid w:val="265B26B4"/>
    <w:rsid w:val="265F3C06"/>
    <w:rsid w:val="2663431E"/>
    <w:rsid w:val="266B68E2"/>
    <w:rsid w:val="266F2816"/>
    <w:rsid w:val="266F6214"/>
    <w:rsid w:val="26705B30"/>
    <w:rsid w:val="26747E2C"/>
    <w:rsid w:val="26795C3D"/>
    <w:rsid w:val="267B501B"/>
    <w:rsid w:val="267B565F"/>
    <w:rsid w:val="2685028B"/>
    <w:rsid w:val="2689550D"/>
    <w:rsid w:val="268B161A"/>
    <w:rsid w:val="268D75FE"/>
    <w:rsid w:val="26937E02"/>
    <w:rsid w:val="26943F29"/>
    <w:rsid w:val="26955FF5"/>
    <w:rsid w:val="2697330D"/>
    <w:rsid w:val="26995AE5"/>
    <w:rsid w:val="26A56238"/>
    <w:rsid w:val="26A624A5"/>
    <w:rsid w:val="26A744B1"/>
    <w:rsid w:val="26A761E0"/>
    <w:rsid w:val="26AF70B6"/>
    <w:rsid w:val="26B12561"/>
    <w:rsid w:val="26B66625"/>
    <w:rsid w:val="26BA3467"/>
    <w:rsid w:val="26BC7A25"/>
    <w:rsid w:val="26C2328E"/>
    <w:rsid w:val="26C25711"/>
    <w:rsid w:val="26C27698"/>
    <w:rsid w:val="26C32B62"/>
    <w:rsid w:val="26C52DB4"/>
    <w:rsid w:val="26CE55A7"/>
    <w:rsid w:val="26D134D1"/>
    <w:rsid w:val="26D526AA"/>
    <w:rsid w:val="26D66D39"/>
    <w:rsid w:val="26D7594A"/>
    <w:rsid w:val="26D7660D"/>
    <w:rsid w:val="26D954F6"/>
    <w:rsid w:val="26DD00C8"/>
    <w:rsid w:val="26EA27E4"/>
    <w:rsid w:val="26ED1D1A"/>
    <w:rsid w:val="26F15921"/>
    <w:rsid w:val="26F365F2"/>
    <w:rsid w:val="26F62F37"/>
    <w:rsid w:val="26FF27E9"/>
    <w:rsid w:val="26FF300F"/>
    <w:rsid w:val="27027B2E"/>
    <w:rsid w:val="270D0F81"/>
    <w:rsid w:val="271A22E4"/>
    <w:rsid w:val="27231852"/>
    <w:rsid w:val="27277595"/>
    <w:rsid w:val="272B79BF"/>
    <w:rsid w:val="272F714A"/>
    <w:rsid w:val="273677D8"/>
    <w:rsid w:val="27383550"/>
    <w:rsid w:val="273852FE"/>
    <w:rsid w:val="27392E24"/>
    <w:rsid w:val="27403119"/>
    <w:rsid w:val="274517C9"/>
    <w:rsid w:val="274A3283"/>
    <w:rsid w:val="27547C5E"/>
    <w:rsid w:val="275639D6"/>
    <w:rsid w:val="275A34C6"/>
    <w:rsid w:val="275B2D9A"/>
    <w:rsid w:val="275B723E"/>
    <w:rsid w:val="276205CD"/>
    <w:rsid w:val="276775E3"/>
    <w:rsid w:val="276B2776"/>
    <w:rsid w:val="276C144B"/>
    <w:rsid w:val="276C4FA7"/>
    <w:rsid w:val="276E59FE"/>
    <w:rsid w:val="2772641A"/>
    <w:rsid w:val="27737134"/>
    <w:rsid w:val="27743E5C"/>
    <w:rsid w:val="277976C4"/>
    <w:rsid w:val="277F4CDB"/>
    <w:rsid w:val="278505C3"/>
    <w:rsid w:val="2786250D"/>
    <w:rsid w:val="27897122"/>
    <w:rsid w:val="278C564A"/>
    <w:rsid w:val="27910EB2"/>
    <w:rsid w:val="27935170"/>
    <w:rsid w:val="27946C03"/>
    <w:rsid w:val="27996AAE"/>
    <w:rsid w:val="279F5CE9"/>
    <w:rsid w:val="27A04C51"/>
    <w:rsid w:val="27A873CE"/>
    <w:rsid w:val="27AA11A5"/>
    <w:rsid w:val="27B11B79"/>
    <w:rsid w:val="27B34984"/>
    <w:rsid w:val="27B626C7"/>
    <w:rsid w:val="27B66DC9"/>
    <w:rsid w:val="27C22E19"/>
    <w:rsid w:val="27C443CD"/>
    <w:rsid w:val="27C612F6"/>
    <w:rsid w:val="27CE17BE"/>
    <w:rsid w:val="27CE6EE6"/>
    <w:rsid w:val="27D112AE"/>
    <w:rsid w:val="27D50D9F"/>
    <w:rsid w:val="27D74B17"/>
    <w:rsid w:val="27EB6814"/>
    <w:rsid w:val="27EE3C0E"/>
    <w:rsid w:val="27F60D15"/>
    <w:rsid w:val="27FB6C3E"/>
    <w:rsid w:val="280451E0"/>
    <w:rsid w:val="28126D74"/>
    <w:rsid w:val="28153891"/>
    <w:rsid w:val="281F2148"/>
    <w:rsid w:val="282835C4"/>
    <w:rsid w:val="282B6C11"/>
    <w:rsid w:val="282C5A6C"/>
    <w:rsid w:val="282D4FFC"/>
    <w:rsid w:val="282E6701"/>
    <w:rsid w:val="282F0A40"/>
    <w:rsid w:val="283427BA"/>
    <w:rsid w:val="2835183D"/>
    <w:rsid w:val="28360166"/>
    <w:rsid w:val="28364EC4"/>
    <w:rsid w:val="28397580"/>
    <w:rsid w:val="283C0E1E"/>
    <w:rsid w:val="283C1C24"/>
    <w:rsid w:val="283C2BCC"/>
    <w:rsid w:val="283F0379"/>
    <w:rsid w:val="283F090E"/>
    <w:rsid w:val="283F26BC"/>
    <w:rsid w:val="284319A6"/>
    <w:rsid w:val="284952E9"/>
    <w:rsid w:val="284A1FB6"/>
    <w:rsid w:val="284B72B3"/>
    <w:rsid w:val="284D4DD9"/>
    <w:rsid w:val="28551EE0"/>
    <w:rsid w:val="28553C8E"/>
    <w:rsid w:val="2858552C"/>
    <w:rsid w:val="2859377E"/>
    <w:rsid w:val="285B1CD7"/>
    <w:rsid w:val="285D08F3"/>
    <w:rsid w:val="285E5989"/>
    <w:rsid w:val="285F34CC"/>
    <w:rsid w:val="28612632"/>
    <w:rsid w:val="28645547"/>
    <w:rsid w:val="28650375"/>
    <w:rsid w:val="286A598B"/>
    <w:rsid w:val="286E0954"/>
    <w:rsid w:val="28702875"/>
    <w:rsid w:val="28702D10"/>
    <w:rsid w:val="287133B5"/>
    <w:rsid w:val="2874680A"/>
    <w:rsid w:val="28766458"/>
    <w:rsid w:val="28797CFA"/>
    <w:rsid w:val="28814A83"/>
    <w:rsid w:val="28887F0E"/>
    <w:rsid w:val="288B5901"/>
    <w:rsid w:val="288F719F"/>
    <w:rsid w:val="2894210B"/>
    <w:rsid w:val="28952684"/>
    <w:rsid w:val="2895320A"/>
    <w:rsid w:val="28956780"/>
    <w:rsid w:val="289C0120"/>
    <w:rsid w:val="28A2234D"/>
    <w:rsid w:val="28A6182B"/>
    <w:rsid w:val="28B430AA"/>
    <w:rsid w:val="28B46FDB"/>
    <w:rsid w:val="28B92525"/>
    <w:rsid w:val="28B9421C"/>
    <w:rsid w:val="28BE27A6"/>
    <w:rsid w:val="28C815A7"/>
    <w:rsid w:val="28CA0D49"/>
    <w:rsid w:val="28CB21A2"/>
    <w:rsid w:val="28D34CE1"/>
    <w:rsid w:val="28D63020"/>
    <w:rsid w:val="28DE0127"/>
    <w:rsid w:val="28DE3220"/>
    <w:rsid w:val="28DE60C3"/>
    <w:rsid w:val="28E05C4D"/>
    <w:rsid w:val="28E13773"/>
    <w:rsid w:val="28E976B6"/>
    <w:rsid w:val="28EC1F83"/>
    <w:rsid w:val="28ED036A"/>
    <w:rsid w:val="28F243A6"/>
    <w:rsid w:val="28F72F97"/>
    <w:rsid w:val="28F96D0F"/>
    <w:rsid w:val="28FB2A87"/>
    <w:rsid w:val="290556B4"/>
    <w:rsid w:val="29057462"/>
    <w:rsid w:val="290B246F"/>
    <w:rsid w:val="290F204E"/>
    <w:rsid w:val="291476A5"/>
    <w:rsid w:val="291678C1"/>
    <w:rsid w:val="291B4ED7"/>
    <w:rsid w:val="291D29FD"/>
    <w:rsid w:val="2920604A"/>
    <w:rsid w:val="2927562A"/>
    <w:rsid w:val="292D7811"/>
    <w:rsid w:val="29310257"/>
    <w:rsid w:val="29347D47"/>
    <w:rsid w:val="293C79BB"/>
    <w:rsid w:val="293D6BFB"/>
    <w:rsid w:val="294A0D31"/>
    <w:rsid w:val="294A57BC"/>
    <w:rsid w:val="294C6E3F"/>
    <w:rsid w:val="29514455"/>
    <w:rsid w:val="295977AD"/>
    <w:rsid w:val="295B52D4"/>
    <w:rsid w:val="295E3EB9"/>
    <w:rsid w:val="29650C85"/>
    <w:rsid w:val="296A19BB"/>
    <w:rsid w:val="296D5007"/>
    <w:rsid w:val="296F0D7F"/>
    <w:rsid w:val="297319E7"/>
    <w:rsid w:val="2973261D"/>
    <w:rsid w:val="29736589"/>
    <w:rsid w:val="29742004"/>
    <w:rsid w:val="2979112F"/>
    <w:rsid w:val="297939AC"/>
    <w:rsid w:val="297B3BC8"/>
    <w:rsid w:val="297C64FE"/>
    <w:rsid w:val="297F5DA9"/>
    <w:rsid w:val="29826D04"/>
    <w:rsid w:val="298365D8"/>
    <w:rsid w:val="29851B11"/>
    <w:rsid w:val="298760C9"/>
    <w:rsid w:val="2988000E"/>
    <w:rsid w:val="298A7967"/>
    <w:rsid w:val="298C36DF"/>
    <w:rsid w:val="298D7483"/>
    <w:rsid w:val="298F19EC"/>
    <w:rsid w:val="29936EB5"/>
    <w:rsid w:val="29952E6A"/>
    <w:rsid w:val="299B54DA"/>
    <w:rsid w:val="299D24FB"/>
    <w:rsid w:val="299D266E"/>
    <w:rsid w:val="299D58EC"/>
    <w:rsid w:val="29A44ECD"/>
    <w:rsid w:val="29A70519"/>
    <w:rsid w:val="29AA1DB7"/>
    <w:rsid w:val="29AC5B2F"/>
    <w:rsid w:val="29B43D6F"/>
    <w:rsid w:val="29BD2CE7"/>
    <w:rsid w:val="29BF5862"/>
    <w:rsid w:val="29C50DFA"/>
    <w:rsid w:val="29C73B59"/>
    <w:rsid w:val="29C76E0D"/>
    <w:rsid w:val="29CC3360"/>
    <w:rsid w:val="29D05CC2"/>
    <w:rsid w:val="29D3130E"/>
    <w:rsid w:val="29D357B2"/>
    <w:rsid w:val="29D37560"/>
    <w:rsid w:val="29D64538"/>
    <w:rsid w:val="29D67050"/>
    <w:rsid w:val="29DD03DE"/>
    <w:rsid w:val="29DF5F05"/>
    <w:rsid w:val="29E03A2B"/>
    <w:rsid w:val="29EF0399"/>
    <w:rsid w:val="29F251A1"/>
    <w:rsid w:val="29FF0355"/>
    <w:rsid w:val="2A004A26"/>
    <w:rsid w:val="2A007C29"/>
    <w:rsid w:val="2A02676A"/>
    <w:rsid w:val="2A027E45"/>
    <w:rsid w:val="2A0475B6"/>
    <w:rsid w:val="2A047719"/>
    <w:rsid w:val="2A086595"/>
    <w:rsid w:val="2A09659A"/>
    <w:rsid w:val="2A147350"/>
    <w:rsid w:val="2A175CBD"/>
    <w:rsid w:val="2A180220"/>
    <w:rsid w:val="2A1A518F"/>
    <w:rsid w:val="2A1C0F07"/>
    <w:rsid w:val="2A1D315E"/>
    <w:rsid w:val="2A1F4553"/>
    <w:rsid w:val="2A20021E"/>
    <w:rsid w:val="2A2D44F5"/>
    <w:rsid w:val="2A335204"/>
    <w:rsid w:val="2A390EC5"/>
    <w:rsid w:val="2A3A138D"/>
    <w:rsid w:val="2A3C6EB3"/>
    <w:rsid w:val="2A454BC0"/>
    <w:rsid w:val="2A467D32"/>
    <w:rsid w:val="2A473AAA"/>
    <w:rsid w:val="2A495E14"/>
    <w:rsid w:val="2A50295E"/>
    <w:rsid w:val="2A506E67"/>
    <w:rsid w:val="2A564F1C"/>
    <w:rsid w:val="2A5744DB"/>
    <w:rsid w:val="2A7001A7"/>
    <w:rsid w:val="2A706CFE"/>
    <w:rsid w:val="2A7155D3"/>
    <w:rsid w:val="2A781F85"/>
    <w:rsid w:val="2A7A5C2D"/>
    <w:rsid w:val="2A7A79DB"/>
    <w:rsid w:val="2A7B35CA"/>
    <w:rsid w:val="2A7C6197"/>
    <w:rsid w:val="2A824904"/>
    <w:rsid w:val="2A836414"/>
    <w:rsid w:val="2A841DAD"/>
    <w:rsid w:val="2A842608"/>
    <w:rsid w:val="2A8F682B"/>
    <w:rsid w:val="2A900C0E"/>
    <w:rsid w:val="2A924D25"/>
    <w:rsid w:val="2A942D06"/>
    <w:rsid w:val="2A950CB9"/>
    <w:rsid w:val="2A9643FC"/>
    <w:rsid w:val="2A9E13F0"/>
    <w:rsid w:val="2A9F62C6"/>
    <w:rsid w:val="2A9F7442"/>
    <w:rsid w:val="2AA52955"/>
    <w:rsid w:val="2AA66B98"/>
    <w:rsid w:val="2AA97A27"/>
    <w:rsid w:val="2AAD6003"/>
    <w:rsid w:val="2AAE58D7"/>
    <w:rsid w:val="2AB014B5"/>
    <w:rsid w:val="2AB0164F"/>
    <w:rsid w:val="2AB23619"/>
    <w:rsid w:val="2AB24F59"/>
    <w:rsid w:val="2AB50979"/>
    <w:rsid w:val="2AB52686"/>
    <w:rsid w:val="2ABA654B"/>
    <w:rsid w:val="2AC1385C"/>
    <w:rsid w:val="2ACA55EE"/>
    <w:rsid w:val="2ACB72CA"/>
    <w:rsid w:val="2ACD3FAF"/>
    <w:rsid w:val="2AD0584D"/>
    <w:rsid w:val="2AD301CB"/>
    <w:rsid w:val="2AD34027"/>
    <w:rsid w:val="2AD417E1"/>
    <w:rsid w:val="2AD7648D"/>
    <w:rsid w:val="2AD9581A"/>
    <w:rsid w:val="2ADC3D49"/>
    <w:rsid w:val="2AE61515"/>
    <w:rsid w:val="2AE8703B"/>
    <w:rsid w:val="2AF43C32"/>
    <w:rsid w:val="2AF61758"/>
    <w:rsid w:val="2AFD4D90"/>
    <w:rsid w:val="2AFF1BE9"/>
    <w:rsid w:val="2B035C23"/>
    <w:rsid w:val="2B057BED"/>
    <w:rsid w:val="2B147E30"/>
    <w:rsid w:val="2B175DF1"/>
    <w:rsid w:val="2B1B2F6C"/>
    <w:rsid w:val="2B204A27"/>
    <w:rsid w:val="2B23372E"/>
    <w:rsid w:val="2B250F76"/>
    <w:rsid w:val="2B260516"/>
    <w:rsid w:val="2B277B9B"/>
    <w:rsid w:val="2B2A1401"/>
    <w:rsid w:val="2B305FE6"/>
    <w:rsid w:val="2B312790"/>
    <w:rsid w:val="2B33475A"/>
    <w:rsid w:val="2B345DDC"/>
    <w:rsid w:val="2B346B58"/>
    <w:rsid w:val="2B382728"/>
    <w:rsid w:val="2B40163B"/>
    <w:rsid w:val="2B457FE9"/>
    <w:rsid w:val="2B4864E5"/>
    <w:rsid w:val="2B4A0752"/>
    <w:rsid w:val="2B4C38A9"/>
    <w:rsid w:val="2B58619E"/>
    <w:rsid w:val="2B591CE7"/>
    <w:rsid w:val="2B5D3585"/>
    <w:rsid w:val="2B5E2124"/>
    <w:rsid w:val="2B606BD1"/>
    <w:rsid w:val="2B626DED"/>
    <w:rsid w:val="2B681F2A"/>
    <w:rsid w:val="2B6B0F88"/>
    <w:rsid w:val="2B732DA8"/>
    <w:rsid w:val="2B794137"/>
    <w:rsid w:val="2B796202"/>
    <w:rsid w:val="2B854D0B"/>
    <w:rsid w:val="2B870602"/>
    <w:rsid w:val="2B8925CC"/>
    <w:rsid w:val="2B8B2FAB"/>
    <w:rsid w:val="2B8B5887"/>
    <w:rsid w:val="2B8C3E6A"/>
    <w:rsid w:val="2B8E01D9"/>
    <w:rsid w:val="2B8F423A"/>
    <w:rsid w:val="2B953521"/>
    <w:rsid w:val="2B9E76FA"/>
    <w:rsid w:val="2BA50A88"/>
    <w:rsid w:val="2BA54203"/>
    <w:rsid w:val="2BAA42F0"/>
    <w:rsid w:val="2BAA609E"/>
    <w:rsid w:val="2BAC1E16"/>
    <w:rsid w:val="2BB04CB3"/>
    <w:rsid w:val="2BB5313E"/>
    <w:rsid w:val="2BB94533"/>
    <w:rsid w:val="2BBB02AC"/>
    <w:rsid w:val="2BBB2FE0"/>
    <w:rsid w:val="2BBE7D9C"/>
    <w:rsid w:val="2BC00807"/>
    <w:rsid w:val="2BC03067"/>
    <w:rsid w:val="2BC03B14"/>
    <w:rsid w:val="2BC2788C"/>
    <w:rsid w:val="2BC7343E"/>
    <w:rsid w:val="2BC90C1A"/>
    <w:rsid w:val="2BCF6549"/>
    <w:rsid w:val="2BD01731"/>
    <w:rsid w:val="2BDE46D5"/>
    <w:rsid w:val="2BDF043E"/>
    <w:rsid w:val="2BE14CC4"/>
    <w:rsid w:val="2BEA3551"/>
    <w:rsid w:val="2BEB4F7F"/>
    <w:rsid w:val="2BEE071B"/>
    <w:rsid w:val="2BEF7575"/>
    <w:rsid w:val="2BF67536"/>
    <w:rsid w:val="2C024294"/>
    <w:rsid w:val="2C02453D"/>
    <w:rsid w:val="2C043A01"/>
    <w:rsid w:val="2C0A4AEB"/>
    <w:rsid w:val="2C0C01DE"/>
    <w:rsid w:val="2C0C162B"/>
    <w:rsid w:val="2C131E96"/>
    <w:rsid w:val="2C170F60"/>
    <w:rsid w:val="2C1B4054"/>
    <w:rsid w:val="2C2E0A7D"/>
    <w:rsid w:val="2C2F6619"/>
    <w:rsid w:val="2C332538"/>
    <w:rsid w:val="2C36476D"/>
    <w:rsid w:val="2C367115"/>
    <w:rsid w:val="2C372028"/>
    <w:rsid w:val="2C3818FC"/>
    <w:rsid w:val="2C3B319A"/>
    <w:rsid w:val="2C477D91"/>
    <w:rsid w:val="2C4C53A8"/>
    <w:rsid w:val="2C4E1120"/>
    <w:rsid w:val="2C4F3433"/>
    <w:rsid w:val="2C5512FE"/>
    <w:rsid w:val="2C5524AE"/>
    <w:rsid w:val="2C55747C"/>
    <w:rsid w:val="2C5A0D8C"/>
    <w:rsid w:val="2C5A3F68"/>
    <w:rsid w:val="2C5B55EB"/>
    <w:rsid w:val="2C5F3AE7"/>
    <w:rsid w:val="2C6426F1"/>
    <w:rsid w:val="2C69617F"/>
    <w:rsid w:val="2C6B3A80"/>
    <w:rsid w:val="2C7212B2"/>
    <w:rsid w:val="2C7566AC"/>
    <w:rsid w:val="2C795B5C"/>
    <w:rsid w:val="2C7E592F"/>
    <w:rsid w:val="2C840A51"/>
    <w:rsid w:val="2C872AF6"/>
    <w:rsid w:val="2C902915"/>
    <w:rsid w:val="2C9103E2"/>
    <w:rsid w:val="2C921B0A"/>
    <w:rsid w:val="2C937E38"/>
    <w:rsid w:val="2C950AFD"/>
    <w:rsid w:val="2C9A25B7"/>
    <w:rsid w:val="2C9E20A7"/>
    <w:rsid w:val="2C9F197B"/>
    <w:rsid w:val="2C9F5E1F"/>
    <w:rsid w:val="2CA177F3"/>
    <w:rsid w:val="2CA23219"/>
    <w:rsid w:val="2CA43435"/>
    <w:rsid w:val="2CAE7DF9"/>
    <w:rsid w:val="2CB035A7"/>
    <w:rsid w:val="2CB96525"/>
    <w:rsid w:val="2CBC077F"/>
    <w:rsid w:val="2CC82C80"/>
    <w:rsid w:val="2CC85EE2"/>
    <w:rsid w:val="2CC86312"/>
    <w:rsid w:val="2CCA30B3"/>
    <w:rsid w:val="2CCD0296"/>
    <w:rsid w:val="2CD71115"/>
    <w:rsid w:val="2CD86C3B"/>
    <w:rsid w:val="2CDF4518"/>
    <w:rsid w:val="2CE37ABA"/>
    <w:rsid w:val="2CE42EE2"/>
    <w:rsid w:val="2CE51A84"/>
    <w:rsid w:val="2CE5527B"/>
    <w:rsid w:val="2CE57671"/>
    <w:rsid w:val="2CE76D85"/>
    <w:rsid w:val="2CE81ECD"/>
    <w:rsid w:val="2CEE531B"/>
    <w:rsid w:val="2CEF2903"/>
    <w:rsid w:val="2CF9763D"/>
    <w:rsid w:val="2D0619FA"/>
    <w:rsid w:val="2D0D2D89"/>
    <w:rsid w:val="2D0F08AF"/>
    <w:rsid w:val="2D0F4D53"/>
    <w:rsid w:val="2D1652EF"/>
    <w:rsid w:val="2D1811A5"/>
    <w:rsid w:val="2D1839CC"/>
    <w:rsid w:val="2D1C4D7A"/>
    <w:rsid w:val="2D26573B"/>
    <w:rsid w:val="2D3447B9"/>
    <w:rsid w:val="2D3C197F"/>
    <w:rsid w:val="2D3F0F76"/>
    <w:rsid w:val="2D3F526C"/>
    <w:rsid w:val="2D410C84"/>
    <w:rsid w:val="2D430559"/>
    <w:rsid w:val="2D460049"/>
    <w:rsid w:val="2D480265"/>
    <w:rsid w:val="2D497191"/>
    <w:rsid w:val="2D4C0F77"/>
    <w:rsid w:val="2D556FA6"/>
    <w:rsid w:val="2D5803B1"/>
    <w:rsid w:val="2D5971CB"/>
    <w:rsid w:val="2D611894"/>
    <w:rsid w:val="2D616C31"/>
    <w:rsid w:val="2D643EE1"/>
    <w:rsid w:val="2D673D6A"/>
    <w:rsid w:val="2D6C5B94"/>
    <w:rsid w:val="2D6D7992"/>
    <w:rsid w:val="2D6F3B2A"/>
    <w:rsid w:val="2D713318"/>
    <w:rsid w:val="2D7368E3"/>
    <w:rsid w:val="2D7573F8"/>
    <w:rsid w:val="2D8079C9"/>
    <w:rsid w:val="2D8748E9"/>
    <w:rsid w:val="2D8C0151"/>
    <w:rsid w:val="2D8F3138"/>
    <w:rsid w:val="2D960FD0"/>
    <w:rsid w:val="2D9E7E85"/>
    <w:rsid w:val="2DA336ED"/>
    <w:rsid w:val="2DAD00C8"/>
    <w:rsid w:val="2DAE4C4B"/>
    <w:rsid w:val="2DB32EFA"/>
    <w:rsid w:val="2DB6777A"/>
    <w:rsid w:val="2DB73DD3"/>
    <w:rsid w:val="2DB80F46"/>
    <w:rsid w:val="2DBB01DC"/>
    <w:rsid w:val="2DBB4593"/>
    <w:rsid w:val="2DC12029"/>
    <w:rsid w:val="2DCA5054"/>
    <w:rsid w:val="2DCE15AF"/>
    <w:rsid w:val="2DCF6290"/>
    <w:rsid w:val="2DD00881"/>
    <w:rsid w:val="2DD12008"/>
    <w:rsid w:val="2DDA60A5"/>
    <w:rsid w:val="2DE41E90"/>
    <w:rsid w:val="2DE53D06"/>
    <w:rsid w:val="2DEE2BBA"/>
    <w:rsid w:val="2DF301D1"/>
    <w:rsid w:val="2DFD143F"/>
    <w:rsid w:val="2E011250"/>
    <w:rsid w:val="2E0C7AA4"/>
    <w:rsid w:val="2E0E500A"/>
    <w:rsid w:val="2E110657"/>
    <w:rsid w:val="2E146672"/>
    <w:rsid w:val="2E2228F5"/>
    <w:rsid w:val="2E2A5352"/>
    <w:rsid w:val="2E2C34EF"/>
    <w:rsid w:val="2E2E2FB7"/>
    <w:rsid w:val="2E3005EA"/>
    <w:rsid w:val="2E3031D3"/>
    <w:rsid w:val="2E312AA7"/>
    <w:rsid w:val="2E345428"/>
    <w:rsid w:val="2E3A2E51"/>
    <w:rsid w:val="2E4346F5"/>
    <w:rsid w:val="2E4F2F2D"/>
    <w:rsid w:val="2E525FE5"/>
    <w:rsid w:val="2E5271BF"/>
    <w:rsid w:val="2E532A1D"/>
    <w:rsid w:val="2E554EA6"/>
    <w:rsid w:val="2E5829A2"/>
    <w:rsid w:val="2E5B0F11"/>
    <w:rsid w:val="2E6102A1"/>
    <w:rsid w:val="2E6115DE"/>
    <w:rsid w:val="2E612931"/>
    <w:rsid w:val="2E62715D"/>
    <w:rsid w:val="2E666BF4"/>
    <w:rsid w:val="2E67471B"/>
    <w:rsid w:val="2E6764C9"/>
    <w:rsid w:val="2E6D573D"/>
    <w:rsid w:val="2E7110F5"/>
    <w:rsid w:val="2E753E92"/>
    <w:rsid w:val="2E756E38"/>
    <w:rsid w:val="2E7635F8"/>
    <w:rsid w:val="2E782484"/>
    <w:rsid w:val="2E8C71AC"/>
    <w:rsid w:val="2E8E1CA7"/>
    <w:rsid w:val="2E9508AA"/>
    <w:rsid w:val="2E9F5C62"/>
    <w:rsid w:val="2EA15E7F"/>
    <w:rsid w:val="2EA17C2D"/>
    <w:rsid w:val="2EA27501"/>
    <w:rsid w:val="2EAC037F"/>
    <w:rsid w:val="2EAC3D49"/>
    <w:rsid w:val="2EB21E3A"/>
    <w:rsid w:val="2EB23BE8"/>
    <w:rsid w:val="2EB55486"/>
    <w:rsid w:val="2EB77450"/>
    <w:rsid w:val="2EBF4557"/>
    <w:rsid w:val="2EC35DF5"/>
    <w:rsid w:val="2ECB2EFB"/>
    <w:rsid w:val="2ECB4CA9"/>
    <w:rsid w:val="2ED527E6"/>
    <w:rsid w:val="2EDC0C65"/>
    <w:rsid w:val="2EE43FBD"/>
    <w:rsid w:val="2EE93382"/>
    <w:rsid w:val="2EEA0214"/>
    <w:rsid w:val="2EF37D5C"/>
    <w:rsid w:val="2EF91817"/>
    <w:rsid w:val="2EFA10EB"/>
    <w:rsid w:val="2EFF3594"/>
    <w:rsid w:val="2F012479"/>
    <w:rsid w:val="2F0F2DE8"/>
    <w:rsid w:val="2F101F2F"/>
    <w:rsid w:val="2F11739B"/>
    <w:rsid w:val="2F155F25"/>
    <w:rsid w:val="2F1D79A9"/>
    <w:rsid w:val="2F1E74CF"/>
    <w:rsid w:val="2F263FE7"/>
    <w:rsid w:val="2F2B4739"/>
    <w:rsid w:val="2F2D3D9F"/>
    <w:rsid w:val="2F2D7712"/>
    <w:rsid w:val="2F2E6FE6"/>
    <w:rsid w:val="2F324D29"/>
    <w:rsid w:val="2F326AD7"/>
    <w:rsid w:val="2F367926"/>
    <w:rsid w:val="2F3960B7"/>
    <w:rsid w:val="2F3F643D"/>
    <w:rsid w:val="2F560A17"/>
    <w:rsid w:val="2F5729E1"/>
    <w:rsid w:val="2F642A08"/>
    <w:rsid w:val="2F652935"/>
    <w:rsid w:val="2F6C3619"/>
    <w:rsid w:val="2F6D7B0F"/>
    <w:rsid w:val="2F7471EA"/>
    <w:rsid w:val="2F7B6825"/>
    <w:rsid w:val="2F7D3007"/>
    <w:rsid w:val="2F7E3ACA"/>
    <w:rsid w:val="2F8135BA"/>
    <w:rsid w:val="2F827A5E"/>
    <w:rsid w:val="2F863502"/>
    <w:rsid w:val="2F884949"/>
    <w:rsid w:val="2F8A6913"/>
    <w:rsid w:val="2F8B61E7"/>
    <w:rsid w:val="2F954ADA"/>
    <w:rsid w:val="2F955AF6"/>
    <w:rsid w:val="2F990904"/>
    <w:rsid w:val="2F9C21A2"/>
    <w:rsid w:val="2FAC6889"/>
    <w:rsid w:val="2FAD694E"/>
    <w:rsid w:val="2FAD7DDA"/>
    <w:rsid w:val="2FAF59F5"/>
    <w:rsid w:val="2FB76FDC"/>
    <w:rsid w:val="2FBC2844"/>
    <w:rsid w:val="2FC736C3"/>
    <w:rsid w:val="2FC83556"/>
    <w:rsid w:val="2FCA4F61"/>
    <w:rsid w:val="2FCC075E"/>
    <w:rsid w:val="2FCF2577"/>
    <w:rsid w:val="2FD02AD6"/>
    <w:rsid w:val="2FD55B5A"/>
    <w:rsid w:val="2FD55DF3"/>
    <w:rsid w:val="2FDB2DCE"/>
    <w:rsid w:val="2FDB75E9"/>
    <w:rsid w:val="2FDC44EE"/>
    <w:rsid w:val="2FDC74FE"/>
    <w:rsid w:val="2FDF6A6B"/>
    <w:rsid w:val="2FE06533"/>
    <w:rsid w:val="2FE30F4E"/>
    <w:rsid w:val="2FE34275"/>
    <w:rsid w:val="2FE4642D"/>
    <w:rsid w:val="2FEC3129"/>
    <w:rsid w:val="2FF206FB"/>
    <w:rsid w:val="2FF9528B"/>
    <w:rsid w:val="2FFB4CA4"/>
    <w:rsid w:val="2FFD0E93"/>
    <w:rsid w:val="300264A9"/>
    <w:rsid w:val="30054147"/>
    <w:rsid w:val="30077F63"/>
    <w:rsid w:val="300C7328"/>
    <w:rsid w:val="300F5CEA"/>
    <w:rsid w:val="3010416A"/>
    <w:rsid w:val="301D7787"/>
    <w:rsid w:val="301F4C22"/>
    <w:rsid w:val="30201025"/>
    <w:rsid w:val="30277371"/>
    <w:rsid w:val="302854B8"/>
    <w:rsid w:val="3029057D"/>
    <w:rsid w:val="302B69D3"/>
    <w:rsid w:val="30354AD0"/>
    <w:rsid w:val="303555CC"/>
    <w:rsid w:val="303845C1"/>
    <w:rsid w:val="30406FD1"/>
    <w:rsid w:val="304545E8"/>
    <w:rsid w:val="304940D8"/>
    <w:rsid w:val="304A079B"/>
    <w:rsid w:val="304F36B8"/>
    <w:rsid w:val="30534F57"/>
    <w:rsid w:val="305B205D"/>
    <w:rsid w:val="305F1B4D"/>
    <w:rsid w:val="30645601"/>
    <w:rsid w:val="306A59F8"/>
    <w:rsid w:val="306C6018"/>
    <w:rsid w:val="306F4BF5"/>
    <w:rsid w:val="30724DD6"/>
    <w:rsid w:val="307853BE"/>
    <w:rsid w:val="307F5D4C"/>
    <w:rsid w:val="308415B4"/>
    <w:rsid w:val="30872E52"/>
    <w:rsid w:val="308C66BA"/>
    <w:rsid w:val="3091372F"/>
    <w:rsid w:val="30961104"/>
    <w:rsid w:val="3098505F"/>
    <w:rsid w:val="30986B93"/>
    <w:rsid w:val="309A4933"/>
    <w:rsid w:val="309D2676"/>
    <w:rsid w:val="309F63EE"/>
    <w:rsid w:val="30A12E33"/>
    <w:rsid w:val="30A21A3A"/>
    <w:rsid w:val="30A52836"/>
    <w:rsid w:val="30A7115A"/>
    <w:rsid w:val="30AB4D93"/>
    <w:rsid w:val="30B11567"/>
    <w:rsid w:val="30B26121"/>
    <w:rsid w:val="30B57283"/>
    <w:rsid w:val="30B579BF"/>
    <w:rsid w:val="30B65658"/>
    <w:rsid w:val="30BA6D84"/>
    <w:rsid w:val="30BB3295"/>
    <w:rsid w:val="30C9346B"/>
    <w:rsid w:val="30CB0F91"/>
    <w:rsid w:val="30CE5B4D"/>
    <w:rsid w:val="30D4653A"/>
    <w:rsid w:val="30D77936"/>
    <w:rsid w:val="30D835ED"/>
    <w:rsid w:val="30DB7D9F"/>
    <w:rsid w:val="30DD6F16"/>
    <w:rsid w:val="30E6401D"/>
    <w:rsid w:val="30E83A79"/>
    <w:rsid w:val="30EB33E1"/>
    <w:rsid w:val="30EE1123"/>
    <w:rsid w:val="30F32296"/>
    <w:rsid w:val="30F73B34"/>
    <w:rsid w:val="30F878AC"/>
    <w:rsid w:val="31012C04"/>
    <w:rsid w:val="31046251"/>
    <w:rsid w:val="3106021B"/>
    <w:rsid w:val="31093867"/>
    <w:rsid w:val="3115220C"/>
    <w:rsid w:val="31197C45"/>
    <w:rsid w:val="311D12C6"/>
    <w:rsid w:val="311F308B"/>
    <w:rsid w:val="312143D9"/>
    <w:rsid w:val="3129746C"/>
    <w:rsid w:val="312B1A2F"/>
    <w:rsid w:val="31322DBE"/>
    <w:rsid w:val="31327262"/>
    <w:rsid w:val="313A6116"/>
    <w:rsid w:val="313C538A"/>
    <w:rsid w:val="313E59E6"/>
    <w:rsid w:val="313F54DB"/>
    <w:rsid w:val="31434FCB"/>
    <w:rsid w:val="314629EF"/>
    <w:rsid w:val="314851F1"/>
    <w:rsid w:val="314A45AB"/>
    <w:rsid w:val="314D409C"/>
    <w:rsid w:val="31552F50"/>
    <w:rsid w:val="315A7776"/>
    <w:rsid w:val="315E0057"/>
    <w:rsid w:val="315F16D9"/>
    <w:rsid w:val="316230CA"/>
    <w:rsid w:val="316942D8"/>
    <w:rsid w:val="316A6035"/>
    <w:rsid w:val="316B4522"/>
    <w:rsid w:val="317038E6"/>
    <w:rsid w:val="317558B3"/>
    <w:rsid w:val="317C6D20"/>
    <w:rsid w:val="317D6336"/>
    <w:rsid w:val="317F3B29"/>
    <w:rsid w:val="3180757A"/>
    <w:rsid w:val="31833038"/>
    <w:rsid w:val="31854FEF"/>
    <w:rsid w:val="318555E4"/>
    <w:rsid w:val="31865853"/>
    <w:rsid w:val="3188499C"/>
    <w:rsid w:val="318850D4"/>
    <w:rsid w:val="318B6972"/>
    <w:rsid w:val="318C4058"/>
    <w:rsid w:val="318E6273"/>
    <w:rsid w:val="31905D36"/>
    <w:rsid w:val="319121DA"/>
    <w:rsid w:val="31921AAF"/>
    <w:rsid w:val="3192385D"/>
    <w:rsid w:val="319424A5"/>
    <w:rsid w:val="31943A79"/>
    <w:rsid w:val="3195334D"/>
    <w:rsid w:val="3199108F"/>
    <w:rsid w:val="31A57A34"/>
    <w:rsid w:val="31A677D0"/>
    <w:rsid w:val="31B03453"/>
    <w:rsid w:val="31B0789C"/>
    <w:rsid w:val="31B41A25"/>
    <w:rsid w:val="31B41DD4"/>
    <w:rsid w:val="31B61C41"/>
    <w:rsid w:val="31B71C9E"/>
    <w:rsid w:val="31B732C3"/>
    <w:rsid w:val="31BA2267"/>
    <w:rsid w:val="31BC58DA"/>
    <w:rsid w:val="31BD2FCF"/>
    <w:rsid w:val="31BE4652"/>
    <w:rsid w:val="31C003CA"/>
    <w:rsid w:val="31CA1248"/>
    <w:rsid w:val="31CF1812"/>
    <w:rsid w:val="31D52836"/>
    <w:rsid w:val="31D64091"/>
    <w:rsid w:val="31D75713"/>
    <w:rsid w:val="31DD1110"/>
    <w:rsid w:val="31E0281A"/>
    <w:rsid w:val="31EB11BF"/>
    <w:rsid w:val="31EE13DB"/>
    <w:rsid w:val="31EF25F4"/>
    <w:rsid w:val="31F14BB1"/>
    <w:rsid w:val="31F2079F"/>
    <w:rsid w:val="31F255AF"/>
    <w:rsid w:val="31F77B64"/>
    <w:rsid w:val="31FB3AF8"/>
    <w:rsid w:val="320039CE"/>
    <w:rsid w:val="320A5AE9"/>
    <w:rsid w:val="320B4BD2"/>
    <w:rsid w:val="320C7AB3"/>
    <w:rsid w:val="320F75A3"/>
    <w:rsid w:val="321150C9"/>
    <w:rsid w:val="32123AF0"/>
    <w:rsid w:val="321C75CA"/>
    <w:rsid w:val="321D1D06"/>
    <w:rsid w:val="321D3A6E"/>
    <w:rsid w:val="322070BA"/>
    <w:rsid w:val="322A6600"/>
    <w:rsid w:val="32342B66"/>
    <w:rsid w:val="32385168"/>
    <w:rsid w:val="323B0398"/>
    <w:rsid w:val="323E1390"/>
    <w:rsid w:val="323E39E4"/>
    <w:rsid w:val="323E5792"/>
    <w:rsid w:val="324E07EA"/>
    <w:rsid w:val="325161E5"/>
    <w:rsid w:val="32523F5D"/>
    <w:rsid w:val="32566454"/>
    <w:rsid w:val="325B6344"/>
    <w:rsid w:val="32655415"/>
    <w:rsid w:val="326920C0"/>
    <w:rsid w:val="326B4842"/>
    <w:rsid w:val="326D1CBA"/>
    <w:rsid w:val="3271024F"/>
    <w:rsid w:val="32715B68"/>
    <w:rsid w:val="32751A7E"/>
    <w:rsid w:val="32765427"/>
    <w:rsid w:val="327A0EC0"/>
    <w:rsid w:val="327A6AF2"/>
    <w:rsid w:val="327B4FB4"/>
    <w:rsid w:val="327D518A"/>
    <w:rsid w:val="32805DAB"/>
    <w:rsid w:val="328062C5"/>
    <w:rsid w:val="3281224F"/>
    <w:rsid w:val="32851613"/>
    <w:rsid w:val="328C4750"/>
    <w:rsid w:val="329027F6"/>
    <w:rsid w:val="32A93554"/>
    <w:rsid w:val="32B1215D"/>
    <w:rsid w:val="32B2743A"/>
    <w:rsid w:val="32B334A9"/>
    <w:rsid w:val="32B53CA7"/>
    <w:rsid w:val="32BA306B"/>
    <w:rsid w:val="32CC40EF"/>
    <w:rsid w:val="32CE04BE"/>
    <w:rsid w:val="32CE3007"/>
    <w:rsid w:val="32D61E6F"/>
    <w:rsid w:val="32DB5E9A"/>
    <w:rsid w:val="32DD31FD"/>
    <w:rsid w:val="32E23B47"/>
    <w:rsid w:val="32E4458C"/>
    <w:rsid w:val="32E73282"/>
    <w:rsid w:val="32F01183"/>
    <w:rsid w:val="32F04CDF"/>
    <w:rsid w:val="32F6606D"/>
    <w:rsid w:val="32FA0755"/>
    <w:rsid w:val="32FA0DA8"/>
    <w:rsid w:val="32FD22FD"/>
    <w:rsid w:val="3302711A"/>
    <w:rsid w:val="330662B0"/>
    <w:rsid w:val="330A65B4"/>
    <w:rsid w:val="330B38C7"/>
    <w:rsid w:val="330E3B79"/>
    <w:rsid w:val="330F60CC"/>
    <w:rsid w:val="331309CD"/>
    <w:rsid w:val="33176749"/>
    <w:rsid w:val="33184235"/>
    <w:rsid w:val="331D184C"/>
    <w:rsid w:val="331D35FA"/>
    <w:rsid w:val="33235DEF"/>
    <w:rsid w:val="3329614A"/>
    <w:rsid w:val="332B5D17"/>
    <w:rsid w:val="332C31B3"/>
    <w:rsid w:val="332E1CAB"/>
    <w:rsid w:val="33304B60"/>
    <w:rsid w:val="33310A59"/>
    <w:rsid w:val="33361796"/>
    <w:rsid w:val="33370B5F"/>
    <w:rsid w:val="333A024F"/>
    <w:rsid w:val="334A3B6B"/>
    <w:rsid w:val="334D2131"/>
    <w:rsid w:val="334D51BC"/>
    <w:rsid w:val="334D66C9"/>
    <w:rsid w:val="334F16BF"/>
    <w:rsid w:val="33550FE6"/>
    <w:rsid w:val="33571C4D"/>
    <w:rsid w:val="335F00B6"/>
    <w:rsid w:val="33604E27"/>
    <w:rsid w:val="3361798A"/>
    <w:rsid w:val="336631F3"/>
    <w:rsid w:val="3369683F"/>
    <w:rsid w:val="336970F4"/>
    <w:rsid w:val="3371013C"/>
    <w:rsid w:val="337376BE"/>
    <w:rsid w:val="33746DD8"/>
    <w:rsid w:val="337C47C4"/>
    <w:rsid w:val="337F36C7"/>
    <w:rsid w:val="33802506"/>
    <w:rsid w:val="33884F17"/>
    <w:rsid w:val="338B0EAB"/>
    <w:rsid w:val="338C61BF"/>
    <w:rsid w:val="33927790"/>
    <w:rsid w:val="33962A97"/>
    <w:rsid w:val="339E0BDF"/>
    <w:rsid w:val="33A022D5"/>
    <w:rsid w:val="33A37FA3"/>
    <w:rsid w:val="33A855B9"/>
    <w:rsid w:val="33AB6E58"/>
    <w:rsid w:val="33AE06F6"/>
    <w:rsid w:val="33B27D57"/>
    <w:rsid w:val="33B421B0"/>
    <w:rsid w:val="33B7001B"/>
    <w:rsid w:val="33B96FA5"/>
    <w:rsid w:val="33BC29FD"/>
    <w:rsid w:val="33BC2E13"/>
    <w:rsid w:val="33C0280E"/>
    <w:rsid w:val="33C361B3"/>
    <w:rsid w:val="33C543BD"/>
    <w:rsid w:val="33CF0D98"/>
    <w:rsid w:val="33D20888"/>
    <w:rsid w:val="33D24B7B"/>
    <w:rsid w:val="33DE722D"/>
    <w:rsid w:val="33E16D1D"/>
    <w:rsid w:val="33EF4F96"/>
    <w:rsid w:val="33F47E32"/>
    <w:rsid w:val="33FC5905"/>
    <w:rsid w:val="33FE56CA"/>
    <w:rsid w:val="34012F1B"/>
    <w:rsid w:val="340622E0"/>
    <w:rsid w:val="340E1496"/>
    <w:rsid w:val="340F7177"/>
    <w:rsid w:val="340F73E6"/>
    <w:rsid w:val="341472E4"/>
    <w:rsid w:val="341D307C"/>
    <w:rsid w:val="34237336"/>
    <w:rsid w:val="342750AF"/>
    <w:rsid w:val="342F7A89"/>
    <w:rsid w:val="34343FC0"/>
    <w:rsid w:val="343B422E"/>
    <w:rsid w:val="34403A44"/>
    <w:rsid w:val="34404ADF"/>
    <w:rsid w:val="344057F2"/>
    <w:rsid w:val="344A2B14"/>
    <w:rsid w:val="344B50C9"/>
    <w:rsid w:val="344C23E9"/>
    <w:rsid w:val="344C4197"/>
    <w:rsid w:val="344D7F0F"/>
    <w:rsid w:val="345029CF"/>
    <w:rsid w:val="34515C51"/>
    <w:rsid w:val="34533777"/>
    <w:rsid w:val="34542E93"/>
    <w:rsid w:val="34550433"/>
    <w:rsid w:val="34565015"/>
    <w:rsid w:val="34580D8D"/>
    <w:rsid w:val="34602FDD"/>
    <w:rsid w:val="346333F2"/>
    <w:rsid w:val="34645984"/>
    <w:rsid w:val="3467447F"/>
    <w:rsid w:val="346911EC"/>
    <w:rsid w:val="346D5797"/>
    <w:rsid w:val="34701C83"/>
    <w:rsid w:val="34703567"/>
    <w:rsid w:val="34762F98"/>
    <w:rsid w:val="347656B7"/>
    <w:rsid w:val="34796F56"/>
    <w:rsid w:val="34802092"/>
    <w:rsid w:val="34806536"/>
    <w:rsid w:val="34822315"/>
    <w:rsid w:val="34873421"/>
    <w:rsid w:val="34897199"/>
    <w:rsid w:val="348A4CBF"/>
    <w:rsid w:val="348B300C"/>
    <w:rsid w:val="348C0A37"/>
    <w:rsid w:val="348E2A01"/>
    <w:rsid w:val="34906BAC"/>
    <w:rsid w:val="34951ECC"/>
    <w:rsid w:val="3498562E"/>
    <w:rsid w:val="349B2A17"/>
    <w:rsid w:val="349F41F7"/>
    <w:rsid w:val="34A46DF0"/>
    <w:rsid w:val="34AA710F"/>
    <w:rsid w:val="34AE6BFF"/>
    <w:rsid w:val="34AF2977"/>
    <w:rsid w:val="34AF4725"/>
    <w:rsid w:val="34B306BA"/>
    <w:rsid w:val="34B81C83"/>
    <w:rsid w:val="34C14383"/>
    <w:rsid w:val="34C50A52"/>
    <w:rsid w:val="34C93A39"/>
    <w:rsid w:val="34CA0ED9"/>
    <w:rsid w:val="34D126EC"/>
    <w:rsid w:val="34D616D8"/>
    <w:rsid w:val="34D94987"/>
    <w:rsid w:val="34DB376C"/>
    <w:rsid w:val="34DF325D"/>
    <w:rsid w:val="34EE16F2"/>
    <w:rsid w:val="34EF03DE"/>
    <w:rsid w:val="34F0546A"/>
    <w:rsid w:val="350031D3"/>
    <w:rsid w:val="35004C19"/>
    <w:rsid w:val="350727B3"/>
    <w:rsid w:val="350C3202"/>
    <w:rsid w:val="35123632"/>
    <w:rsid w:val="351A58A5"/>
    <w:rsid w:val="351A5A93"/>
    <w:rsid w:val="351D5B33"/>
    <w:rsid w:val="35215623"/>
    <w:rsid w:val="3526336A"/>
    <w:rsid w:val="352D221A"/>
    <w:rsid w:val="353335A8"/>
    <w:rsid w:val="35350B70"/>
    <w:rsid w:val="35357321"/>
    <w:rsid w:val="3538602B"/>
    <w:rsid w:val="353B0B1D"/>
    <w:rsid w:val="353B24CA"/>
    <w:rsid w:val="35496928"/>
    <w:rsid w:val="354B36CB"/>
    <w:rsid w:val="354B6B44"/>
    <w:rsid w:val="354C01C6"/>
    <w:rsid w:val="354D5BFB"/>
    <w:rsid w:val="354D6418"/>
    <w:rsid w:val="35586B6B"/>
    <w:rsid w:val="355C77E1"/>
    <w:rsid w:val="35613C72"/>
    <w:rsid w:val="3563249F"/>
    <w:rsid w:val="35635C3C"/>
    <w:rsid w:val="35650FA3"/>
    <w:rsid w:val="356B689E"/>
    <w:rsid w:val="356C2617"/>
    <w:rsid w:val="356E638F"/>
    <w:rsid w:val="357207F2"/>
    <w:rsid w:val="357240D1"/>
    <w:rsid w:val="357339A5"/>
    <w:rsid w:val="35760FBE"/>
    <w:rsid w:val="357A11D7"/>
    <w:rsid w:val="357A18B9"/>
    <w:rsid w:val="3580163E"/>
    <w:rsid w:val="35825CA7"/>
    <w:rsid w:val="35833D31"/>
    <w:rsid w:val="358B6F41"/>
    <w:rsid w:val="35951755"/>
    <w:rsid w:val="359A7184"/>
    <w:rsid w:val="359B1442"/>
    <w:rsid w:val="359F0C3E"/>
    <w:rsid w:val="35A149B6"/>
    <w:rsid w:val="35A63D7A"/>
    <w:rsid w:val="35B50461"/>
    <w:rsid w:val="35B53FBD"/>
    <w:rsid w:val="35B91D00"/>
    <w:rsid w:val="35BC76F1"/>
    <w:rsid w:val="35C773D6"/>
    <w:rsid w:val="35CB1A33"/>
    <w:rsid w:val="35CC2F71"/>
    <w:rsid w:val="35CF507F"/>
    <w:rsid w:val="35D02AD2"/>
    <w:rsid w:val="35D30F8E"/>
    <w:rsid w:val="35DB75A1"/>
    <w:rsid w:val="35DC59EE"/>
    <w:rsid w:val="35E87EEF"/>
    <w:rsid w:val="35E93C67"/>
    <w:rsid w:val="35EA2894"/>
    <w:rsid w:val="35EF4C65"/>
    <w:rsid w:val="35F25212"/>
    <w:rsid w:val="35F9034E"/>
    <w:rsid w:val="35FA7C22"/>
    <w:rsid w:val="35FB1202"/>
    <w:rsid w:val="360413AA"/>
    <w:rsid w:val="36050AA1"/>
    <w:rsid w:val="360867E3"/>
    <w:rsid w:val="360B2D37"/>
    <w:rsid w:val="36195DA0"/>
    <w:rsid w:val="36215FC8"/>
    <w:rsid w:val="36254EC5"/>
    <w:rsid w:val="36302B76"/>
    <w:rsid w:val="3630680D"/>
    <w:rsid w:val="36315D3A"/>
    <w:rsid w:val="363825A6"/>
    <w:rsid w:val="36394BEF"/>
    <w:rsid w:val="363B0967"/>
    <w:rsid w:val="3644567E"/>
    <w:rsid w:val="364A2958"/>
    <w:rsid w:val="364C4922"/>
    <w:rsid w:val="36507921"/>
    <w:rsid w:val="36545E50"/>
    <w:rsid w:val="36592A97"/>
    <w:rsid w:val="365A6A30"/>
    <w:rsid w:val="365E1446"/>
    <w:rsid w:val="365E6403"/>
    <w:rsid w:val="36624145"/>
    <w:rsid w:val="36637533"/>
    <w:rsid w:val="366559E4"/>
    <w:rsid w:val="36681030"/>
    <w:rsid w:val="366E2AEA"/>
    <w:rsid w:val="36730100"/>
    <w:rsid w:val="367714D5"/>
    <w:rsid w:val="36794FEB"/>
    <w:rsid w:val="367D0F7F"/>
    <w:rsid w:val="367E0853"/>
    <w:rsid w:val="3681393B"/>
    <w:rsid w:val="3681419A"/>
    <w:rsid w:val="368A3DF1"/>
    <w:rsid w:val="369260AD"/>
    <w:rsid w:val="36943E69"/>
    <w:rsid w:val="36944BFA"/>
    <w:rsid w:val="369D33CF"/>
    <w:rsid w:val="36A111C5"/>
    <w:rsid w:val="36A75D66"/>
    <w:rsid w:val="36AC3612"/>
    <w:rsid w:val="36B06652"/>
    <w:rsid w:val="36B424C7"/>
    <w:rsid w:val="36B50719"/>
    <w:rsid w:val="36B6623F"/>
    <w:rsid w:val="36BD5820"/>
    <w:rsid w:val="36C13DB6"/>
    <w:rsid w:val="36C47130"/>
    <w:rsid w:val="36C62A73"/>
    <w:rsid w:val="36C7044C"/>
    <w:rsid w:val="36C73FA8"/>
    <w:rsid w:val="36CE0556"/>
    <w:rsid w:val="36D32BC4"/>
    <w:rsid w:val="36DA111C"/>
    <w:rsid w:val="36DB5CA6"/>
    <w:rsid w:val="36DF7544"/>
    <w:rsid w:val="36E034DA"/>
    <w:rsid w:val="36E27034"/>
    <w:rsid w:val="36EB4B1F"/>
    <w:rsid w:val="36EE608B"/>
    <w:rsid w:val="36F154C9"/>
    <w:rsid w:val="36FB00F6"/>
    <w:rsid w:val="36FF4A43"/>
    <w:rsid w:val="3700570C"/>
    <w:rsid w:val="37123663"/>
    <w:rsid w:val="37125486"/>
    <w:rsid w:val="3715740A"/>
    <w:rsid w:val="37180CA8"/>
    <w:rsid w:val="371F58E9"/>
    <w:rsid w:val="3720190B"/>
    <w:rsid w:val="37213AEB"/>
    <w:rsid w:val="372907BF"/>
    <w:rsid w:val="372E3A42"/>
    <w:rsid w:val="37305FF2"/>
    <w:rsid w:val="37332FDB"/>
    <w:rsid w:val="37375D11"/>
    <w:rsid w:val="37376A33"/>
    <w:rsid w:val="373C4433"/>
    <w:rsid w:val="3747231F"/>
    <w:rsid w:val="3747333B"/>
    <w:rsid w:val="374C2700"/>
    <w:rsid w:val="375110FC"/>
    <w:rsid w:val="37533A8E"/>
    <w:rsid w:val="375907F6"/>
    <w:rsid w:val="375B6998"/>
    <w:rsid w:val="375D05C6"/>
    <w:rsid w:val="37647A49"/>
    <w:rsid w:val="37672E6A"/>
    <w:rsid w:val="376B0DD8"/>
    <w:rsid w:val="376D0FF4"/>
    <w:rsid w:val="376F7A7E"/>
    <w:rsid w:val="37757EA8"/>
    <w:rsid w:val="377D4444"/>
    <w:rsid w:val="378B3228"/>
    <w:rsid w:val="379245B6"/>
    <w:rsid w:val="3793032E"/>
    <w:rsid w:val="379320DC"/>
    <w:rsid w:val="37971BCD"/>
    <w:rsid w:val="379C71E3"/>
    <w:rsid w:val="37AE5371"/>
    <w:rsid w:val="37AE72B0"/>
    <w:rsid w:val="37B55BE7"/>
    <w:rsid w:val="37B564F7"/>
    <w:rsid w:val="37C4498C"/>
    <w:rsid w:val="37C910AC"/>
    <w:rsid w:val="37CB5D1A"/>
    <w:rsid w:val="37CE4EB3"/>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F59C4"/>
    <w:rsid w:val="38006422"/>
    <w:rsid w:val="3802643A"/>
    <w:rsid w:val="38033FE9"/>
    <w:rsid w:val="38082ACA"/>
    <w:rsid w:val="380B25BB"/>
    <w:rsid w:val="3817332C"/>
    <w:rsid w:val="381C0324"/>
    <w:rsid w:val="381C20D2"/>
    <w:rsid w:val="382120F6"/>
    <w:rsid w:val="382221C6"/>
    <w:rsid w:val="382316B2"/>
    <w:rsid w:val="382611A3"/>
    <w:rsid w:val="38297F3C"/>
    <w:rsid w:val="382A6ED2"/>
    <w:rsid w:val="38305B7D"/>
    <w:rsid w:val="38312021"/>
    <w:rsid w:val="383523CC"/>
    <w:rsid w:val="383733B0"/>
    <w:rsid w:val="3838582C"/>
    <w:rsid w:val="38415FDC"/>
    <w:rsid w:val="38443AFE"/>
    <w:rsid w:val="38451629"/>
    <w:rsid w:val="384821C3"/>
    <w:rsid w:val="384B18C4"/>
    <w:rsid w:val="384E2B2B"/>
    <w:rsid w:val="38500D2A"/>
    <w:rsid w:val="38544223"/>
    <w:rsid w:val="385F6FF7"/>
    <w:rsid w:val="38637D01"/>
    <w:rsid w:val="38645B5F"/>
    <w:rsid w:val="386666E4"/>
    <w:rsid w:val="38675D29"/>
    <w:rsid w:val="3872263A"/>
    <w:rsid w:val="3873074E"/>
    <w:rsid w:val="38765C86"/>
    <w:rsid w:val="387D5D44"/>
    <w:rsid w:val="388008B3"/>
    <w:rsid w:val="3886639C"/>
    <w:rsid w:val="38896D41"/>
    <w:rsid w:val="388A20A7"/>
    <w:rsid w:val="38944A2F"/>
    <w:rsid w:val="389731AD"/>
    <w:rsid w:val="389D6705"/>
    <w:rsid w:val="389E359A"/>
    <w:rsid w:val="389E6F8B"/>
    <w:rsid w:val="38A01134"/>
    <w:rsid w:val="38A071A7"/>
    <w:rsid w:val="38A13033"/>
    <w:rsid w:val="38A816A5"/>
    <w:rsid w:val="38AF2F46"/>
    <w:rsid w:val="38B8629F"/>
    <w:rsid w:val="38BB18EB"/>
    <w:rsid w:val="38BD38B5"/>
    <w:rsid w:val="38C033A5"/>
    <w:rsid w:val="38C641BE"/>
    <w:rsid w:val="38C70290"/>
    <w:rsid w:val="38C74734"/>
    <w:rsid w:val="38C8225A"/>
    <w:rsid w:val="38D004F4"/>
    <w:rsid w:val="38D11671"/>
    <w:rsid w:val="38D64977"/>
    <w:rsid w:val="38D7229A"/>
    <w:rsid w:val="38E17D08"/>
    <w:rsid w:val="38ED3A6E"/>
    <w:rsid w:val="38ED5EE9"/>
    <w:rsid w:val="38EE78A6"/>
    <w:rsid w:val="38F4784B"/>
    <w:rsid w:val="38F8669B"/>
    <w:rsid w:val="38FB357D"/>
    <w:rsid w:val="38FE0D31"/>
    <w:rsid w:val="38FE5C7B"/>
    <w:rsid w:val="390037A2"/>
    <w:rsid w:val="3905525C"/>
    <w:rsid w:val="39055B44"/>
    <w:rsid w:val="3905700A"/>
    <w:rsid w:val="39065067"/>
    <w:rsid w:val="390E5EBF"/>
    <w:rsid w:val="390F0F9B"/>
    <w:rsid w:val="391330CA"/>
    <w:rsid w:val="391A0D07"/>
    <w:rsid w:val="391A2595"/>
    <w:rsid w:val="391B05DB"/>
    <w:rsid w:val="391F00CC"/>
    <w:rsid w:val="391F2C90"/>
    <w:rsid w:val="39241B86"/>
    <w:rsid w:val="39264A36"/>
    <w:rsid w:val="3938121A"/>
    <w:rsid w:val="393D1448"/>
    <w:rsid w:val="39462890"/>
    <w:rsid w:val="394C2E8B"/>
    <w:rsid w:val="39537D75"/>
    <w:rsid w:val="395435A5"/>
    <w:rsid w:val="39584887"/>
    <w:rsid w:val="39621846"/>
    <w:rsid w:val="39661562"/>
    <w:rsid w:val="3969383E"/>
    <w:rsid w:val="396C7FAA"/>
    <w:rsid w:val="396E2827"/>
    <w:rsid w:val="3971644D"/>
    <w:rsid w:val="397A3554"/>
    <w:rsid w:val="39815F30"/>
    <w:rsid w:val="39817A85"/>
    <w:rsid w:val="39873EC3"/>
    <w:rsid w:val="398E5251"/>
    <w:rsid w:val="398E6E86"/>
    <w:rsid w:val="39987E7E"/>
    <w:rsid w:val="399C227B"/>
    <w:rsid w:val="39A14F85"/>
    <w:rsid w:val="39A32CCC"/>
    <w:rsid w:val="39A71E6F"/>
    <w:rsid w:val="39A84565"/>
    <w:rsid w:val="39AC2F99"/>
    <w:rsid w:val="39B22E89"/>
    <w:rsid w:val="39B822CE"/>
    <w:rsid w:val="39BB5C8D"/>
    <w:rsid w:val="39C24EFB"/>
    <w:rsid w:val="39C40C73"/>
    <w:rsid w:val="39C4792F"/>
    <w:rsid w:val="39C72511"/>
    <w:rsid w:val="39D43DF0"/>
    <w:rsid w:val="39D76BE6"/>
    <w:rsid w:val="39D95CDA"/>
    <w:rsid w:val="39D97287"/>
    <w:rsid w:val="39DD05F6"/>
    <w:rsid w:val="39DF6CCE"/>
    <w:rsid w:val="39E23AB6"/>
    <w:rsid w:val="39E36545"/>
    <w:rsid w:val="39E76710"/>
    <w:rsid w:val="39EA1700"/>
    <w:rsid w:val="39EB1601"/>
    <w:rsid w:val="39F2758E"/>
    <w:rsid w:val="39F3557E"/>
    <w:rsid w:val="39FA031B"/>
    <w:rsid w:val="39FD13E3"/>
    <w:rsid w:val="39FE2691"/>
    <w:rsid w:val="3A053765"/>
    <w:rsid w:val="3A0D261A"/>
    <w:rsid w:val="3A0F7273"/>
    <w:rsid w:val="3A133241"/>
    <w:rsid w:val="3A15327D"/>
    <w:rsid w:val="3A155D7D"/>
    <w:rsid w:val="3A1F5EA9"/>
    <w:rsid w:val="3A2160C5"/>
    <w:rsid w:val="3A217E73"/>
    <w:rsid w:val="3A26309A"/>
    <w:rsid w:val="3A2762EE"/>
    <w:rsid w:val="3A2E0608"/>
    <w:rsid w:val="3A2F07E2"/>
    <w:rsid w:val="3A325BDD"/>
    <w:rsid w:val="3A347BA7"/>
    <w:rsid w:val="3A361B71"/>
    <w:rsid w:val="3A3C2EFF"/>
    <w:rsid w:val="3A3D4F53"/>
    <w:rsid w:val="3A3D6694"/>
    <w:rsid w:val="3A3E793E"/>
    <w:rsid w:val="3A3F0FB4"/>
    <w:rsid w:val="3A3F654C"/>
    <w:rsid w:val="3A451DB4"/>
    <w:rsid w:val="3A4554C0"/>
    <w:rsid w:val="3A4B6C9E"/>
    <w:rsid w:val="3A52627F"/>
    <w:rsid w:val="3A541FF7"/>
    <w:rsid w:val="3A5C5C73"/>
    <w:rsid w:val="3A5D7F4E"/>
    <w:rsid w:val="3A5F274A"/>
    <w:rsid w:val="3A6400FD"/>
    <w:rsid w:val="3A652CCE"/>
    <w:rsid w:val="3A687850"/>
    <w:rsid w:val="3A6A7A6C"/>
    <w:rsid w:val="3A6D130B"/>
    <w:rsid w:val="3A7601BF"/>
    <w:rsid w:val="3A7B3A28"/>
    <w:rsid w:val="3A7B57D6"/>
    <w:rsid w:val="3A7F2D56"/>
    <w:rsid w:val="3A8114EC"/>
    <w:rsid w:val="3A89770A"/>
    <w:rsid w:val="3A916E4E"/>
    <w:rsid w:val="3A9643BE"/>
    <w:rsid w:val="3A9C574C"/>
    <w:rsid w:val="3A9D6889"/>
    <w:rsid w:val="3AA20FB4"/>
    <w:rsid w:val="3AA661B2"/>
    <w:rsid w:val="3AA86CE8"/>
    <w:rsid w:val="3AAA60BB"/>
    <w:rsid w:val="3AAC1E33"/>
    <w:rsid w:val="3AAD713E"/>
    <w:rsid w:val="3AAE452D"/>
    <w:rsid w:val="3AB17449"/>
    <w:rsid w:val="3AB412B2"/>
    <w:rsid w:val="3ABB0191"/>
    <w:rsid w:val="3ABC7B9C"/>
    <w:rsid w:val="3ABE1B66"/>
    <w:rsid w:val="3AC23BAE"/>
    <w:rsid w:val="3AC62888"/>
    <w:rsid w:val="3AC75726"/>
    <w:rsid w:val="3AC76C6D"/>
    <w:rsid w:val="3AC96ADB"/>
    <w:rsid w:val="3ACD1B62"/>
    <w:rsid w:val="3AD01F1E"/>
    <w:rsid w:val="3AD46C94"/>
    <w:rsid w:val="3AD60179"/>
    <w:rsid w:val="3AD924FC"/>
    <w:rsid w:val="3ADB44B4"/>
    <w:rsid w:val="3ADD6169"/>
    <w:rsid w:val="3ADE5C5A"/>
    <w:rsid w:val="3ADF7F71"/>
    <w:rsid w:val="3AE157E3"/>
    <w:rsid w:val="3AE315CD"/>
    <w:rsid w:val="3AE3337B"/>
    <w:rsid w:val="3AE56A44"/>
    <w:rsid w:val="3AE6618E"/>
    <w:rsid w:val="3AE8273F"/>
    <w:rsid w:val="3AE945BB"/>
    <w:rsid w:val="3AEA64B7"/>
    <w:rsid w:val="3AEC31E6"/>
    <w:rsid w:val="3AEE244B"/>
    <w:rsid w:val="3AFC1070"/>
    <w:rsid w:val="3AFC4F2B"/>
    <w:rsid w:val="3B027CA5"/>
    <w:rsid w:val="3B077069"/>
    <w:rsid w:val="3B0A0908"/>
    <w:rsid w:val="3B0A6B5A"/>
    <w:rsid w:val="3B184F27"/>
    <w:rsid w:val="3B1A3241"/>
    <w:rsid w:val="3B1B0D67"/>
    <w:rsid w:val="3B21462B"/>
    <w:rsid w:val="3B2220F5"/>
    <w:rsid w:val="3B2350B9"/>
    <w:rsid w:val="3B24045C"/>
    <w:rsid w:val="3B2E6E59"/>
    <w:rsid w:val="3B31058A"/>
    <w:rsid w:val="3B3977BC"/>
    <w:rsid w:val="3B3A5A9B"/>
    <w:rsid w:val="3B3A743F"/>
    <w:rsid w:val="3B3C598C"/>
    <w:rsid w:val="3B3E6803"/>
    <w:rsid w:val="3B3F2CA7"/>
    <w:rsid w:val="3B3F6576"/>
    <w:rsid w:val="3B401561"/>
    <w:rsid w:val="3B415017"/>
    <w:rsid w:val="3B4C1CE5"/>
    <w:rsid w:val="3B51577D"/>
    <w:rsid w:val="3B561D9F"/>
    <w:rsid w:val="3B5D137F"/>
    <w:rsid w:val="3B6224F2"/>
    <w:rsid w:val="3B672317"/>
    <w:rsid w:val="3B6B3A9C"/>
    <w:rsid w:val="3B6E70E8"/>
    <w:rsid w:val="3B762441"/>
    <w:rsid w:val="3B7A5A8D"/>
    <w:rsid w:val="3B7D557D"/>
    <w:rsid w:val="3B7E4EA7"/>
    <w:rsid w:val="3B8406BA"/>
    <w:rsid w:val="3B8B3833"/>
    <w:rsid w:val="3B8C756F"/>
    <w:rsid w:val="3B903503"/>
    <w:rsid w:val="3B964F65"/>
    <w:rsid w:val="3B974891"/>
    <w:rsid w:val="3B9F3746"/>
    <w:rsid w:val="3BA823FC"/>
    <w:rsid w:val="3BB72406"/>
    <w:rsid w:val="3BB84807"/>
    <w:rsid w:val="3BBC611C"/>
    <w:rsid w:val="3BBF7944"/>
    <w:rsid w:val="3BC02A4E"/>
    <w:rsid w:val="3BC211E2"/>
    <w:rsid w:val="3BD43D6B"/>
    <w:rsid w:val="3BD80A06"/>
    <w:rsid w:val="3BE12B3C"/>
    <w:rsid w:val="3BE3642D"/>
    <w:rsid w:val="3BF205FF"/>
    <w:rsid w:val="3BFA6BCE"/>
    <w:rsid w:val="3BFE0815"/>
    <w:rsid w:val="3BFE66BE"/>
    <w:rsid w:val="3C004876"/>
    <w:rsid w:val="3C0B19F1"/>
    <w:rsid w:val="3C131A08"/>
    <w:rsid w:val="3C131A3E"/>
    <w:rsid w:val="3C1557B6"/>
    <w:rsid w:val="3C171A5F"/>
    <w:rsid w:val="3C175980"/>
    <w:rsid w:val="3C213BAF"/>
    <w:rsid w:val="3C290172"/>
    <w:rsid w:val="3C29300F"/>
    <w:rsid w:val="3C2B3D1A"/>
    <w:rsid w:val="3C2B6D87"/>
    <w:rsid w:val="3C2B7832"/>
    <w:rsid w:val="3C2C4053"/>
    <w:rsid w:val="3C395948"/>
    <w:rsid w:val="3C434910"/>
    <w:rsid w:val="3C487939"/>
    <w:rsid w:val="3C4B1FA8"/>
    <w:rsid w:val="3C574020"/>
    <w:rsid w:val="3C597D99"/>
    <w:rsid w:val="3C5A45CF"/>
    <w:rsid w:val="3C600D3F"/>
    <w:rsid w:val="3C667DC0"/>
    <w:rsid w:val="3C681D8A"/>
    <w:rsid w:val="3C68787F"/>
    <w:rsid w:val="3C6B187A"/>
    <w:rsid w:val="3C6B4DFB"/>
    <w:rsid w:val="3C700C3E"/>
    <w:rsid w:val="3C7544A7"/>
    <w:rsid w:val="3C7603D2"/>
    <w:rsid w:val="3C7655B7"/>
    <w:rsid w:val="3C7E77FF"/>
    <w:rsid w:val="3C8077EA"/>
    <w:rsid w:val="3C81292C"/>
    <w:rsid w:val="3C88242C"/>
    <w:rsid w:val="3C8B6976"/>
    <w:rsid w:val="3C8C2BC5"/>
    <w:rsid w:val="3C8F1A03"/>
    <w:rsid w:val="3C8F2821"/>
    <w:rsid w:val="3C9012E0"/>
    <w:rsid w:val="3C9E57AB"/>
    <w:rsid w:val="3CA01BC2"/>
    <w:rsid w:val="3CA03531"/>
    <w:rsid w:val="3CA50080"/>
    <w:rsid w:val="3CAF79B9"/>
    <w:rsid w:val="3CB32506"/>
    <w:rsid w:val="3CB63D30"/>
    <w:rsid w:val="3CBB4F2E"/>
    <w:rsid w:val="3CBC1920"/>
    <w:rsid w:val="3CBC3E83"/>
    <w:rsid w:val="3CC86A29"/>
    <w:rsid w:val="3CCA65A0"/>
    <w:rsid w:val="3CCD1D80"/>
    <w:rsid w:val="3CCF005B"/>
    <w:rsid w:val="3CD967E3"/>
    <w:rsid w:val="3CDB20A0"/>
    <w:rsid w:val="3CDE204C"/>
    <w:rsid w:val="3CE35102"/>
    <w:rsid w:val="3CE60F00"/>
    <w:rsid w:val="3CFD25D6"/>
    <w:rsid w:val="3D037D04"/>
    <w:rsid w:val="3D0715A3"/>
    <w:rsid w:val="3D095CEF"/>
    <w:rsid w:val="3D0F414A"/>
    <w:rsid w:val="3D103642"/>
    <w:rsid w:val="3D145A6E"/>
    <w:rsid w:val="3D1B5254"/>
    <w:rsid w:val="3D1D50D0"/>
    <w:rsid w:val="3D25222F"/>
    <w:rsid w:val="3D2832C7"/>
    <w:rsid w:val="3D2A1DC6"/>
    <w:rsid w:val="3D2E2FD3"/>
    <w:rsid w:val="3D2E4D81"/>
    <w:rsid w:val="3D356E4E"/>
    <w:rsid w:val="3D394B53"/>
    <w:rsid w:val="3D3A1136"/>
    <w:rsid w:val="3D3B749E"/>
    <w:rsid w:val="3D3E0322"/>
    <w:rsid w:val="3D3E0D3C"/>
    <w:rsid w:val="3D4124DC"/>
    <w:rsid w:val="3D42082D"/>
    <w:rsid w:val="3D472518"/>
    <w:rsid w:val="3D483969"/>
    <w:rsid w:val="3D4A148F"/>
    <w:rsid w:val="3D4F2F4A"/>
    <w:rsid w:val="3D524314"/>
    <w:rsid w:val="3D5567B2"/>
    <w:rsid w:val="3D566086"/>
    <w:rsid w:val="3D5833B0"/>
    <w:rsid w:val="3D5B369C"/>
    <w:rsid w:val="3D5D11C3"/>
    <w:rsid w:val="3D5D5666"/>
    <w:rsid w:val="3D5F01E8"/>
    <w:rsid w:val="3D6562C9"/>
    <w:rsid w:val="3D6632CE"/>
    <w:rsid w:val="3D66348F"/>
    <w:rsid w:val="3D6658FE"/>
    <w:rsid w:val="3D6A2EE3"/>
    <w:rsid w:val="3D6A386C"/>
    <w:rsid w:val="3D6C7658"/>
    <w:rsid w:val="3D7A7FC6"/>
    <w:rsid w:val="3D7F382F"/>
    <w:rsid w:val="3D7F5D88"/>
    <w:rsid w:val="3D7F6C45"/>
    <w:rsid w:val="3D8250CD"/>
    <w:rsid w:val="3D831949"/>
    <w:rsid w:val="3D8B040A"/>
    <w:rsid w:val="3D8C5F4C"/>
    <w:rsid w:val="3D8E3A72"/>
    <w:rsid w:val="3D912D0A"/>
    <w:rsid w:val="3D931088"/>
    <w:rsid w:val="3D954E00"/>
    <w:rsid w:val="3D9B65E3"/>
    <w:rsid w:val="3D9D1F07"/>
    <w:rsid w:val="3DA52B6A"/>
    <w:rsid w:val="3DA9265A"/>
    <w:rsid w:val="3DAF1B5E"/>
    <w:rsid w:val="3DAF5796"/>
    <w:rsid w:val="3DB35286"/>
    <w:rsid w:val="3DB646B6"/>
    <w:rsid w:val="3DB73C74"/>
    <w:rsid w:val="3DB8289D"/>
    <w:rsid w:val="3DB83232"/>
    <w:rsid w:val="3DBC05DF"/>
    <w:rsid w:val="3DBF40D8"/>
    <w:rsid w:val="3DC27020"/>
    <w:rsid w:val="3DC56D68"/>
    <w:rsid w:val="3DCC6348"/>
    <w:rsid w:val="3DD31485"/>
    <w:rsid w:val="3DD441F1"/>
    <w:rsid w:val="3DD6576A"/>
    <w:rsid w:val="3DD86A9B"/>
    <w:rsid w:val="3DDA7882"/>
    <w:rsid w:val="3DDF607B"/>
    <w:rsid w:val="3DE15BC8"/>
    <w:rsid w:val="3DE37306"/>
    <w:rsid w:val="3DE47B36"/>
    <w:rsid w:val="3DE93370"/>
    <w:rsid w:val="3DEB0EC4"/>
    <w:rsid w:val="3DEB4836"/>
    <w:rsid w:val="3DEE62BF"/>
    <w:rsid w:val="3DF0662A"/>
    <w:rsid w:val="3DF5589F"/>
    <w:rsid w:val="3DFA2EB5"/>
    <w:rsid w:val="3DFD1787"/>
    <w:rsid w:val="3E00245E"/>
    <w:rsid w:val="3E02162D"/>
    <w:rsid w:val="3E062D99"/>
    <w:rsid w:val="3E067AAC"/>
    <w:rsid w:val="3E10092B"/>
    <w:rsid w:val="3E104F52"/>
    <w:rsid w:val="3E1334F8"/>
    <w:rsid w:val="3E172AA3"/>
    <w:rsid w:val="3E1864B0"/>
    <w:rsid w:val="3E1C457E"/>
    <w:rsid w:val="3E1E2BFE"/>
    <w:rsid w:val="3E1F46CA"/>
    <w:rsid w:val="3E1F552D"/>
    <w:rsid w:val="3E237209"/>
    <w:rsid w:val="3E253286"/>
    <w:rsid w:val="3E29379B"/>
    <w:rsid w:val="3E344619"/>
    <w:rsid w:val="3E3839DE"/>
    <w:rsid w:val="3E3A1504"/>
    <w:rsid w:val="3E3D2DA2"/>
    <w:rsid w:val="3E407E8E"/>
    <w:rsid w:val="3E4104AD"/>
    <w:rsid w:val="3E4504D0"/>
    <w:rsid w:val="3E453D00"/>
    <w:rsid w:val="3E467EA9"/>
    <w:rsid w:val="3E4D4B98"/>
    <w:rsid w:val="3E5129D7"/>
    <w:rsid w:val="3E54320C"/>
    <w:rsid w:val="3E555110"/>
    <w:rsid w:val="3E5A3954"/>
    <w:rsid w:val="3E5C147A"/>
    <w:rsid w:val="3E5D51F2"/>
    <w:rsid w:val="3E5E3444"/>
    <w:rsid w:val="3E60767B"/>
    <w:rsid w:val="3E6B3DB3"/>
    <w:rsid w:val="3E7210B7"/>
    <w:rsid w:val="3E755785"/>
    <w:rsid w:val="3E7757FA"/>
    <w:rsid w:val="3E7C747A"/>
    <w:rsid w:val="3E822812"/>
    <w:rsid w:val="3E8310FD"/>
    <w:rsid w:val="3E845132"/>
    <w:rsid w:val="3E860BED"/>
    <w:rsid w:val="3E86299B"/>
    <w:rsid w:val="3E8B6203"/>
    <w:rsid w:val="3E8D1F7B"/>
    <w:rsid w:val="3E906080"/>
    <w:rsid w:val="3E95498C"/>
    <w:rsid w:val="3E962118"/>
    <w:rsid w:val="3E9B1F29"/>
    <w:rsid w:val="3E9F7300"/>
    <w:rsid w:val="3EA13331"/>
    <w:rsid w:val="3EA6303D"/>
    <w:rsid w:val="3EA80B63"/>
    <w:rsid w:val="3EA90D87"/>
    <w:rsid w:val="3EAD642E"/>
    <w:rsid w:val="3EB05E1A"/>
    <w:rsid w:val="3EB47508"/>
    <w:rsid w:val="3EB56AD2"/>
    <w:rsid w:val="3EB56CCB"/>
    <w:rsid w:val="3EB56DDC"/>
    <w:rsid w:val="3EBC016B"/>
    <w:rsid w:val="3EBE3EE3"/>
    <w:rsid w:val="3EBF502E"/>
    <w:rsid w:val="3ECD05CA"/>
    <w:rsid w:val="3ECD2378"/>
    <w:rsid w:val="3ED41958"/>
    <w:rsid w:val="3EDA6843"/>
    <w:rsid w:val="3EDD6FEC"/>
    <w:rsid w:val="3EE27D90"/>
    <w:rsid w:val="3EE85004"/>
    <w:rsid w:val="3EEB139D"/>
    <w:rsid w:val="3EEC4EF4"/>
    <w:rsid w:val="3EED43A1"/>
    <w:rsid w:val="3EF15791"/>
    <w:rsid w:val="3EF525B1"/>
    <w:rsid w:val="3EF67B21"/>
    <w:rsid w:val="3EF75647"/>
    <w:rsid w:val="3EF814B4"/>
    <w:rsid w:val="3EF9316D"/>
    <w:rsid w:val="3EFC4A0B"/>
    <w:rsid w:val="3EFF5CC0"/>
    <w:rsid w:val="3F00274D"/>
    <w:rsid w:val="3F051C53"/>
    <w:rsid w:val="3F075CC4"/>
    <w:rsid w:val="3F0A7362"/>
    <w:rsid w:val="3F0F4D0A"/>
    <w:rsid w:val="3F134B07"/>
    <w:rsid w:val="3F161F71"/>
    <w:rsid w:val="3F171845"/>
    <w:rsid w:val="3F20694C"/>
    <w:rsid w:val="3F214472"/>
    <w:rsid w:val="3F2261CC"/>
    <w:rsid w:val="3F2327AF"/>
    <w:rsid w:val="3F30369F"/>
    <w:rsid w:val="3F3146B5"/>
    <w:rsid w:val="3F3E6DD2"/>
    <w:rsid w:val="3F453306"/>
    <w:rsid w:val="3F4C7741"/>
    <w:rsid w:val="3F566811"/>
    <w:rsid w:val="3F586A17"/>
    <w:rsid w:val="3F5D7549"/>
    <w:rsid w:val="3F634A8A"/>
    <w:rsid w:val="3F652489"/>
    <w:rsid w:val="3F6525B0"/>
    <w:rsid w:val="3F676329"/>
    <w:rsid w:val="3F685210"/>
    <w:rsid w:val="3F6853D5"/>
    <w:rsid w:val="3F6902F3"/>
    <w:rsid w:val="3F697D51"/>
    <w:rsid w:val="3F6D3AA2"/>
    <w:rsid w:val="3F6F51DD"/>
    <w:rsid w:val="3F715648"/>
    <w:rsid w:val="3F7A3EC1"/>
    <w:rsid w:val="3F7D5B12"/>
    <w:rsid w:val="3F7D5B4C"/>
    <w:rsid w:val="3F84625B"/>
    <w:rsid w:val="3F87756C"/>
    <w:rsid w:val="3F89502B"/>
    <w:rsid w:val="3F93536F"/>
    <w:rsid w:val="3F991855"/>
    <w:rsid w:val="3F9D61EE"/>
    <w:rsid w:val="3FA52D38"/>
    <w:rsid w:val="3FA64167"/>
    <w:rsid w:val="3FA7706D"/>
    <w:rsid w:val="3FAF7BD7"/>
    <w:rsid w:val="3FB11EA9"/>
    <w:rsid w:val="3FB35A12"/>
    <w:rsid w:val="3FB613E3"/>
    <w:rsid w:val="3FBD419A"/>
    <w:rsid w:val="3FBF580A"/>
    <w:rsid w:val="3FC217B1"/>
    <w:rsid w:val="3FC4792F"/>
    <w:rsid w:val="3FCB2D5B"/>
    <w:rsid w:val="3FCD55F4"/>
    <w:rsid w:val="3FCE45FA"/>
    <w:rsid w:val="3FD35E75"/>
    <w:rsid w:val="3FD575AC"/>
    <w:rsid w:val="3FD85478"/>
    <w:rsid w:val="3FDA2F9E"/>
    <w:rsid w:val="3FDB41B5"/>
    <w:rsid w:val="3FE80ABF"/>
    <w:rsid w:val="3FE94F8F"/>
    <w:rsid w:val="3FF343DB"/>
    <w:rsid w:val="3FF7787D"/>
    <w:rsid w:val="3FFC1167"/>
    <w:rsid w:val="3FFE3A45"/>
    <w:rsid w:val="3FFF47B3"/>
    <w:rsid w:val="400627B6"/>
    <w:rsid w:val="400718BA"/>
    <w:rsid w:val="40077B0C"/>
    <w:rsid w:val="40095632"/>
    <w:rsid w:val="40104C12"/>
    <w:rsid w:val="401F4E55"/>
    <w:rsid w:val="4020600A"/>
    <w:rsid w:val="402204A1"/>
    <w:rsid w:val="4024536D"/>
    <w:rsid w:val="402507DC"/>
    <w:rsid w:val="402814CD"/>
    <w:rsid w:val="40296E63"/>
    <w:rsid w:val="402B37FA"/>
    <w:rsid w:val="402D2248"/>
    <w:rsid w:val="402E6E46"/>
    <w:rsid w:val="40316936"/>
    <w:rsid w:val="403322C1"/>
    <w:rsid w:val="403839DE"/>
    <w:rsid w:val="403A3A3D"/>
    <w:rsid w:val="403B7942"/>
    <w:rsid w:val="403F3B8A"/>
    <w:rsid w:val="40460634"/>
    <w:rsid w:val="40466196"/>
    <w:rsid w:val="404E74E8"/>
    <w:rsid w:val="4052541B"/>
    <w:rsid w:val="40572841"/>
    <w:rsid w:val="4057639D"/>
    <w:rsid w:val="405A7913"/>
    <w:rsid w:val="405B6095"/>
    <w:rsid w:val="40657FDE"/>
    <w:rsid w:val="40661095"/>
    <w:rsid w:val="406805AA"/>
    <w:rsid w:val="4068695F"/>
    <w:rsid w:val="40692574"/>
    <w:rsid w:val="4074504C"/>
    <w:rsid w:val="407A652F"/>
    <w:rsid w:val="407C4056"/>
    <w:rsid w:val="407D76F5"/>
    <w:rsid w:val="40805505"/>
    <w:rsid w:val="40806076"/>
    <w:rsid w:val="40864ED4"/>
    <w:rsid w:val="40907B01"/>
    <w:rsid w:val="40916EC8"/>
    <w:rsid w:val="4092048B"/>
    <w:rsid w:val="40924E1B"/>
    <w:rsid w:val="409A0980"/>
    <w:rsid w:val="409C64A6"/>
    <w:rsid w:val="409E5184"/>
    <w:rsid w:val="409F15FF"/>
    <w:rsid w:val="409F22FD"/>
    <w:rsid w:val="40A315E2"/>
    <w:rsid w:val="40AA0BC3"/>
    <w:rsid w:val="40AD420F"/>
    <w:rsid w:val="40AE417A"/>
    <w:rsid w:val="40B51316"/>
    <w:rsid w:val="40B70553"/>
    <w:rsid w:val="40B76E3C"/>
    <w:rsid w:val="40BB2DD0"/>
    <w:rsid w:val="40BC6B48"/>
    <w:rsid w:val="40BE01CA"/>
    <w:rsid w:val="40C17CBA"/>
    <w:rsid w:val="40C31C84"/>
    <w:rsid w:val="40C34FB5"/>
    <w:rsid w:val="40CB28E7"/>
    <w:rsid w:val="40DB6278"/>
    <w:rsid w:val="40DF6392"/>
    <w:rsid w:val="40E13EB9"/>
    <w:rsid w:val="40E25413"/>
    <w:rsid w:val="40E25916"/>
    <w:rsid w:val="40E37C31"/>
    <w:rsid w:val="40E65973"/>
    <w:rsid w:val="40E85247"/>
    <w:rsid w:val="40E8793D"/>
    <w:rsid w:val="40EB11DB"/>
    <w:rsid w:val="40ED7946"/>
    <w:rsid w:val="40F005A0"/>
    <w:rsid w:val="40FF5A27"/>
    <w:rsid w:val="4100242A"/>
    <w:rsid w:val="410127AD"/>
    <w:rsid w:val="41036525"/>
    <w:rsid w:val="41061B71"/>
    <w:rsid w:val="41073406"/>
    <w:rsid w:val="410773D1"/>
    <w:rsid w:val="410F03F7"/>
    <w:rsid w:val="4110479E"/>
    <w:rsid w:val="41114A04"/>
    <w:rsid w:val="411676E2"/>
    <w:rsid w:val="41195D48"/>
    <w:rsid w:val="411A2C84"/>
    <w:rsid w:val="411B4114"/>
    <w:rsid w:val="411C53DD"/>
    <w:rsid w:val="411E04AF"/>
    <w:rsid w:val="411E6EBB"/>
    <w:rsid w:val="412344D1"/>
    <w:rsid w:val="412546ED"/>
    <w:rsid w:val="41261227"/>
    <w:rsid w:val="41285F8B"/>
    <w:rsid w:val="41297E4A"/>
    <w:rsid w:val="412D5350"/>
    <w:rsid w:val="412D6CD6"/>
    <w:rsid w:val="41320BB8"/>
    <w:rsid w:val="413606A8"/>
    <w:rsid w:val="41371047"/>
    <w:rsid w:val="413761CE"/>
    <w:rsid w:val="41384420"/>
    <w:rsid w:val="413B4DE9"/>
    <w:rsid w:val="414601C0"/>
    <w:rsid w:val="41467F5B"/>
    <w:rsid w:val="41517290"/>
    <w:rsid w:val="41545805"/>
    <w:rsid w:val="4157154C"/>
    <w:rsid w:val="41614FF9"/>
    <w:rsid w:val="416A064C"/>
    <w:rsid w:val="416C231C"/>
    <w:rsid w:val="41766A58"/>
    <w:rsid w:val="417C4D58"/>
    <w:rsid w:val="417D0085"/>
    <w:rsid w:val="417E7288"/>
    <w:rsid w:val="41820D27"/>
    <w:rsid w:val="41831414"/>
    <w:rsid w:val="41852AAA"/>
    <w:rsid w:val="418A09F4"/>
    <w:rsid w:val="41943621"/>
    <w:rsid w:val="4198167F"/>
    <w:rsid w:val="4199221E"/>
    <w:rsid w:val="41A76EB0"/>
    <w:rsid w:val="41AE20FE"/>
    <w:rsid w:val="41AF3FB7"/>
    <w:rsid w:val="41B14658"/>
    <w:rsid w:val="41B63641"/>
    <w:rsid w:val="41B810BD"/>
    <w:rsid w:val="41B82E6B"/>
    <w:rsid w:val="41C05B83"/>
    <w:rsid w:val="41C061C4"/>
    <w:rsid w:val="41C51A2C"/>
    <w:rsid w:val="41C63689"/>
    <w:rsid w:val="41CD7BCF"/>
    <w:rsid w:val="41D028AB"/>
    <w:rsid w:val="41D46317"/>
    <w:rsid w:val="41E06866"/>
    <w:rsid w:val="41E53E7C"/>
    <w:rsid w:val="41EA0655"/>
    <w:rsid w:val="41F06AA9"/>
    <w:rsid w:val="41F320F5"/>
    <w:rsid w:val="41F53BA3"/>
    <w:rsid w:val="41F63994"/>
    <w:rsid w:val="41FD11C6"/>
    <w:rsid w:val="42005828"/>
    <w:rsid w:val="420254C2"/>
    <w:rsid w:val="420D6715"/>
    <w:rsid w:val="42113129"/>
    <w:rsid w:val="42187DF8"/>
    <w:rsid w:val="421A1D78"/>
    <w:rsid w:val="421B789E"/>
    <w:rsid w:val="421D2E5F"/>
    <w:rsid w:val="421D7172"/>
    <w:rsid w:val="421F738E"/>
    <w:rsid w:val="4220360C"/>
    <w:rsid w:val="422420A8"/>
    <w:rsid w:val="42242A28"/>
    <w:rsid w:val="42294DF3"/>
    <w:rsid w:val="42295B17"/>
    <w:rsid w:val="422E137F"/>
    <w:rsid w:val="423275E6"/>
    <w:rsid w:val="42377BEE"/>
    <w:rsid w:val="42392B60"/>
    <w:rsid w:val="423D7123"/>
    <w:rsid w:val="42415557"/>
    <w:rsid w:val="4242307D"/>
    <w:rsid w:val="424566C9"/>
    <w:rsid w:val="42470693"/>
    <w:rsid w:val="424741EF"/>
    <w:rsid w:val="424B55BC"/>
    <w:rsid w:val="4251142E"/>
    <w:rsid w:val="4251506E"/>
    <w:rsid w:val="42554146"/>
    <w:rsid w:val="42562684"/>
    <w:rsid w:val="425E624A"/>
    <w:rsid w:val="426923B8"/>
    <w:rsid w:val="426B45E0"/>
    <w:rsid w:val="42736FB4"/>
    <w:rsid w:val="4278084D"/>
    <w:rsid w:val="427C5B2B"/>
    <w:rsid w:val="427E44E6"/>
    <w:rsid w:val="42862F6A"/>
    <w:rsid w:val="428E1E1E"/>
    <w:rsid w:val="42982C9D"/>
    <w:rsid w:val="429B2544"/>
    <w:rsid w:val="429C18FA"/>
    <w:rsid w:val="42A653BA"/>
    <w:rsid w:val="42A72EE0"/>
    <w:rsid w:val="42AC2E27"/>
    <w:rsid w:val="42AD1B8F"/>
    <w:rsid w:val="42B23D5F"/>
    <w:rsid w:val="42B813B2"/>
    <w:rsid w:val="42B9333F"/>
    <w:rsid w:val="42C85330"/>
    <w:rsid w:val="42CA554C"/>
    <w:rsid w:val="42CB7A99"/>
    <w:rsid w:val="42CD3FD6"/>
    <w:rsid w:val="42D80B91"/>
    <w:rsid w:val="42D812EB"/>
    <w:rsid w:val="42E357DD"/>
    <w:rsid w:val="42E83C24"/>
    <w:rsid w:val="42ED4D97"/>
    <w:rsid w:val="42F64163"/>
    <w:rsid w:val="42FE5101"/>
    <w:rsid w:val="430462D0"/>
    <w:rsid w:val="430B346F"/>
    <w:rsid w:val="430D5439"/>
    <w:rsid w:val="431466D8"/>
    <w:rsid w:val="43192030"/>
    <w:rsid w:val="43201866"/>
    <w:rsid w:val="43236A0A"/>
    <w:rsid w:val="432602A9"/>
    <w:rsid w:val="43266E38"/>
    <w:rsid w:val="43282273"/>
    <w:rsid w:val="43291B47"/>
    <w:rsid w:val="432D7889"/>
    <w:rsid w:val="43324AC2"/>
    <w:rsid w:val="433607FF"/>
    <w:rsid w:val="43372938"/>
    <w:rsid w:val="43394480"/>
    <w:rsid w:val="4342435E"/>
    <w:rsid w:val="434626F9"/>
    <w:rsid w:val="4347073B"/>
    <w:rsid w:val="4348021F"/>
    <w:rsid w:val="434B5F61"/>
    <w:rsid w:val="43577BBB"/>
    <w:rsid w:val="435C3CCA"/>
    <w:rsid w:val="435E1315"/>
    <w:rsid w:val="435E2926"/>
    <w:rsid w:val="435E3EE6"/>
    <w:rsid w:val="435E7877"/>
    <w:rsid w:val="435F53D1"/>
    <w:rsid w:val="4365224C"/>
    <w:rsid w:val="43655F7F"/>
    <w:rsid w:val="436F2E39"/>
    <w:rsid w:val="43760B92"/>
    <w:rsid w:val="43765BE6"/>
    <w:rsid w:val="43772091"/>
    <w:rsid w:val="43786DC8"/>
    <w:rsid w:val="437B6846"/>
    <w:rsid w:val="43841508"/>
    <w:rsid w:val="43846407"/>
    <w:rsid w:val="4387343D"/>
    <w:rsid w:val="43890033"/>
    <w:rsid w:val="438D1DAF"/>
    <w:rsid w:val="439134E8"/>
    <w:rsid w:val="43914A7E"/>
    <w:rsid w:val="439155EC"/>
    <w:rsid w:val="43917E18"/>
    <w:rsid w:val="4397110D"/>
    <w:rsid w:val="439B2A45"/>
    <w:rsid w:val="439D67BD"/>
    <w:rsid w:val="43A35D9D"/>
    <w:rsid w:val="43AE4076"/>
    <w:rsid w:val="43B27D8E"/>
    <w:rsid w:val="43B458B4"/>
    <w:rsid w:val="43B462D0"/>
    <w:rsid w:val="43BB4E95"/>
    <w:rsid w:val="43BD1491"/>
    <w:rsid w:val="43BD46FF"/>
    <w:rsid w:val="43C51E84"/>
    <w:rsid w:val="43C55D14"/>
    <w:rsid w:val="43C57150"/>
    <w:rsid w:val="43CC52F4"/>
    <w:rsid w:val="43CE1D1D"/>
    <w:rsid w:val="43D03D38"/>
    <w:rsid w:val="43D44D4F"/>
    <w:rsid w:val="43D877F5"/>
    <w:rsid w:val="43DB72E5"/>
    <w:rsid w:val="43E76025"/>
    <w:rsid w:val="43E91A02"/>
    <w:rsid w:val="43EA6644"/>
    <w:rsid w:val="43EF2D90"/>
    <w:rsid w:val="43F403A7"/>
    <w:rsid w:val="43F6411F"/>
    <w:rsid w:val="43FB0C50"/>
    <w:rsid w:val="43FE3539"/>
    <w:rsid w:val="43FE7FBC"/>
    <w:rsid w:val="44061E3D"/>
    <w:rsid w:val="44067D66"/>
    <w:rsid w:val="440A3726"/>
    <w:rsid w:val="440C3A50"/>
    <w:rsid w:val="44103BAB"/>
    <w:rsid w:val="441B1DD7"/>
    <w:rsid w:val="441B705A"/>
    <w:rsid w:val="441D60C9"/>
    <w:rsid w:val="441E71D2"/>
    <w:rsid w:val="441F0B81"/>
    <w:rsid w:val="441F3676"/>
    <w:rsid w:val="44226CC2"/>
    <w:rsid w:val="44285453"/>
    <w:rsid w:val="442A5B49"/>
    <w:rsid w:val="442C7B41"/>
    <w:rsid w:val="44315157"/>
    <w:rsid w:val="4432576B"/>
    <w:rsid w:val="44396285"/>
    <w:rsid w:val="443B7D84"/>
    <w:rsid w:val="443F5AC6"/>
    <w:rsid w:val="4444102C"/>
    <w:rsid w:val="44450C02"/>
    <w:rsid w:val="444E2B02"/>
    <w:rsid w:val="44501A81"/>
    <w:rsid w:val="44580BC7"/>
    <w:rsid w:val="445C6678"/>
    <w:rsid w:val="445D7CFA"/>
    <w:rsid w:val="44627A06"/>
    <w:rsid w:val="446333FF"/>
    <w:rsid w:val="447859E5"/>
    <w:rsid w:val="447B2A49"/>
    <w:rsid w:val="448903F9"/>
    <w:rsid w:val="448D1F05"/>
    <w:rsid w:val="4493196E"/>
    <w:rsid w:val="44953195"/>
    <w:rsid w:val="449D5D1E"/>
    <w:rsid w:val="44A07623"/>
    <w:rsid w:val="44A122DD"/>
    <w:rsid w:val="44A65B45"/>
    <w:rsid w:val="44A76A19"/>
    <w:rsid w:val="44A91191"/>
    <w:rsid w:val="44A973E3"/>
    <w:rsid w:val="44AA33B7"/>
    <w:rsid w:val="44BB053D"/>
    <w:rsid w:val="44BB226E"/>
    <w:rsid w:val="44BC7116"/>
    <w:rsid w:val="44BD7BE5"/>
    <w:rsid w:val="44BE3A3B"/>
    <w:rsid w:val="44C9538F"/>
    <w:rsid w:val="44CB55AC"/>
    <w:rsid w:val="44D04970"/>
    <w:rsid w:val="44D0671E"/>
    <w:rsid w:val="44D74953"/>
    <w:rsid w:val="44DC1E56"/>
    <w:rsid w:val="44DC505E"/>
    <w:rsid w:val="44F3065E"/>
    <w:rsid w:val="44F468B0"/>
    <w:rsid w:val="44F54C4A"/>
    <w:rsid w:val="44FB75C1"/>
    <w:rsid w:val="44FF34A7"/>
    <w:rsid w:val="450D34CE"/>
    <w:rsid w:val="450E47FA"/>
    <w:rsid w:val="450F36EA"/>
    <w:rsid w:val="45101210"/>
    <w:rsid w:val="451333CC"/>
    <w:rsid w:val="45155B43"/>
    <w:rsid w:val="45163F52"/>
    <w:rsid w:val="451906CE"/>
    <w:rsid w:val="451B0980"/>
    <w:rsid w:val="451D14A3"/>
    <w:rsid w:val="451E56DB"/>
    <w:rsid w:val="45237196"/>
    <w:rsid w:val="45246A6A"/>
    <w:rsid w:val="4528655A"/>
    <w:rsid w:val="452B7DF8"/>
    <w:rsid w:val="452F5D1D"/>
    <w:rsid w:val="453236C3"/>
    <w:rsid w:val="45350C77"/>
    <w:rsid w:val="45366DBD"/>
    <w:rsid w:val="453915B0"/>
    <w:rsid w:val="453B44DF"/>
    <w:rsid w:val="454021E6"/>
    <w:rsid w:val="45440EBA"/>
    <w:rsid w:val="45442C68"/>
    <w:rsid w:val="45451881"/>
    <w:rsid w:val="454964D0"/>
    <w:rsid w:val="45525299"/>
    <w:rsid w:val="455C6204"/>
    <w:rsid w:val="455E01CE"/>
    <w:rsid w:val="45633A36"/>
    <w:rsid w:val="45637592"/>
    <w:rsid w:val="456B28EB"/>
    <w:rsid w:val="456C495C"/>
    <w:rsid w:val="456F23DB"/>
    <w:rsid w:val="456F4189"/>
    <w:rsid w:val="45725A27"/>
    <w:rsid w:val="45777C5A"/>
    <w:rsid w:val="457C1EE7"/>
    <w:rsid w:val="457C68A6"/>
    <w:rsid w:val="45800144"/>
    <w:rsid w:val="458361FD"/>
    <w:rsid w:val="4584768D"/>
    <w:rsid w:val="458704BD"/>
    <w:rsid w:val="458E66C0"/>
    <w:rsid w:val="458F7567"/>
    <w:rsid w:val="459308C3"/>
    <w:rsid w:val="45965BB9"/>
    <w:rsid w:val="459C17A1"/>
    <w:rsid w:val="45A16D05"/>
    <w:rsid w:val="45A74367"/>
    <w:rsid w:val="45B2270B"/>
    <w:rsid w:val="45C1250B"/>
    <w:rsid w:val="45C656E1"/>
    <w:rsid w:val="45C85F51"/>
    <w:rsid w:val="45D251D8"/>
    <w:rsid w:val="45D65FB6"/>
    <w:rsid w:val="45E10CC7"/>
    <w:rsid w:val="45EA1A61"/>
    <w:rsid w:val="45F3021D"/>
    <w:rsid w:val="45F42696"/>
    <w:rsid w:val="45F97EF6"/>
    <w:rsid w:val="45FB3C6E"/>
    <w:rsid w:val="45FE72BB"/>
    <w:rsid w:val="45FF375F"/>
    <w:rsid w:val="46073D4D"/>
    <w:rsid w:val="460D5750"/>
    <w:rsid w:val="461267F1"/>
    <w:rsid w:val="4618414C"/>
    <w:rsid w:val="46184820"/>
    <w:rsid w:val="461B3AA5"/>
    <w:rsid w:val="461E4E80"/>
    <w:rsid w:val="46236D21"/>
    <w:rsid w:val="462A00B0"/>
    <w:rsid w:val="462F3918"/>
    <w:rsid w:val="46345C9D"/>
    <w:rsid w:val="46346DE5"/>
    <w:rsid w:val="463507E4"/>
    <w:rsid w:val="463B22BD"/>
    <w:rsid w:val="46435FB5"/>
    <w:rsid w:val="4644057C"/>
    <w:rsid w:val="465A0995"/>
    <w:rsid w:val="46601D24"/>
    <w:rsid w:val="466E4989"/>
    <w:rsid w:val="46733805"/>
    <w:rsid w:val="46761E5A"/>
    <w:rsid w:val="467C4DAF"/>
    <w:rsid w:val="4682613E"/>
    <w:rsid w:val="46843C64"/>
    <w:rsid w:val="468477C0"/>
    <w:rsid w:val="468A6DA0"/>
    <w:rsid w:val="4690085B"/>
    <w:rsid w:val="4691012F"/>
    <w:rsid w:val="46933EA7"/>
    <w:rsid w:val="469A0A3E"/>
    <w:rsid w:val="469B0FAE"/>
    <w:rsid w:val="469B1418"/>
    <w:rsid w:val="469E49A5"/>
    <w:rsid w:val="469F0A9E"/>
    <w:rsid w:val="46A00372"/>
    <w:rsid w:val="46A247E0"/>
    <w:rsid w:val="46AE2A8F"/>
    <w:rsid w:val="46AF74C3"/>
    <w:rsid w:val="46B02544"/>
    <w:rsid w:val="46B1257F"/>
    <w:rsid w:val="46B33089"/>
    <w:rsid w:val="46B5206F"/>
    <w:rsid w:val="46B86C48"/>
    <w:rsid w:val="46BB6641"/>
    <w:rsid w:val="46BF4C9C"/>
    <w:rsid w:val="46C027C2"/>
    <w:rsid w:val="46C202E8"/>
    <w:rsid w:val="46CB1893"/>
    <w:rsid w:val="46CC73B9"/>
    <w:rsid w:val="46CE58C7"/>
    <w:rsid w:val="46D00C57"/>
    <w:rsid w:val="46D40026"/>
    <w:rsid w:val="46E44703"/>
    <w:rsid w:val="46E6047B"/>
    <w:rsid w:val="46E97F6B"/>
    <w:rsid w:val="46EA4B04"/>
    <w:rsid w:val="46F25071"/>
    <w:rsid w:val="4701087D"/>
    <w:rsid w:val="47024B89"/>
    <w:rsid w:val="4703102D"/>
    <w:rsid w:val="471072A6"/>
    <w:rsid w:val="4712301E"/>
    <w:rsid w:val="471274C2"/>
    <w:rsid w:val="4714323A"/>
    <w:rsid w:val="471660D6"/>
    <w:rsid w:val="47191E08"/>
    <w:rsid w:val="471B3FF5"/>
    <w:rsid w:val="471E558B"/>
    <w:rsid w:val="4720273D"/>
    <w:rsid w:val="47215957"/>
    <w:rsid w:val="472B681F"/>
    <w:rsid w:val="472C45CF"/>
    <w:rsid w:val="472E4D38"/>
    <w:rsid w:val="47305B9A"/>
    <w:rsid w:val="473067B8"/>
    <w:rsid w:val="473C62ED"/>
    <w:rsid w:val="473D5848"/>
    <w:rsid w:val="474072B6"/>
    <w:rsid w:val="47497073"/>
    <w:rsid w:val="474D22A8"/>
    <w:rsid w:val="47517D3A"/>
    <w:rsid w:val="475A49C5"/>
    <w:rsid w:val="475C698F"/>
    <w:rsid w:val="475F15EE"/>
    <w:rsid w:val="47606109"/>
    <w:rsid w:val="4765510B"/>
    <w:rsid w:val="47677934"/>
    <w:rsid w:val="476A4B03"/>
    <w:rsid w:val="4770221E"/>
    <w:rsid w:val="4771702F"/>
    <w:rsid w:val="47727F60"/>
    <w:rsid w:val="47743CD8"/>
    <w:rsid w:val="477C0DDF"/>
    <w:rsid w:val="477C52AB"/>
    <w:rsid w:val="477E7E6B"/>
    <w:rsid w:val="4783216D"/>
    <w:rsid w:val="478B4B7E"/>
    <w:rsid w:val="478C7274"/>
    <w:rsid w:val="47954D42"/>
    <w:rsid w:val="47973E16"/>
    <w:rsid w:val="479779C7"/>
    <w:rsid w:val="479D2798"/>
    <w:rsid w:val="47A3396B"/>
    <w:rsid w:val="47AA383E"/>
    <w:rsid w:val="47AF4D11"/>
    <w:rsid w:val="47BB36B5"/>
    <w:rsid w:val="47BF45D4"/>
    <w:rsid w:val="47C12FC5"/>
    <w:rsid w:val="47C167F2"/>
    <w:rsid w:val="47C3256A"/>
    <w:rsid w:val="47C45A79"/>
    <w:rsid w:val="47C6205A"/>
    <w:rsid w:val="47C63E08"/>
    <w:rsid w:val="47CA38F8"/>
    <w:rsid w:val="47CC58C3"/>
    <w:rsid w:val="47CF53B3"/>
    <w:rsid w:val="47D01E78"/>
    <w:rsid w:val="47D97FDF"/>
    <w:rsid w:val="47DE0F8B"/>
    <w:rsid w:val="47E210AF"/>
    <w:rsid w:val="47E70377"/>
    <w:rsid w:val="47EC1AC1"/>
    <w:rsid w:val="47ED5839"/>
    <w:rsid w:val="47F14892"/>
    <w:rsid w:val="47F46889"/>
    <w:rsid w:val="47FA3CDB"/>
    <w:rsid w:val="47FD4E22"/>
    <w:rsid w:val="4800731A"/>
    <w:rsid w:val="480337B7"/>
    <w:rsid w:val="480706A9"/>
    <w:rsid w:val="480D1A37"/>
    <w:rsid w:val="481334F1"/>
    <w:rsid w:val="481E6D74"/>
    <w:rsid w:val="4823125B"/>
    <w:rsid w:val="482555B1"/>
    <w:rsid w:val="48286174"/>
    <w:rsid w:val="482A083B"/>
    <w:rsid w:val="483671E0"/>
    <w:rsid w:val="48382F58"/>
    <w:rsid w:val="48384D06"/>
    <w:rsid w:val="483E5F65"/>
    <w:rsid w:val="483F4329"/>
    <w:rsid w:val="48455675"/>
    <w:rsid w:val="484F02A2"/>
    <w:rsid w:val="48507E7F"/>
    <w:rsid w:val="485E2423"/>
    <w:rsid w:val="4860039E"/>
    <w:rsid w:val="48604E4F"/>
    <w:rsid w:val="48623B31"/>
    <w:rsid w:val="48627FD5"/>
    <w:rsid w:val="486524D5"/>
    <w:rsid w:val="48691363"/>
    <w:rsid w:val="486A0C38"/>
    <w:rsid w:val="486A50DB"/>
    <w:rsid w:val="486D2E7C"/>
    <w:rsid w:val="4870256A"/>
    <w:rsid w:val="48733CAB"/>
    <w:rsid w:val="48743864"/>
    <w:rsid w:val="48745CBC"/>
    <w:rsid w:val="48792D90"/>
    <w:rsid w:val="4883037A"/>
    <w:rsid w:val="4885562E"/>
    <w:rsid w:val="48861F15"/>
    <w:rsid w:val="488B752C"/>
    <w:rsid w:val="48931F3C"/>
    <w:rsid w:val="489649C6"/>
    <w:rsid w:val="489839F7"/>
    <w:rsid w:val="489D100D"/>
    <w:rsid w:val="489D2DBB"/>
    <w:rsid w:val="48A06010"/>
    <w:rsid w:val="48A33681"/>
    <w:rsid w:val="48A44C18"/>
    <w:rsid w:val="48A64F46"/>
    <w:rsid w:val="48A8612B"/>
    <w:rsid w:val="48B16866"/>
    <w:rsid w:val="48B2033C"/>
    <w:rsid w:val="48B331F5"/>
    <w:rsid w:val="48B34AFA"/>
    <w:rsid w:val="48B87BF5"/>
    <w:rsid w:val="48BA396D"/>
    <w:rsid w:val="48BD520B"/>
    <w:rsid w:val="48C51174"/>
    <w:rsid w:val="48CA75D0"/>
    <w:rsid w:val="48CC78D8"/>
    <w:rsid w:val="48CF5E2F"/>
    <w:rsid w:val="48D16F09"/>
    <w:rsid w:val="48D77AA7"/>
    <w:rsid w:val="48D80297"/>
    <w:rsid w:val="48F30C2D"/>
    <w:rsid w:val="48F8683C"/>
    <w:rsid w:val="48FD7CFE"/>
    <w:rsid w:val="49020B0D"/>
    <w:rsid w:val="49025F37"/>
    <w:rsid w:val="490270C2"/>
    <w:rsid w:val="49050213"/>
    <w:rsid w:val="49066BB2"/>
    <w:rsid w:val="490A3A59"/>
    <w:rsid w:val="490B241B"/>
    <w:rsid w:val="490B5F77"/>
    <w:rsid w:val="4910358D"/>
    <w:rsid w:val="49137521"/>
    <w:rsid w:val="4916491B"/>
    <w:rsid w:val="491A440C"/>
    <w:rsid w:val="49261E5D"/>
    <w:rsid w:val="492D05E3"/>
    <w:rsid w:val="492E6F80"/>
    <w:rsid w:val="4930309E"/>
    <w:rsid w:val="49310A7D"/>
    <w:rsid w:val="49312EDF"/>
    <w:rsid w:val="49333231"/>
    <w:rsid w:val="49351245"/>
    <w:rsid w:val="493A2D00"/>
    <w:rsid w:val="493A4AAE"/>
    <w:rsid w:val="49423962"/>
    <w:rsid w:val="494816FA"/>
    <w:rsid w:val="494F67AB"/>
    <w:rsid w:val="49513989"/>
    <w:rsid w:val="495140F2"/>
    <w:rsid w:val="495777FB"/>
    <w:rsid w:val="49583186"/>
    <w:rsid w:val="495F62C2"/>
    <w:rsid w:val="496008C3"/>
    <w:rsid w:val="49613F0A"/>
    <w:rsid w:val="49661852"/>
    <w:rsid w:val="49663AF5"/>
    <w:rsid w:val="496833C9"/>
    <w:rsid w:val="4970701E"/>
    <w:rsid w:val="49830203"/>
    <w:rsid w:val="49885819"/>
    <w:rsid w:val="49900B72"/>
    <w:rsid w:val="4994779D"/>
    <w:rsid w:val="49973CAE"/>
    <w:rsid w:val="499866DB"/>
    <w:rsid w:val="49996E4F"/>
    <w:rsid w:val="49A26661"/>
    <w:rsid w:val="49A5593B"/>
    <w:rsid w:val="49A63EF1"/>
    <w:rsid w:val="49AB59AC"/>
    <w:rsid w:val="49B06C48"/>
    <w:rsid w:val="49B22896"/>
    <w:rsid w:val="49B37A2C"/>
    <w:rsid w:val="49B44860"/>
    <w:rsid w:val="49B900C8"/>
    <w:rsid w:val="49C2133F"/>
    <w:rsid w:val="49C6610C"/>
    <w:rsid w:val="49C66341"/>
    <w:rsid w:val="49C67715"/>
    <w:rsid w:val="49D071C0"/>
    <w:rsid w:val="49D942C7"/>
    <w:rsid w:val="49E8275C"/>
    <w:rsid w:val="49E8450A"/>
    <w:rsid w:val="49E84536"/>
    <w:rsid w:val="49EA64D4"/>
    <w:rsid w:val="49EC224C"/>
    <w:rsid w:val="49ED7DE9"/>
    <w:rsid w:val="49EF5898"/>
    <w:rsid w:val="49F11610"/>
    <w:rsid w:val="49F17862"/>
    <w:rsid w:val="49F32D8A"/>
    <w:rsid w:val="49F53D7A"/>
    <w:rsid w:val="49F8402B"/>
    <w:rsid w:val="49FB248F"/>
    <w:rsid w:val="49FD6207"/>
    <w:rsid w:val="4A08695A"/>
    <w:rsid w:val="4A0C644A"/>
    <w:rsid w:val="4A1022B2"/>
    <w:rsid w:val="4A11580F"/>
    <w:rsid w:val="4A20307B"/>
    <w:rsid w:val="4A204D3C"/>
    <w:rsid w:val="4A2A68D0"/>
    <w:rsid w:val="4A2D016F"/>
    <w:rsid w:val="4A2F023C"/>
    <w:rsid w:val="4A3D2AA8"/>
    <w:rsid w:val="4A404346"/>
    <w:rsid w:val="4A484FD6"/>
    <w:rsid w:val="4A4A6F73"/>
    <w:rsid w:val="4A4C6847"/>
    <w:rsid w:val="4A5B0308"/>
    <w:rsid w:val="4A5B2F2E"/>
    <w:rsid w:val="4A617E1F"/>
    <w:rsid w:val="4A631DE2"/>
    <w:rsid w:val="4A653DAC"/>
    <w:rsid w:val="4A6656BF"/>
    <w:rsid w:val="4A727F0E"/>
    <w:rsid w:val="4A7A7858"/>
    <w:rsid w:val="4A7B35D0"/>
    <w:rsid w:val="4A82670C"/>
    <w:rsid w:val="4A897A9B"/>
    <w:rsid w:val="4A9326C8"/>
    <w:rsid w:val="4A946440"/>
    <w:rsid w:val="4A9604E4"/>
    <w:rsid w:val="4A977AF4"/>
    <w:rsid w:val="4A985F30"/>
    <w:rsid w:val="4AA44A08"/>
    <w:rsid w:val="4AAB5291"/>
    <w:rsid w:val="4AAE0FE3"/>
    <w:rsid w:val="4AB4263E"/>
    <w:rsid w:val="4AB43F3D"/>
    <w:rsid w:val="4AB4661C"/>
    <w:rsid w:val="4AB54F8C"/>
    <w:rsid w:val="4ABB39CC"/>
    <w:rsid w:val="4ABB577A"/>
    <w:rsid w:val="4ABF0300"/>
    <w:rsid w:val="4ABF6843"/>
    <w:rsid w:val="4AC061F1"/>
    <w:rsid w:val="4AC46D25"/>
    <w:rsid w:val="4AC83F74"/>
    <w:rsid w:val="4ACC6820"/>
    <w:rsid w:val="4AD5073A"/>
    <w:rsid w:val="4AD625B4"/>
    <w:rsid w:val="4AD6479B"/>
    <w:rsid w:val="4ADA5129"/>
    <w:rsid w:val="4ADB5E1D"/>
    <w:rsid w:val="4ADF6F8E"/>
    <w:rsid w:val="4AE178D7"/>
    <w:rsid w:val="4AE57855"/>
    <w:rsid w:val="4AEB3B3F"/>
    <w:rsid w:val="4AEE5DFE"/>
    <w:rsid w:val="4AF64B7C"/>
    <w:rsid w:val="4AF917E4"/>
    <w:rsid w:val="4AFD3FE5"/>
    <w:rsid w:val="4B026900"/>
    <w:rsid w:val="4B0610EB"/>
    <w:rsid w:val="4B0615B6"/>
    <w:rsid w:val="4B0C247A"/>
    <w:rsid w:val="4B0D06CC"/>
    <w:rsid w:val="4B101F6A"/>
    <w:rsid w:val="4B103D18"/>
    <w:rsid w:val="4B174A50"/>
    <w:rsid w:val="4B1F5D09"/>
    <w:rsid w:val="4B2652EA"/>
    <w:rsid w:val="4B3044A9"/>
    <w:rsid w:val="4B320132"/>
    <w:rsid w:val="4B34391F"/>
    <w:rsid w:val="4B343B38"/>
    <w:rsid w:val="4B38326F"/>
    <w:rsid w:val="4B3B1E75"/>
    <w:rsid w:val="4B3C21F8"/>
    <w:rsid w:val="4B3F54DC"/>
    <w:rsid w:val="4B421ECE"/>
    <w:rsid w:val="4B475260"/>
    <w:rsid w:val="4B49547C"/>
    <w:rsid w:val="4B4A0F01"/>
    <w:rsid w:val="4B4B4D7A"/>
    <w:rsid w:val="4B4F0F1E"/>
    <w:rsid w:val="4B507FA1"/>
    <w:rsid w:val="4B531E57"/>
    <w:rsid w:val="4B5A126D"/>
    <w:rsid w:val="4B5D25A1"/>
    <w:rsid w:val="4B5D2CD5"/>
    <w:rsid w:val="4B62575E"/>
    <w:rsid w:val="4B693428"/>
    <w:rsid w:val="4B7F16E3"/>
    <w:rsid w:val="4B7F49FA"/>
    <w:rsid w:val="4B8169C4"/>
    <w:rsid w:val="4B83098E"/>
    <w:rsid w:val="4B83273C"/>
    <w:rsid w:val="4B85213F"/>
    <w:rsid w:val="4B885A79"/>
    <w:rsid w:val="4B895879"/>
    <w:rsid w:val="4B8A513A"/>
    <w:rsid w:val="4B8D3EC0"/>
    <w:rsid w:val="4B922FB7"/>
    <w:rsid w:val="4B9318F2"/>
    <w:rsid w:val="4B942074"/>
    <w:rsid w:val="4B9F1B78"/>
    <w:rsid w:val="4BA15EF8"/>
    <w:rsid w:val="4BA9144B"/>
    <w:rsid w:val="4BAB3A41"/>
    <w:rsid w:val="4BB46D99"/>
    <w:rsid w:val="4BB5041C"/>
    <w:rsid w:val="4BB87F0C"/>
    <w:rsid w:val="4BBA1ED6"/>
    <w:rsid w:val="4BBC0AAB"/>
    <w:rsid w:val="4BBC268C"/>
    <w:rsid w:val="4BBF1D08"/>
    <w:rsid w:val="4BC30D8B"/>
    <w:rsid w:val="4BC4638C"/>
    <w:rsid w:val="4BD56D10"/>
    <w:rsid w:val="4BD771EC"/>
    <w:rsid w:val="4BF058F8"/>
    <w:rsid w:val="4BF47196"/>
    <w:rsid w:val="4BF947AC"/>
    <w:rsid w:val="4BFC429C"/>
    <w:rsid w:val="4BFD7185"/>
    <w:rsid w:val="4BFF0565"/>
    <w:rsid w:val="4C0017A1"/>
    <w:rsid w:val="4C084AEB"/>
    <w:rsid w:val="4C0D0258"/>
    <w:rsid w:val="4C1415E6"/>
    <w:rsid w:val="4C143394"/>
    <w:rsid w:val="4C150FD8"/>
    <w:rsid w:val="4C177328"/>
    <w:rsid w:val="4C194E4E"/>
    <w:rsid w:val="4C2128C3"/>
    <w:rsid w:val="4C217FD0"/>
    <w:rsid w:val="4C2F4E4F"/>
    <w:rsid w:val="4C327CBE"/>
    <w:rsid w:val="4C392989"/>
    <w:rsid w:val="4C3D0087"/>
    <w:rsid w:val="4C3E3B4F"/>
    <w:rsid w:val="4C3F7C92"/>
    <w:rsid w:val="4C415DC1"/>
    <w:rsid w:val="4C443EC1"/>
    <w:rsid w:val="4C455C43"/>
    <w:rsid w:val="4C4A5008"/>
    <w:rsid w:val="4C5058C9"/>
    <w:rsid w:val="4C523365"/>
    <w:rsid w:val="4C5672E5"/>
    <w:rsid w:val="4C590ECC"/>
    <w:rsid w:val="4C627CDE"/>
    <w:rsid w:val="4C687B84"/>
    <w:rsid w:val="4C6E3A7F"/>
    <w:rsid w:val="4C714C8A"/>
    <w:rsid w:val="4C716A38"/>
    <w:rsid w:val="4C7402D7"/>
    <w:rsid w:val="4C784AD5"/>
    <w:rsid w:val="4C7D71E6"/>
    <w:rsid w:val="4C870569"/>
    <w:rsid w:val="4C894B76"/>
    <w:rsid w:val="4C8A6EEA"/>
    <w:rsid w:val="4C8F6C95"/>
    <w:rsid w:val="4C912C37"/>
    <w:rsid w:val="4C940979"/>
    <w:rsid w:val="4C98546D"/>
    <w:rsid w:val="4C9A3174"/>
    <w:rsid w:val="4C9E6E2B"/>
    <w:rsid w:val="4CA010CC"/>
    <w:rsid w:val="4CAC0D83"/>
    <w:rsid w:val="4CAC2535"/>
    <w:rsid w:val="4CAE6E28"/>
    <w:rsid w:val="4CB1104F"/>
    <w:rsid w:val="4CB86415"/>
    <w:rsid w:val="4CB933F8"/>
    <w:rsid w:val="4CBB4158"/>
    <w:rsid w:val="4CBB6DED"/>
    <w:rsid w:val="4CC44A4F"/>
    <w:rsid w:val="4CCE1B34"/>
    <w:rsid w:val="4CD11B43"/>
    <w:rsid w:val="4CD9638C"/>
    <w:rsid w:val="4CDB0356"/>
    <w:rsid w:val="4CDD7C2A"/>
    <w:rsid w:val="4CE27936"/>
    <w:rsid w:val="4CEE7DBE"/>
    <w:rsid w:val="4CFA1020"/>
    <w:rsid w:val="4CFE0BB0"/>
    <w:rsid w:val="4CFF53E0"/>
    <w:rsid w:val="4D03140D"/>
    <w:rsid w:val="4D06034A"/>
    <w:rsid w:val="4D0D641F"/>
    <w:rsid w:val="4D0E24D9"/>
    <w:rsid w:val="4D155616"/>
    <w:rsid w:val="4D1B0752"/>
    <w:rsid w:val="4D226E03"/>
    <w:rsid w:val="4D272911"/>
    <w:rsid w:val="4D275349"/>
    <w:rsid w:val="4D2770F7"/>
    <w:rsid w:val="4D297313"/>
    <w:rsid w:val="4D2B308B"/>
    <w:rsid w:val="4D2E0486"/>
    <w:rsid w:val="4D2E66D8"/>
    <w:rsid w:val="4D302867"/>
    <w:rsid w:val="4D32283B"/>
    <w:rsid w:val="4D330192"/>
    <w:rsid w:val="4D391625"/>
    <w:rsid w:val="4D3936D7"/>
    <w:rsid w:val="4D397978"/>
    <w:rsid w:val="4D3A32CE"/>
    <w:rsid w:val="4D3E6229"/>
    <w:rsid w:val="4D461C73"/>
    <w:rsid w:val="4D491763"/>
    <w:rsid w:val="4D4952BF"/>
    <w:rsid w:val="4D4B7289"/>
    <w:rsid w:val="4D4D1254"/>
    <w:rsid w:val="4D5048A0"/>
    <w:rsid w:val="4D507F44"/>
    <w:rsid w:val="4D5254D6"/>
    <w:rsid w:val="4D55587D"/>
    <w:rsid w:val="4D565C2E"/>
    <w:rsid w:val="4D5F0F87"/>
    <w:rsid w:val="4D61483D"/>
    <w:rsid w:val="4D6214D1"/>
    <w:rsid w:val="4D6C1CC4"/>
    <w:rsid w:val="4D722A68"/>
    <w:rsid w:val="4D737564"/>
    <w:rsid w:val="4D754306"/>
    <w:rsid w:val="4D761E2D"/>
    <w:rsid w:val="4D777400"/>
    <w:rsid w:val="4D7A191D"/>
    <w:rsid w:val="4D7B1AE2"/>
    <w:rsid w:val="4D7B7443"/>
    <w:rsid w:val="4D7D31BB"/>
    <w:rsid w:val="4D7F6F33"/>
    <w:rsid w:val="4D810EFD"/>
    <w:rsid w:val="4D8409ED"/>
    <w:rsid w:val="4D8471DD"/>
    <w:rsid w:val="4D894DA5"/>
    <w:rsid w:val="4D8B3B2A"/>
    <w:rsid w:val="4D924398"/>
    <w:rsid w:val="4D956757"/>
    <w:rsid w:val="4D965002"/>
    <w:rsid w:val="4D9A69B6"/>
    <w:rsid w:val="4DA60964"/>
    <w:rsid w:val="4DAA371F"/>
    <w:rsid w:val="4DAB41CC"/>
    <w:rsid w:val="4DAB7D28"/>
    <w:rsid w:val="4DAE5A6A"/>
    <w:rsid w:val="4DB61CC2"/>
    <w:rsid w:val="4DBA2E3E"/>
    <w:rsid w:val="4DBA440F"/>
    <w:rsid w:val="4DBA6E7C"/>
    <w:rsid w:val="4DC31F45"/>
    <w:rsid w:val="4DC70853"/>
    <w:rsid w:val="4DC808DA"/>
    <w:rsid w:val="4DCC3C40"/>
    <w:rsid w:val="4DCD7C9F"/>
    <w:rsid w:val="4DD10B11"/>
    <w:rsid w:val="4DD43DBB"/>
    <w:rsid w:val="4DD74FC1"/>
    <w:rsid w:val="4DDD3C5A"/>
    <w:rsid w:val="4DDF3E76"/>
    <w:rsid w:val="4DE65ED7"/>
    <w:rsid w:val="4DE869D8"/>
    <w:rsid w:val="4DEA4CF4"/>
    <w:rsid w:val="4DEA6294"/>
    <w:rsid w:val="4DED0341"/>
    <w:rsid w:val="4DF23BA9"/>
    <w:rsid w:val="4DF25957"/>
    <w:rsid w:val="4DF30C68"/>
    <w:rsid w:val="4DF73844"/>
    <w:rsid w:val="4DFC03F6"/>
    <w:rsid w:val="4E0A5FB9"/>
    <w:rsid w:val="4E1E674C"/>
    <w:rsid w:val="4E200716"/>
    <w:rsid w:val="4E235B10"/>
    <w:rsid w:val="4E271F62"/>
    <w:rsid w:val="4E2B0E69"/>
    <w:rsid w:val="4E3B5550"/>
    <w:rsid w:val="4E3D3451"/>
    <w:rsid w:val="4E3E7A36"/>
    <w:rsid w:val="4E3F594B"/>
    <w:rsid w:val="4E4A131D"/>
    <w:rsid w:val="4E56317A"/>
    <w:rsid w:val="4E571AC5"/>
    <w:rsid w:val="4E5A4A86"/>
    <w:rsid w:val="4E600B13"/>
    <w:rsid w:val="4E656129"/>
    <w:rsid w:val="4E6824AE"/>
    <w:rsid w:val="4E6879C7"/>
    <w:rsid w:val="4E710F72"/>
    <w:rsid w:val="4E726A98"/>
    <w:rsid w:val="4E7561CB"/>
    <w:rsid w:val="4E772300"/>
    <w:rsid w:val="4E7773B0"/>
    <w:rsid w:val="4E7937FC"/>
    <w:rsid w:val="4E7D1A3E"/>
    <w:rsid w:val="4E7E5B06"/>
    <w:rsid w:val="4E854A1D"/>
    <w:rsid w:val="4E861570"/>
    <w:rsid w:val="4E872A00"/>
    <w:rsid w:val="4E8862BB"/>
    <w:rsid w:val="4E8B55DA"/>
    <w:rsid w:val="4E8C5DAC"/>
    <w:rsid w:val="4E8F764A"/>
    <w:rsid w:val="4E942825"/>
    <w:rsid w:val="4E944C60"/>
    <w:rsid w:val="4E9609D8"/>
    <w:rsid w:val="4E9904C8"/>
    <w:rsid w:val="4E9E788D"/>
    <w:rsid w:val="4EA3285D"/>
    <w:rsid w:val="4EA50C1B"/>
    <w:rsid w:val="4EB175C0"/>
    <w:rsid w:val="4EB470B0"/>
    <w:rsid w:val="4EBA7275"/>
    <w:rsid w:val="4EBB3F9B"/>
    <w:rsid w:val="4EBC7D13"/>
    <w:rsid w:val="4EC217CD"/>
    <w:rsid w:val="4EC92B5C"/>
    <w:rsid w:val="4ED02BF9"/>
    <w:rsid w:val="4ED11A10"/>
    <w:rsid w:val="4ED141EC"/>
    <w:rsid w:val="4EE74D90"/>
    <w:rsid w:val="4EE869F3"/>
    <w:rsid w:val="4EE94FAC"/>
    <w:rsid w:val="4EEF633A"/>
    <w:rsid w:val="4EF1271E"/>
    <w:rsid w:val="4EF13E61"/>
    <w:rsid w:val="4EF57A60"/>
    <w:rsid w:val="4EF851EF"/>
    <w:rsid w:val="4EFC1E0A"/>
    <w:rsid w:val="4EFE032C"/>
    <w:rsid w:val="4EFF35F5"/>
    <w:rsid w:val="4F041BE5"/>
    <w:rsid w:val="4F041DE6"/>
    <w:rsid w:val="4F0C0C9A"/>
    <w:rsid w:val="4F1418FD"/>
    <w:rsid w:val="4F155DA1"/>
    <w:rsid w:val="4F1813ED"/>
    <w:rsid w:val="4F18319B"/>
    <w:rsid w:val="4F1A33B7"/>
    <w:rsid w:val="4F1D45B9"/>
    <w:rsid w:val="4F247D92"/>
    <w:rsid w:val="4F2619C0"/>
    <w:rsid w:val="4F277882"/>
    <w:rsid w:val="4F2E6E63"/>
    <w:rsid w:val="4F351F9F"/>
    <w:rsid w:val="4F3877A3"/>
    <w:rsid w:val="4F3B50DC"/>
    <w:rsid w:val="4F457D08"/>
    <w:rsid w:val="4F4B1139"/>
    <w:rsid w:val="4F4E3061"/>
    <w:rsid w:val="4F4F2935"/>
    <w:rsid w:val="4F564B0B"/>
    <w:rsid w:val="4F566F52"/>
    <w:rsid w:val="4F587A3C"/>
    <w:rsid w:val="4F5B577E"/>
    <w:rsid w:val="4F5F2D15"/>
    <w:rsid w:val="4F604EFF"/>
    <w:rsid w:val="4F6463E1"/>
    <w:rsid w:val="4F691C49"/>
    <w:rsid w:val="4F6E54B1"/>
    <w:rsid w:val="4F6E725F"/>
    <w:rsid w:val="4F737FDA"/>
    <w:rsid w:val="4F764366"/>
    <w:rsid w:val="4F781E8C"/>
    <w:rsid w:val="4F797EA5"/>
    <w:rsid w:val="4F7A31D5"/>
    <w:rsid w:val="4F7A3E56"/>
    <w:rsid w:val="4F7D56F4"/>
    <w:rsid w:val="4F7D74A2"/>
    <w:rsid w:val="4F864A50"/>
    <w:rsid w:val="4F876573"/>
    <w:rsid w:val="4F8C5937"/>
    <w:rsid w:val="4F8E16AF"/>
    <w:rsid w:val="4F934F18"/>
    <w:rsid w:val="4F9D688E"/>
    <w:rsid w:val="4FA2515B"/>
    <w:rsid w:val="4FA26F09"/>
    <w:rsid w:val="4FAC7D88"/>
    <w:rsid w:val="4FAE3B00"/>
    <w:rsid w:val="4FB24B8D"/>
    <w:rsid w:val="4FB8672C"/>
    <w:rsid w:val="4FB940D4"/>
    <w:rsid w:val="4FC012C2"/>
    <w:rsid w:val="4FC25B8B"/>
    <w:rsid w:val="4FC76025"/>
    <w:rsid w:val="4FC9093A"/>
    <w:rsid w:val="4FCE5F50"/>
    <w:rsid w:val="4FD60B72"/>
    <w:rsid w:val="4FD734E3"/>
    <w:rsid w:val="4FD80D7B"/>
    <w:rsid w:val="4FD9188E"/>
    <w:rsid w:val="4FE6773D"/>
    <w:rsid w:val="4FF10611"/>
    <w:rsid w:val="4FF534DD"/>
    <w:rsid w:val="4FFA63EE"/>
    <w:rsid w:val="4FFC70D0"/>
    <w:rsid w:val="4FFF120E"/>
    <w:rsid w:val="4FFF25AD"/>
    <w:rsid w:val="50021CA8"/>
    <w:rsid w:val="50047BC4"/>
    <w:rsid w:val="500B11F4"/>
    <w:rsid w:val="50100316"/>
    <w:rsid w:val="501034CA"/>
    <w:rsid w:val="50111EE2"/>
    <w:rsid w:val="50130D0F"/>
    <w:rsid w:val="50154D74"/>
    <w:rsid w:val="50181F31"/>
    <w:rsid w:val="50184C79"/>
    <w:rsid w:val="5019366F"/>
    <w:rsid w:val="501D198E"/>
    <w:rsid w:val="501D5EB6"/>
    <w:rsid w:val="501F1883"/>
    <w:rsid w:val="50203E3B"/>
    <w:rsid w:val="50242014"/>
    <w:rsid w:val="50291B99"/>
    <w:rsid w:val="502C20D5"/>
    <w:rsid w:val="50302767"/>
    <w:rsid w:val="50395ABF"/>
    <w:rsid w:val="503B1837"/>
    <w:rsid w:val="503B4B64"/>
    <w:rsid w:val="503C1161"/>
    <w:rsid w:val="50446212"/>
    <w:rsid w:val="50504BB7"/>
    <w:rsid w:val="50544178"/>
    <w:rsid w:val="505446A7"/>
    <w:rsid w:val="5055041F"/>
    <w:rsid w:val="505D19CA"/>
    <w:rsid w:val="506803D7"/>
    <w:rsid w:val="506A211C"/>
    <w:rsid w:val="506A3ECB"/>
    <w:rsid w:val="506D06F3"/>
    <w:rsid w:val="50715259"/>
    <w:rsid w:val="50720FD1"/>
    <w:rsid w:val="50795EBC"/>
    <w:rsid w:val="507F33CD"/>
    <w:rsid w:val="50845DD3"/>
    <w:rsid w:val="50863838"/>
    <w:rsid w:val="508B2217"/>
    <w:rsid w:val="508B5BEF"/>
    <w:rsid w:val="508E4512"/>
    <w:rsid w:val="509727E6"/>
    <w:rsid w:val="509A148C"/>
    <w:rsid w:val="50AE2FA4"/>
    <w:rsid w:val="50B11AF9"/>
    <w:rsid w:val="50BE043C"/>
    <w:rsid w:val="50C02456"/>
    <w:rsid w:val="50C35389"/>
    <w:rsid w:val="50C63DF0"/>
    <w:rsid w:val="50C64E79"/>
    <w:rsid w:val="50CF2E6B"/>
    <w:rsid w:val="50D15CF8"/>
    <w:rsid w:val="50D32E51"/>
    <w:rsid w:val="50D94BAC"/>
    <w:rsid w:val="50DB3A34"/>
    <w:rsid w:val="50DB6B76"/>
    <w:rsid w:val="50DD28EE"/>
    <w:rsid w:val="50DE54A3"/>
    <w:rsid w:val="50E772C9"/>
    <w:rsid w:val="50EB3F82"/>
    <w:rsid w:val="50EF273F"/>
    <w:rsid w:val="50F6750C"/>
    <w:rsid w:val="50FC6397"/>
    <w:rsid w:val="50FE0AB7"/>
    <w:rsid w:val="50FF2147"/>
    <w:rsid w:val="51022355"/>
    <w:rsid w:val="51071719"/>
    <w:rsid w:val="510A745C"/>
    <w:rsid w:val="510C31D4"/>
    <w:rsid w:val="510E1AF6"/>
    <w:rsid w:val="510F4A72"/>
    <w:rsid w:val="510F659C"/>
    <w:rsid w:val="51112598"/>
    <w:rsid w:val="51115C9D"/>
    <w:rsid w:val="51167000"/>
    <w:rsid w:val="51172EEC"/>
    <w:rsid w:val="5119769F"/>
    <w:rsid w:val="511A4E37"/>
    <w:rsid w:val="511B25B4"/>
    <w:rsid w:val="511B5857"/>
    <w:rsid w:val="511C460C"/>
    <w:rsid w:val="51215792"/>
    <w:rsid w:val="51220188"/>
    <w:rsid w:val="512463D9"/>
    <w:rsid w:val="5126587F"/>
    <w:rsid w:val="512C2F2E"/>
    <w:rsid w:val="512C526D"/>
    <w:rsid w:val="51316796"/>
    <w:rsid w:val="513444D8"/>
    <w:rsid w:val="51361FFF"/>
    <w:rsid w:val="51426BF5"/>
    <w:rsid w:val="5144296E"/>
    <w:rsid w:val="514566E6"/>
    <w:rsid w:val="514B3CFC"/>
    <w:rsid w:val="514F70CF"/>
    <w:rsid w:val="51513130"/>
    <w:rsid w:val="515406D7"/>
    <w:rsid w:val="51592273"/>
    <w:rsid w:val="515F79A9"/>
    <w:rsid w:val="51644DBE"/>
    <w:rsid w:val="51656957"/>
    <w:rsid w:val="516C5A20"/>
    <w:rsid w:val="516E79EA"/>
    <w:rsid w:val="516F72BF"/>
    <w:rsid w:val="51713037"/>
    <w:rsid w:val="517448D5"/>
    <w:rsid w:val="51750D79"/>
    <w:rsid w:val="51755AC9"/>
    <w:rsid w:val="517625A1"/>
    <w:rsid w:val="5176689F"/>
    <w:rsid w:val="51782617"/>
    <w:rsid w:val="5179233C"/>
    <w:rsid w:val="517D384B"/>
    <w:rsid w:val="517D48A7"/>
    <w:rsid w:val="517D7C2E"/>
    <w:rsid w:val="5184720E"/>
    <w:rsid w:val="51864D34"/>
    <w:rsid w:val="51883BC9"/>
    <w:rsid w:val="518A5306"/>
    <w:rsid w:val="518A6A6A"/>
    <w:rsid w:val="518B234A"/>
    <w:rsid w:val="51960CEF"/>
    <w:rsid w:val="51961864"/>
    <w:rsid w:val="51972CF4"/>
    <w:rsid w:val="519D2F0D"/>
    <w:rsid w:val="51A27694"/>
    <w:rsid w:val="51A4340C"/>
    <w:rsid w:val="51A90A23"/>
    <w:rsid w:val="51A93000"/>
    <w:rsid w:val="51AB479B"/>
    <w:rsid w:val="51AE7211"/>
    <w:rsid w:val="51B0342B"/>
    <w:rsid w:val="51B11685"/>
    <w:rsid w:val="51B25198"/>
    <w:rsid w:val="51B95A7E"/>
    <w:rsid w:val="51BF1FF4"/>
    <w:rsid w:val="51C040AA"/>
    <w:rsid w:val="51C656CD"/>
    <w:rsid w:val="51C969CF"/>
    <w:rsid w:val="51CB0999"/>
    <w:rsid w:val="51CD2963"/>
    <w:rsid w:val="51D51818"/>
    <w:rsid w:val="51DA6E2E"/>
    <w:rsid w:val="51DC0DF8"/>
    <w:rsid w:val="51DC2BA6"/>
    <w:rsid w:val="51DF61F2"/>
    <w:rsid w:val="51E04CFD"/>
    <w:rsid w:val="51E52F6E"/>
    <w:rsid w:val="51E97071"/>
    <w:rsid w:val="51EC53F1"/>
    <w:rsid w:val="51F2562C"/>
    <w:rsid w:val="51F83758"/>
    <w:rsid w:val="51F85506"/>
    <w:rsid w:val="51FE0D6E"/>
    <w:rsid w:val="51FE7BC8"/>
    <w:rsid w:val="52052EAA"/>
    <w:rsid w:val="52065E75"/>
    <w:rsid w:val="52075749"/>
    <w:rsid w:val="520774F7"/>
    <w:rsid w:val="521045E8"/>
    <w:rsid w:val="521265C8"/>
    <w:rsid w:val="5217255D"/>
    <w:rsid w:val="52263E21"/>
    <w:rsid w:val="522742EF"/>
    <w:rsid w:val="522B57B2"/>
    <w:rsid w:val="522D3402"/>
    <w:rsid w:val="52320A18"/>
    <w:rsid w:val="5233653E"/>
    <w:rsid w:val="52353901"/>
    <w:rsid w:val="5237032A"/>
    <w:rsid w:val="525210BA"/>
    <w:rsid w:val="52550093"/>
    <w:rsid w:val="525564B4"/>
    <w:rsid w:val="525E1F65"/>
    <w:rsid w:val="52605AD9"/>
    <w:rsid w:val="52627586"/>
    <w:rsid w:val="52650B61"/>
    <w:rsid w:val="526D3847"/>
    <w:rsid w:val="526F3EB7"/>
    <w:rsid w:val="52756035"/>
    <w:rsid w:val="527E0DBE"/>
    <w:rsid w:val="527F186C"/>
    <w:rsid w:val="527F1CB8"/>
    <w:rsid w:val="5281374D"/>
    <w:rsid w:val="5283444E"/>
    <w:rsid w:val="52860D64"/>
    <w:rsid w:val="528648C0"/>
    <w:rsid w:val="52880638"/>
    <w:rsid w:val="52887ADE"/>
    <w:rsid w:val="528D5C4E"/>
    <w:rsid w:val="5290573F"/>
    <w:rsid w:val="529171EE"/>
    <w:rsid w:val="5294799F"/>
    <w:rsid w:val="52961E90"/>
    <w:rsid w:val="529B480F"/>
    <w:rsid w:val="529B516A"/>
    <w:rsid w:val="529D3985"/>
    <w:rsid w:val="529E1C09"/>
    <w:rsid w:val="529E60AD"/>
    <w:rsid w:val="529F0DD2"/>
    <w:rsid w:val="529F7B67"/>
    <w:rsid w:val="52A5743C"/>
    <w:rsid w:val="52AB0BCC"/>
    <w:rsid w:val="52AB2948"/>
    <w:rsid w:val="52B72CCB"/>
    <w:rsid w:val="52C34E27"/>
    <w:rsid w:val="52C553E8"/>
    <w:rsid w:val="52C673B2"/>
    <w:rsid w:val="52C94C60"/>
    <w:rsid w:val="52CF44B9"/>
    <w:rsid w:val="52D40E84"/>
    <w:rsid w:val="52D86EEF"/>
    <w:rsid w:val="52E2243E"/>
    <w:rsid w:val="52EA12F3"/>
    <w:rsid w:val="52ED34D9"/>
    <w:rsid w:val="52EF778C"/>
    <w:rsid w:val="52F60C57"/>
    <w:rsid w:val="52F97788"/>
    <w:rsid w:val="52FB52AE"/>
    <w:rsid w:val="53080462"/>
    <w:rsid w:val="53083527"/>
    <w:rsid w:val="53095C1D"/>
    <w:rsid w:val="530A4577"/>
    <w:rsid w:val="530A54F1"/>
    <w:rsid w:val="53154EDF"/>
    <w:rsid w:val="53193986"/>
    <w:rsid w:val="53197D00"/>
    <w:rsid w:val="531C2344"/>
    <w:rsid w:val="531F79B0"/>
    <w:rsid w:val="53220A8C"/>
    <w:rsid w:val="5325232B"/>
    <w:rsid w:val="532841F2"/>
    <w:rsid w:val="532A7941"/>
    <w:rsid w:val="532E7431"/>
    <w:rsid w:val="532F31A9"/>
    <w:rsid w:val="53332C9A"/>
    <w:rsid w:val="533C684B"/>
    <w:rsid w:val="534529CD"/>
    <w:rsid w:val="53476745"/>
    <w:rsid w:val="534A1D91"/>
    <w:rsid w:val="535844AE"/>
    <w:rsid w:val="53610DA9"/>
    <w:rsid w:val="53654E1D"/>
    <w:rsid w:val="53670B95"/>
    <w:rsid w:val="53682EE2"/>
    <w:rsid w:val="536A6FA8"/>
    <w:rsid w:val="536A7743"/>
    <w:rsid w:val="5373753A"/>
    <w:rsid w:val="53755060"/>
    <w:rsid w:val="538057C2"/>
    <w:rsid w:val="53823120"/>
    <w:rsid w:val="538319B8"/>
    <w:rsid w:val="53831A46"/>
    <w:rsid w:val="538708F0"/>
    <w:rsid w:val="538B4884"/>
    <w:rsid w:val="538C23AA"/>
    <w:rsid w:val="538C567B"/>
    <w:rsid w:val="539620A7"/>
    <w:rsid w:val="539A3FDC"/>
    <w:rsid w:val="539D3711"/>
    <w:rsid w:val="53A2396F"/>
    <w:rsid w:val="53A27BFA"/>
    <w:rsid w:val="53A45945"/>
    <w:rsid w:val="53AA375B"/>
    <w:rsid w:val="53B45F49"/>
    <w:rsid w:val="53B615FB"/>
    <w:rsid w:val="53B75E62"/>
    <w:rsid w:val="53B768FB"/>
    <w:rsid w:val="53BC2E44"/>
    <w:rsid w:val="53BF0089"/>
    <w:rsid w:val="53BF7EAA"/>
    <w:rsid w:val="53C17610"/>
    <w:rsid w:val="53C441A7"/>
    <w:rsid w:val="53CB1124"/>
    <w:rsid w:val="53CE5FB7"/>
    <w:rsid w:val="53D5512C"/>
    <w:rsid w:val="53D578AD"/>
    <w:rsid w:val="53D71491"/>
    <w:rsid w:val="53DB3461"/>
    <w:rsid w:val="53E45634"/>
    <w:rsid w:val="53E53868"/>
    <w:rsid w:val="53EC2E48"/>
    <w:rsid w:val="53EC5A2E"/>
    <w:rsid w:val="53F1045F"/>
    <w:rsid w:val="53FA5565"/>
    <w:rsid w:val="53FB278B"/>
    <w:rsid w:val="53FC5B12"/>
    <w:rsid w:val="54071B43"/>
    <w:rsid w:val="541008E5"/>
    <w:rsid w:val="54120B01"/>
    <w:rsid w:val="541B0CC2"/>
    <w:rsid w:val="541E1BA7"/>
    <w:rsid w:val="54225E48"/>
    <w:rsid w:val="54293073"/>
    <w:rsid w:val="542D3AD6"/>
    <w:rsid w:val="542E16B3"/>
    <w:rsid w:val="54316AAD"/>
    <w:rsid w:val="54324CFF"/>
    <w:rsid w:val="54375959"/>
    <w:rsid w:val="543842E0"/>
    <w:rsid w:val="54416CB3"/>
    <w:rsid w:val="544B35ED"/>
    <w:rsid w:val="544D7D8B"/>
    <w:rsid w:val="544E765F"/>
    <w:rsid w:val="545028F9"/>
    <w:rsid w:val="54541F87"/>
    <w:rsid w:val="54542E1F"/>
    <w:rsid w:val="5455683A"/>
    <w:rsid w:val="54556C40"/>
    <w:rsid w:val="545B23F7"/>
    <w:rsid w:val="54660E4D"/>
    <w:rsid w:val="546926EB"/>
    <w:rsid w:val="547075D6"/>
    <w:rsid w:val="54752E3E"/>
    <w:rsid w:val="547A6B9C"/>
    <w:rsid w:val="54821F61"/>
    <w:rsid w:val="54876977"/>
    <w:rsid w:val="548901E4"/>
    <w:rsid w:val="54901A26"/>
    <w:rsid w:val="54907C78"/>
    <w:rsid w:val="54977258"/>
    <w:rsid w:val="54996B2C"/>
    <w:rsid w:val="549B6C4C"/>
    <w:rsid w:val="549B6D34"/>
    <w:rsid w:val="549D6FE7"/>
    <w:rsid w:val="549E0D64"/>
    <w:rsid w:val="549E2609"/>
    <w:rsid w:val="54A274E9"/>
    <w:rsid w:val="54AB4AB2"/>
    <w:rsid w:val="54AE00FE"/>
    <w:rsid w:val="54B40BE7"/>
    <w:rsid w:val="54B43966"/>
    <w:rsid w:val="54B86B3E"/>
    <w:rsid w:val="54BD498D"/>
    <w:rsid w:val="54BE1B36"/>
    <w:rsid w:val="54C31DFB"/>
    <w:rsid w:val="54C33BA9"/>
    <w:rsid w:val="54C87F4D"/>
    <w:rsid w:val="54CF3934"/>
    <w:rsid w:val="54D643D5"/>
    <w:rsid w:val="54DB48BA"/>
    <w:rsid w:val="54E032F7"/>
    <w:rsid w:val="54E0637C"/>
    <w:rsid w:val="54E43252"/>
    <w:rsid w:val="54E44588"/>
    <w:rsid w:val="54EA1131"/>
    <w:rsid w:val="54EA42A5"/>
    <w:rsid w:val="54EE1700"/>
    <w:rsid w:val="54EF0E42"/>
    <w:rsid w:val="54F16968"/>
    <w:rsid w:val="54F226E1"/>
    <w:rsid w:val="54F304E9"/>
    <w:rsid w:val="54FB77E7"/>
    <w:rsid w:val="55004DFD"/>
    <w:rsid w:val="5503044A"/>
    <w:rsid w:val="550A5C7C"/>
    <w:rsid w:val="550A7A2A"/>
    <w:rsid w:val="550E1F63"/>
    <w:rsid w:val="550F6DEF"/>
    <w:rsid w:val="55182ABF"/>
    <w:rsid w:val="551B39E5"/>
    <w:rsid w:val="551D6CB2"/>
    <w:rsid w:val="5523289A"/>
    <w:rsid w:val="55232D59"/>
    <w:rsid w:val="5528419E"/>
    <w:rsid w:val="552F02D2"/>
    <w:rsid w:val="55320D2F"/>
    <w:rsid w:val="55326F81"/>
    <w:rsid w:val="55342CF9"/>
    <w:rsid w:val="553920BD"/>
    <w:rsid w:val="55396FE9"/>
    <w:rsid w:val="553C57C6"/>
    <w:rsid w:val="55406AAF"/>
    <w:rsid w:val="55432F3C"/>
    <w:rsid w:val="55482300"/>
    <w:rsid w:val="554A791A"/>
    <w:rsid w:val="554B1941"/>
    <w:rsid w:val="554D7917"/>
    <w:rsid w:val="554E7F0C"/>
    <w:rsid w:val="55517407"/>
    <w:rsid w:val="55560EC1"/>
    <w:rsid w:val="55581E8F"/>
    <w:rsid w:val="55582054"/>
    <w:rsid w:val="555E0513"/>
    <w:rsid w:val="555E1B24"/>
    <w:rsid w:val="556153AE"/>
    <w:rsid w:val="556610C3"/>
    <w:rsid w:val="55676C2B"/>
    <w:rsid w:val="556A04C9"/>
    <w:rsid w:val="556B765C"/>
    <w:rsid w:val="55700909"/>
    <w:rsid w:val="55733821"/>
    <w:rsid w:val="557355CF"/>
    <w:rsid w:val="55752CD1"/>
    <w:rsid w:val="55762097"/>
    <w:rsid w:val="5583158B"/>
    <w:rsid w:val="558A2919"/>
    <w:rsid w:val="558D41B7"/>
    <w:rsid w:val="558E065B"/>
    <w:rsid w:val="55935C72"/>
    <w:rsid w:val="559C6D1C"/>
    <w:rsid w:val="55A80C53"/>
    <w:rsid w:val="55AF1596"/>
    <w:rsid w:val="55B61960"/>
    <w:rsid w:val="55B6374E"/>
    <w:rsid w:val="55B66898"/>
    <w:rsid w:val="55B81234"/>
    <w:rsid w:val="55B96C01"/>
    <w:rsid w:val="55BD684B"/>
    <w:rsid w:val="55BF0815"/>
    <w:rsid w:val="55BF6CAA"/>
    <w:rsid w:val="55C0251B"/>
    <w:rsid w:val="55C723EE"/>
    <w:rsid w:val="55CA2D47"/>
    <w:rsid w:val="55CB540B"/>
    <w:rsid w:val="55D02A22"/>
    <w:rsid w:val="55D10548"/>
    <w:rsid w:val="55E4027B"/>
    <w:rsid w:val="55E53FF3"/>
    <w:rsid w:val="55E83428"/>
    <w:rsid w:val="55EA33B8"/>
    <w:rsid w:val="55EB15A9"/>
    <w:rsid w:val="55EC35D4"/>
    <w:rsid w:val="55EF10B1"/>
    <w:rsid w:val="55F17E3D"/>
    <w:rsid w:val="55F362BD"/>
    <w:rsid w:val="55F37F7B"/>
    <w:rsid w:val="55FA2FD9"/>
    <w:rsid w:val="560162DD"/>
    <w:rsid w:val="56030C14"/>
    <w:rsid w:val="560501F2"/>
    <w:rsid w:val="560A34D0"/>
    <w:rsid w:val="560E52F8"/>
    <w:rsid w:val="560E70A6"/>
    <w:rsid w:val="56114DE8"/>
    <w:rsid w:val="56130B60"/>
    <w:rsid w:val="5613290E"/>
    <w:rsid w:val="561346BC"/>
    <w:rsid w:val="561F12B3"/>
    <w:rsid w:val="56206DD9"/>
    <w:rsid w:val="56262642"/>
    <w:rsid w:val="562B7C58"/>
    <w:rsid w:val="562E7748"/>
    <w:rsid w:val="5630116D"/>
    <w:rsid w:val="56332FB1"/>
    <w:rsid w:val="563C00B7"/>
    <w:rsid w:val="563C147E"/>
    <w:rsid w:val="563D5BDD"/>
    <w:rsid w:val="56417537"/>
    <w:rsid w:val="56431446"/>
    <w:rsid w:val="56440D1A"/>
    <w:rsid w:val="56466840"/>
    <w:rsid w:val="56483449"/>
    <w:rsid w:val="564D4072"/>
    <w:rsid w:val="564F3020"/>
    <w:rsid w:val="56510FA5"/>
    <w:rsid w:val="56535401"/>
    <w:rsid w:val="56633896"/>
    <w:rsid w:val="56674A08"/>
    <w:rsid w:val="566B364B"/>
    <w:rsid w:val="566E5D97"/>
    <w:rsid w:val="566E7EBE"/>
    <w:rsid w:val="567333AD"/>
    <w:rsid w:val="5675682A"/>
    <w:rsid w:val="56766C89"/>
    <w:rsid w:val="56775382"/>
    <w:rsid w:val="567F7FA4"/>
    <w:rsid w:val="56890E23"/>
    <w:rsid w:val="568E01E7"/>
    <w:rsid w:val="56905D0D"/>
    <w:rsid w:val="56914581"/>
    <w:rsid w:val="569752EE"/>
    <w:rsid w:val="569F23F4"/>
    <w:rsid w:val="56A30136"/>
    <w:rsid w:val="56A47A0A"/>
    <w:rsid w:val="56A911E0"/>
    <w:rsid w:val="56A9296F"/>
    <w:rsid w:val="56AB2B47"/>
    <w:rsid w:val="56AB528F"/>
    <w:rsid w:val="56B12EC7"/>
    <w:rsid w:val="56BD287A"/>
    <w:rsid w:val="56C32E84"/>
    <w:rsid w:val="56C84AD2"/>
    <w:rsid w:val="56C97471"/>
    <w:rsid w:val="56CA1443"/>
    <w:rsid w:val="56CF5DCB"/>
    <w:rsid w:val="56D27B8C"/>
    <w:rsid w:val="56D4209E"/>
    <w:rsid w:val="56D5019B"/>
    <w:rsid w:val="56D66333"/>
    <w:rsid w:val="56D71B8E"/>
    <w:rsid w:val="56D94B0E"/>
    <w:rsid w:val="56DA2EDE"/>
    <w:rsid w:val="56DE4CCA"/>
    <w:rsid w:val="56E37A63"/>
    <w:rsid w:val="56EB2A6D"/>
    <w:rsid w:val="56ED13B1"/>
    <w:rsid w:val="56F02C50"/>
    <w:rsid w:val="56F6276E"/>
    <w:rsid w:val="56FC6477"/>
    <w:rsid w:val="570404A9"/>
    <w:rsid w:val="57080599"/>
    <w:rsid w:val="570B1838"/>
    <w:rsid w:val="57250B4B"/>
    <w:rsid w:val="5728063B"/>
    <w:rsid w:val="57291C6D"/>
    <w:rsid w:val="57295295"/>
    <w:rsid w:val="572A16C1"/>
    <w:rsid w:val="572F5526"/>
    <w:rsid w:val="573214BA"/>
    <w:rsid w:val="57342B3C"/>
    <w:rsid w:val="57390CC0"/>
    <w:rsid w:val="573B1AA2"/>
    <w:rsid w:val="574014E1"/>
    <w:rsid w:val="574134AB"/>
    <w:rsid w:val="57460AC2"/>
    <w:rsid w:val="574B7E86"/>
    <w:rsid w:val="574F45FB"/>
    <w:rsid w:val="575136EE"/>
    <w:rsid w:val="57546DC1"/>
    <w:rsid w:val="57603DA4"/>
    <w:rsid w:val="57664DCE"/>
    <w:rsid w:val="57672E44"/>
    <w:rsid w:val="576A2A02"/>
    <w:rsid w:val="576C0528"/>
    <w:rsid w:val="57711FE2"/>
    <w:rsid w:val="57713D91"/>
    <w:rsid w:val="57740CC0"/>
    <w:rsid w:val="577943F2"/>
    <w:rsid w:val="577B3068"/>
    <w:rsid w:val="577E200A"/>
    <w:rsid w:val="57813D71"/>
    <w:rsid w:val="57874DBC"/>
    <w:rsid w:val="57875362"/>
    <w:rsid w:val="578754CF"/>
    <w:rsid w:val="57882E88"/>
    <w:rsid w:val="578C4726"/>
    <w:rsid w:val="5791441A"/>
    <w:rsid w:val="579537AA"/>
    <w:rsid w:val="5797131D"/>
    <w:rsid w:val="5798782B"/>
    <w:rsid w:val="579A28A8"/>
    <w:rsid w:val="57A04676"/>
    <w:rsid w:val="57A05E6D"/>
    <w:rsid w:val="57A557E8"/>
    <w:rsid w:val="57AD4DFB"/>
    <w:rsid w:val="57AE0B41"/>
    <w:rsid w:val="57AE2E6B"/>
    <w:rsid w:val="57B46714"/>
    <w:rsid w:val="57B91E48"/>
    <w:rsid w:val="57BC665E"/>
    <w:rsid w:val="57BF2D4E"/>
    <w:rsid w:val="57C33EC0"/>
    <w:rsid w:val="57CC0775"/>
    <w:rsid w:val="57CD7125"/>
    <w:rsid w:val="57D4431F"/>
    <w:rsid w:val="57DA7B88"/>
    <w:rsid w:val="57DF519E"/>
    <w:rsid w:val="57E44562"/>
    <w:rsid w:val="57E52089"/>
    <w:rsid w:val="57E62D59"/>
    <w:rsid w:val="57E63BF7"/>
    <w:rsid w:val="57E91B79"/>
    <w:rsid w:val="57E97DCB"/>
    <w:rsid w:val="57EC3417"/>
    <w:rsid w:val="57EE53E1"/>
    <w:rsid w:val="57EF0931"/>
    <w:rsid w:val="57EF6F2D"/>
    <w:rsid w:val="57F0777E"/>
    <w:rsid w:val="57F43110"/>
    <w:rsid w:val="57FA3318"/>
    <w:rsid w:val="57FB18AC"/>
    <w:rsid w:val="57FB5D50"/>
    <w:rsid w:val="57FC57AF"/>
    <w:rsid w:val="580746F5"/>
    <w:rsid w:val="58084289"/>
    <w:rsid w:val="581110D0"/>
    <w:rsid w:val="58152F97"/>
    <w:rsid w:val="58174588"/>
    <w:rsid w:val="581754FA"/>
    <w:rsid w:val="581D5CC6"/>
    <w:rsid w:val="582467B0"/>
    <w:rsid w:val="582A0916"/>
    <w:rsid w:val="582B2779"/>
    <w:rsid w:val="582C5F09"/>
    <w:rsid w:val="582C7CB7"/>
    <w:rsid w:val="58300E4A"/>
    <w:rsid w:val="583152CE"/>
    <w:rsid w:val="58320689"/>
    <w:rsid w:val="58360B36"/>
    <w:rsid w:val="583A0626"/>
    <w:rsid w:val="583B24FC"/>
    <w:rsid w:val="583F79EB"/>
    <w:rsid w:val="58492617"/>
    <w:rsid w:val="585119A0"/>
    <w:rsid w:val="5851771E"/>
    <w:rsid w:val="5855720E"/>
    <w:rsid w:val="585B234B"/>
    <w:rsid w:val="585B36D8"/>
    <w:rsid w:val="58627CD5"/>
    <w:rsid w:val="58627EBD"/>
    <w:rsid w:val="58733B38"/>
    <w:rsid w:val="587358E6"/>
    <w:rsid w:val="587753D7"/>
    <w:rsid w:val="587B46E8"/>
    <w:rsid w:val="587D0513"/>
    <w:rsid w:val="587D1F7A"/>
    <w:rsid w:val="587F0ECB"/>
    <w:rsid w:val="5882708A"/>
    <w:rsid w:val="58850CE1"/>
    <w:rsid w:val="588875E4"/>
    <w:rsid w:val="588B5FCD"/>
    <w:rsid w:val="588E44CE"/>
    <w:rsid w:val="589A10C5"/>
    <w:rsid w:val="589D0BB5"/>
    <w:rsid w:val="58A05393"/>
    <w:rsid w:val="58AC56A8"/>
    <w:rsid w:val="58B71C77"/>
    <w:rsid w:val="58B74216"/>
    <w:rsid w:val="58B806BF"/>
    <w:rsid w:val="58B940BB"/>
    <w:rsid w:val="58B959EF"/>
    <w:rsid w:val="58BE1257"/>
    <w:rsid w:val="58BF28DA"/>
    <w:rsid w:val="58C252AC"/>
    <w:rsid w:val="58C46142"/>
    <w:rsid w:val="58CB74D0"/>
    <w:rsid w:val="58CD4FF7"/>
    <w:rsid w:val="58D04AE7"/>
    <w:rsid w:val="58D15A07"/>
    <w:rsid w:val="58D40D30"/>
    <w:rsid w:val="58DB24F3"/>
    <w:rsid w:val="58DE7204"/>
    <w:rsid w:val="58DF4D2A"/>
    <w:rsid w:val="58E16CF4"/>
    <w:rsid w:val="58E6255C"/>
    <w:rsid w:val="58E81B45"/>
    <w:rsid w:val="58EC79C8"/>
    <w:rsid w:val="58ED4BF9"/>
    <w:rsid w:val="58F1179F"/>
    <w:rsid w:val="58F20645"/>
    <w:rsid w:val="58F20F01"/>
    <w:rsid w:val="58F5279F"/>
    <w:rsid w:val="58F77CC8"/>
    <w:rsid w:val="58FB46B1"/>
    <w:rsid w:val="58FC58DC"/>
    <w:rsid w:val="58FF48A0"/>
    <w:rsid w:val="5906675A"/>
    <w:rsid w:val="59080725"/>
    <w:rsid w:val="590B1FC3"/>
    <w:rsid w:val="59106838"/>
    <w:rsid w:val="591075D9"/>
    <w:rsid w:val="59154BEF"/>
    <w:rsid w:val="59162E41"/>
    <w:rsid w:val="59172716"/>
    <w:rsid w:val="591946E0"/>
    <w:rsid w:val="59195206"/>
    <w:rsid w:val="591A4A11"/>
    <w:rsid w:val="591E5852"/>
    <w:rsid w:val="592866D1"/>
    <w:rsid w:val="592A2449"/>
    <w:rsid w:val="592B4413"/>
    <w:rsid w:val="592C54D8"/>
    <w:rsid w:val="59302762"/>
    <w:rsid w:val="5934151A"/>
    <w:rsid w:val="59374B66"/>
    <w:rsid w:val="593C03CE"/>
    <w:rsid w:val="59530646"/>
    <w:rsid w:val="5954396A"/>
    <w:rsid w:val="59547B16"/>
    <w:rsid w:val="595B0854"/>
    <w:rsid w:val="59607E94"/>
    <w:rsid w:val="59637709"/>
    <w:rsid w:val="596733BB"/>
    <w:rsid w:val="5968239F"/>
    <w:rsid w:val="596C0CB3"/>
    <w:rsid w:val="596D67DA"/>
    <w:rsid w:val="596F20E3"/>
    <w:rsid w:val="59701E26"/>
    <w:rsid w:val="59771406"/>
    <w:rsid w:val="597B0EF6"/>
    <w:rsid w:val="597C07CB"/>
    <w:rsid w:val="597C6A1D"/>
    <w:rsid w:val="597E4B39"/>
    <w:rsid w:val="598220BE"/>
    <w:rsid w:val="5984098A"/>
    <w:rsid w:val="59845D68"/>
    <w:rsid w:val="598D4786"/>
    <w:rsid w:val="599609D8"/>
    <w:rsid w:val="59967ADE"/>
    <w:rsid w:val="59A10232"/>
    <w:rsid w:val="59A147C5"/>
    <w:rsid w:val="59A2217E"/>
    <w:rsid w:val="59A55F73"/>
    <w:rsid w:val="59A57D21"/>
    <w:rsid w:val="59A60AFF"/>
    <w:rsid w:val="59A71F8F"/>
    <w:rsid w:val="59A73A9A"/>
    <w:rsid w:val="59A82DE1"/>
    <w:rsid w:val="59A87812"/>
    <w:rsid w:val="59AA17FC"/>
    <w:rsid w:val="59AA2AE2"/>
    <w:rsid w:val="59AA327E"/>
    <w:rsid w:val="59AF0BA0"/>
    <w:rsid w:val="59AF294E"/>
    <w:rsid w:val="59C53F20"/>
    <w:rsid w:val="59C90057"/>
    <w:rsid w:val="59CA67B9"/>
    <w:rsid w:val="59CD3428"/>
    <w:rsid w:val="59CF2FF0"/>
    <w:rsid w:val="59D2663D"/>
    <w:rsid w:val="59DA7910"/>
    <w:rsid w:val="59DE1A77"/>
    <w:rsid w:val="59DE4A87"/>
    <w:rsid w:val="59E00D5A"/>
    <w:rsid w:val="59E36A9C"/>
    <w:rsid w:val="59E720E8"/>
    <w:rsid w:val="59E77376"/>
    <w:rsid w:val="59EC06C3"/>
    <w:rsid w:val="59EC6032"/>
    <w:rsid w:val="59EE16C8"/>
    <w:rsid w:val="59EE4D9E"/>
    <w:rsid w:val="59F20A8D"/>
    <w:rsid w:val="59F64A21"/>
    <w:rsid w:val="59F82222"/>
    <w:rsid w:val="59FC4B45"/>
    <w:rsid w:val="59FE7432"/>
    <w:rsid w:val="59FF3B7C"/>
    <w:rsid w:val="5A0233C6"/>
    <w:rsid w:val="5A054C64"/>
    <w:rsid w:val="5A096502"/>
    <w:rsid w:val="5A0A5DD6"/>
    <w:rsid w:val="5A0D02E3"/>
    <w:rsid w:val="5A116A7D"/>
    <w:rsid w:val="5A13112F"/>
    <w:rsid w:val="5A174F19"/>
    <w:rsid w:val="5A1924BD"/>
    <w:rsid w:val="5A1A0B70"/>
    <w:rsid w:val="5A1D5B0A"/>
    <w:rsid w:val="5A1D6815"/>
    <w:rsid w:val="5A201A9E"/>
    <w:rsid w:val="5A221372"/>
    <w:rsid w:val="5A2377A6"/>
    <w:rsid w:val="5A2473B3"/>
    <w:rsid w:val="5A2636CF"/>
    <w:rsid w:val="5A2E41BB"/>
    <w:rsid w:val="5A2F40A2"/>
    <w:rsid w:val="5A2F4F1B"/>
    <w:rsid w:val="5A3612C1"/>
    <w:rsid w:val="5A366BCB"/>
    <w:rsid w:val="5A407A4A"/>
    <w:rsid w:val="5A413FC5"/>
    <w:rsid w:val="5A44753A"/>
    <w:rsid w:val="5A4B135E"/>
    <w:rsid w:val="5A544D62"/>
    <w:rsid w:val="5A581546"/>
    <w:rsid w:val="5A58350E"/>
    <w:rsid w:val="5A596DE6"/>
    <w:rsid w:val="5A5A124E"/>
    <w:rsid w:val="5A5F6122"/>
    <w:rsid w:val="5A627E29"/>
    <w:rsid w:val="5A643169"/>
    <w:rsid w:val="5A693FDA"/>
    <w:rsid w:val="5A6E2809"/>
    <w:rsid w:val="5A7445FC"/>
    <w:rsid w:val="5A7A0BDD"/>
    <w:rsid w:val="5A7F0572"/>
    <w:rsid w:val="5A8262B5"/>
    <w:rsid w:val="5A836C53"/>
    <w:rsid w:val="5A84202D"/>
    <w:rsid w:val="5A8703E3"/>
    <w:rsid w:val="5A8913F1"/>
    <w:rsid w:val="5A8B6F17"/>
    <w:rsid w:val="5A8D7133"/>
    <w:rsid w:val="5AA004E9"/>
    <w:rsid w:val="5AA20705"/>
    <w:rsid w:val="5AA47FD9"/>
    <w:rsid w:val="5AAC50E0"/>
    <w:rsid w:val="5AB0697E"/>
    <w:rsid w:val="5AB67D0C"/>
    <w:rsid w:val="5AC05DA1"/>
    <w:rsid w:val="5AC8016B"/>
    <w:rsid w:val="5AC95C92"/>
    <w:rsid w:val="5ACC25F8"/>
    <w:rsid w:val="5AD00DCE"/>
    <w:rsid w:val="5AD102F4"/>
    <w:rsid w:val="5AD22196"/>
    <w:rsid w:val="5AD22D98"/>
    <w:rsid w:val="5AD72BFF"/>
    <w:rsid w:val="5ADC3C17"/>
    <w:rsid w:val="5ADE2081"/>
    <w:rsid w:val="5AE26130"/>
    <w:rsid w:val="5AE26D53"/>
    <w:rsid w:val="5AE825BC"/>
    <w:rsid w:val="5AE96B71"/>
    <w:rsid w:val="5AEB71B9"/>
    <w:rsid w:val="5AEC2A00"/>
    <w:rsid w:val="5AEC407C"/>
    <w:rsid w:val="5AF0499E"/>
    <w:rsid w:val="5AF641B2"/>
    <w:rsid w:val="5AF80325"/>
    <w:rsid w:val="5AF820D3"/>
    <w:rsid w:val="5AFA409D"/>
    <w:rsid w:val="5AFE1DDF"/>
    <w:rsid w:val="5B022F52"/>
    <w:rsid w:val="5B062A42"/>
    <w:rsid w:val="5B0F3265"/>
    <w:rsid w:val="5B130AB9"/>
    <w:rsid w:val="5B1647AE"/>
    <w:rsid w:val="5B172EA1"/>
    <w:rsid w:val="5B1C78AD"/>
    <w:rsid w:val="5B217190"/>
    <w:rsid w:val="5B231846"/>
    <w:rsid w:val="5B331248"/>
    <w:rsid w:val="5B33135D"/>
    <w:rsid w:val="5B3D3F8A"/>
    <w:rsid w:val="5B4041A6"/>
    <w:rsid w:val="5B405097"/>
    <w:rsid w:val="5B433C96"/>
    <w:rsid w:val="5B4377F2"/>
    <w:rsid w:val="5B4A5024"/>
    <w:rsid w:val="5B5236A5"/>
    <w:rsid w:val="5B527A35"/>
    <w:rsid w:val="5B540083"/>
    <w:rsid w:val="5B5419FF"/>
    <w:rsid w:val="5B590DC3"/>
    <w:rsid w:val="5B5B0FE0"/>
    <w:rsid w:val="5B6339F0"/>
    <w:rsid w:val="5B642549"/>
    <w:rsid w:val="5B667984"/>
    <w:rsid w:val="5B6836FC"/>
    <w:rsid w:val="5B694D7F"/>
    <w:rsid w:val="5B6A1CBE"/>
    <w:rsid w:val="5B6F3FE4"/>
    <w:rsid w:val="5B707C36"/>
    <w:rsid w:val="5B7A23C5"/>
    <w:rsid w:val="5B7B2587"/>
    <w:rsid w:val="5B7F3AD9"/>
    <w:rsid w:val="5B8305C0"/>
    <w:rsid w:val="5B8378E5"/>
    <w:rsid w:val="5B8D4F11"/>
    <w:rsid w:val="5B8D6CBF"/>
    <w:rsid w:val="5B8F2A37"/>
    <w:rsid w:val="5B9165A3"/>
    <w:rsid w:val="5B921F4F"/>
    <w:rsid w:val="5B9404C9"/>
    <w:rsid w:val="5B9573DD"/>
    <w:rsid w:val="5B9608D0"/>
    <w:rsid w:val="5B977A8B"/>
    <w:rsid w:val="5B991B08"/>
    <w:rsid w:val="5B9E0ECC"/>
    <w:rsid w:val="5BA159E3"/>
    <w:rsid w:val="5BA81D4B"/>
    <w:rsid w:val="5BA835D7"/>
    <w:rsid w:val="5BAD7361"/>
    <w:rsid w:val="5BB40180"/>
    <w:rsid w:val="5BBE331C"/>
    <w:rsid w:val="5BC052E6"/>
    <w:rsid w:val="5BC5369D"/>
    <w:rsid w:val="5BC546AB"/>
    <w:rsid w:val="5BC64949"/>
    <w:rsid w:val="5BC76675"/>
    <w:rsid w:val="5BC7741A"/>
    <w:rsid w:val="5BC85F49"/>
    <w:rsid w:val="5BCA3A6F"/>
    <w:rsid w:val="5BCD1E2F"/>
    <w:rsid w:val="5BCE7A03"/>
    <w:rsid w:val="5BCF552A"/>
    <w:rsid w:val="5BCF7320"/>
    <w:rsid w:val="5BD24811"/>
    <w:rsid w:val="5BE54488"/>
    <w:rsid w:val="5BE70AC5"/>
    <w:rsid w:val="5BE977BF"/>
    <w:rsid w:val="5BEA4111"/>
    <w:rsid w:val="5BEA5E34"/>
    <w:rsid w:val="5BF35139"/>
    <w:rsid w:val="5BF5277C"/>
    <w:rsid w:val="5BFF1E2F"/>
    <w:rsid w:val="5C05719D"/>
    <w:rsid w:val="5C080BF2"/>
    <w:rsid w:val="5C0827EA"/>
    <w:rsid w:val="5C14118E"/>
    <w:rsid w:val="5C1D0043"/>
    <w:rsid w:val="5C245875"/>
    <w:rsid w:val="5C245FF8"/>
    <w:rsid w:val="5C270BFC"/>
    <w:rsid w:val="5C2C472A"/>
    <w:rsid w:val="5C2F5FC8"/>
    <w:rsid w:val="5C325071"/>
    <w:rsid w:val="5C3435DF"/>
    <w:rsid w:val="5C34586C"/>
    <w:rsid w:val="5C3D06E5"/>
    <w:rsid w:val="5C3D6937"/>
    <w:rsid w:val="5C427AAA"/>
    <w:rsid w:val="5C492F62"/>
    <w:rsid w:val="5C4C26D6"/>
    <w:rsid w:val="5C4C6B7A"/>
    <w:rsid w:val="5C58551F"/>
    <w:rsid w:val="5C5930BB"/>
    <w:rsid w:val="5C5D0276"/>
    <w:rsid w:val="5C5D3B6B"/>
    <w:rsid w:val="5C65711F"/>
    <w:rsid w:val="5C6739B4"/>
    <w:rsid w:val="5C696E74"/>
    <w:rsid w:val="5C6A7000"/>
    <w:rsid w:val="5C6C0274"/>
    <w:rsid w:val="5C6E0BD2"/>
    <w:rsid w:val="5C6E6AF1"/>
    <w:rsid w:val="5C702869"/>
    <w:rsid w:val="5C7834CB"/>
    <w:rsid w:val="5C7A36E7"/>
    <w:rsid w:val="5C7D6D34"/>
    <w:rsid w:val="5C841E70"/>
    <w:rsid w:val="5C89392A"/>
    <w:rsid w:val="5C8956D8"/>
    <w:rsid w:val="5C9A1694"/>
    <w:rsid w:val="5C9D42AD"/>
    <w:rsid w:val="5CA66E29"/>
    <w:rsid w:val="5CA70254"/>
    <w:rsid w:val="5CAF2C65"/>
    <w:rsid w:val="5CB015DB"/>
    <w:rsid w:val="5CB021FB"/>
    <w:rsid w:val="5CB821D8"/>
    <w:rsid w:val="5CB87D6C"/>
    <w:rsid w:val="5CC06027"/>
    <w:rsid w:val="5CCC5500"/>
    <w:rsid w:val="5CD01559"/>
    <w:rsid w:val="5CD050B5"/>
    <w:rsid w:val="5CD10E2D"/>
    <w:rsid w:val="5CDE2BD0"/>
    <w:rsid w:val="5CEA5131"/>
    <w:rsid w:val="5CEB6393"/>
    <w:rsid w:val="5CED76AF"/>
    <w:rsid w:val="5CEE19DF"/>
    <w:rsid w:val="5CEE378D"/>
    <w:rsid w:val="5CF039A9"/>
    <w:rsid w:val="5CF173CB"/>
    <w:rsid w:val="5CF4687F"/>
    <w:rsid w:val="5CF51716"/>
    <w:rsid w:val="5CF80AB0"/>
    <w:rsid w:val="5D0336DD"/>
    <w:rsid w:val="5D0B1BED"/>
    <w:rsid w:val="5D1859F9"/>
    <w:rsid w:val="5D1C479E"/>
    <w:rsid w:val="5D23703E"/>
    <w:rsid w:val="5D251A0F"/>
    <w:rsid w:val="5D2F3F39"/>
    <w:rsid w:val="5D342320"/>
    <w:rsid w:val="5D3513BC"/>
    <w:rsid w:val="5D37598E"/>
    <w:rsid w:val="5D3C49D9"/>
    <w:rsid w:val="5D3D1F1F"/>
    <w:rsid w:val="5D447851"/>
    <w:rsid w:val="5D4B6E32"/>
    <w:rsid w:val="5D4C371E"/>
    <w:rsid w:val="5D600B2F"/>
    <w:rsid w:val="5D6121B1"/>
    <w:rsid w:val="5D65523C"/>
    <w:rsid w:val="5D6E0CD9"/>
    <w:rsid w:val="5D722610"/>
    <w:rsid w:val="5D7734CC"/>
    <w:rsid w:val="5D775E79"/>
    <w:rsid w:val="5D790AD7"/>
    <w:rsid w:val="5D812854"/>
    <w:rsid w:val="5D8131A9"/>
    <w:rsid w:val="5D83037A"/>
    <w:rsid w:val="5D84392E"/>
    <w:rsid w:val="5D8440F2"/>
    <w:rsid w:val="5D845EA0"/>
    <w:rsid w:val="5D891708"/>
    <w:rsid w:val="5D8C2B4C"/>
    <w:rsid w:val="5D8D0BB2"/>
    <w:rsid w:val="5D8D11F8"/>
    <w:rsid w:val="5D944335"/>
    <w:rsid w:val="5D9702C9"/>
    <w:rsid w:val="5DA9751B"/>
    <w:rsid w:val="5DAD79EC"/>
    <w:rsid w:val="5DAF1585"/>
    <w:rsid w:val="5DB42C29"/>
    <w:rsid w:val="5DB669A1"/>
    <w:rsid w:val="5DB83B00"/>
    <w:rsid w:val="5DBB5A68"/>
    <w:rsid w:val="5DBB5D65"/>
    <w:rsid w:val="5DC07E6F"/>
    <w:rsid w:val="5DC170F4"/>
    <w:rsid w:val="5DC50992"/>
    <w:rsid w:val="5DC56BE4"/>
    <w:rsid w:val="5DC818E3"/>
    <w:rsid w:val="5DC82230"/>
    <w:rsid w:val="5DC866D4"/>
    <w:rsid w:val="5DCA41FA"/>
    <w:rsid w:val="5DCD5A99"/>
    <w:rsid w:val="5DD15771"/>
    <w:rsid w:val="5DDC3F2E"/>
    <w:rsid w:val="5DDD759A"/>
    <w:rsid w:val="5DE352BC"/>
    <w:rsid w:val="5DEC4171"/>
    <w:rsid w:val="5DF01268"/>
    <w:rsid w:val="5DF15728"/>
    <w:rsid w:val="5DF179D9"/>
    <w:rsid w:val="5DFB7343"/>
    <w:rsid w:val="5DFC5C02"/>
    <w:rsid w:val="5DFD1054"/>
    <w:rsid w:val="5E0105E4"/>
    <w:rsid w:val="5E0169F9"/>
    <w:rsid w:val="5E0538FE"/>
    <w:rsid w:val="5E086AD1"/>
    <w:rsid w:val="5E0A5621"/>
    <w:rsid w:val="5E0D2339"/>
    <w:rsid w:val="5E115985"/>
    <w:rsid w:val="5E1436C8"/>
    <w:rsid w:val="5E147DF5"/>
    <w:rsid w:val="5E1611EE"/>
    <w:rsid w:val="5E162F9C"/>
    <w:rsid w:val="5E1C2393"/>
    <w:rsid w:val="5E1D53F3"/>
    <w:rsid w:val="5E1E62F4"/>
    <w:rsid w:val="5E2B736D"/>
    <w:rsid w:val="5E2C27BF"/>
    <w:rsid w:val="5E2F0501"/>
    <w:rsid w:val="5E39312E"/>
    <w:rsid w:val="5E3B1B85"/>
    <w:rsid w:val="5E3D1B18"/>
    <w:rsid w:val="5E452D61"/>
    <w:rsid w:val="5E4633AF"/>
    <w:rsid w:val="5E472D79"/>
    <w:rsid w:val="5E47584B"/>
    <w:rsid w:val="5E4E6BDA"/>
    <w:rsid w:val="5E5220DE"/>
    <w:rsid w:val="5E5341F0"/>
    <w:rsid w:val="5E56783C"/>
    <w:rsid w:val="5E59557E"/>
    <w:rsid w:val="5E5B30A5"/>
    <w:rsid w:val="5E5D0BCB"/>
    <w:rsid w:val="5E5D506F"/>
    <w:rsid w:val="5E5D6E1D"/>
    <w:rsid w:val="5E6071EA"/>
    <w:rsid w:val="5E613920"/>
    <w:rsid w:val="5E622685"/>
    <w:rsid w:val="5E6D7555"/>
    <w:rsid w:val="5E6F40D7"/>
    <w:rsid w:val="5E714676"/>
    <w:rsid w:val="5E721390"/>
    <w:rsid w:val="5E72408D"/>
    <w:rsid w:val="5E744166"/>
    <w:rsid w:val="5E761F1B"/>
    <w:rsid w:val="5E766345"/>
    <w:rsid w:val="5E7B3747"/>
    <w:rsid w:val="5E7D74BF"/>
    <w:rsid w:val="5E7E2E48"/>
    <w:rsid w:val="5E8C7702"/>
    <w:rsid w:val="5E8E347A"/>
    <w:rsid w:val="5E8F3DCD"/>
    <w:rsid w:val="5E9C0936"/>
    <w:rsid w:val="5E9F11E3"/>
    <w:rsid w:val="5EA30636"/>
    <w:rsid w:val="5EA95E17"/>
    <w:rsid w:val="5EAA6DDD"/>
    <w:rsid w:val="5EAC56AE"/>
    <w:rsid w:val="5EAE7678"/>
    <w:rsid w:val="5EBF1885"/>
    <w:rsid w:val="5EC7073A"/>
    <w:rsid w:val="5EC836C0"/>
    <w:rsid w:val="5ECB647C"/>
    <w:rsid w:val="5ECF0AE7"/>
    <w:rsid w:val="5ED15115"/>
    <w:rsid w:val="5ED35331"/>
    <w:rsid w:val="5ED56A95"/>
    <w:rsid w:val="5EDA1881"/>
    <w:rsid w:val="5EDD4CF4"/>
    <w:rsid w:val="5EE237C6"/>
    <w:rsid w:val="5EE66BB0"/>
    <w:rsid w:val="5EE975A9"/>
    <w:rsid w:val="5EF552A7"/>
    <w:rsid w:val="5EF84D97"/>
    <w:rsid w:val="5EFB1345"/>
    <w:rsid w:val="5F0017B5"/>
    <w:rsid w:val="5F0059FA"/>
    <w:rsid w:val="5F02037C"/>
    <w:rsid w:val="5F026CC0"/>
    <w:rsid w:val="5F031561"/>
    <w:rsid w:val="5F0A1214"/>
    <w:rsid w:val="5F0C6D6B"/>
    <w:rsid w:val="5F0E0117"/>
    <w:rsid w:val="5F196D9D"/>
    <w:rsid w:val="5F1C6CD8"/>
    <w:rsid w:val="5F2003BF"/>
    <w:rsid w:val="5F221E14"/>
    <w:rsid w:val="5F2636B2"/>
    <w:rsid w:val="5F285517"/>
    <w:rsid w:val="5F28567D"/>
    <w:rsid w:val="5F2A6C45"/>
    <w:rsid w:val="5F363255"/>
    <w:rsid w:val="5F424E0E"/>
    <w:rsid w:val="5F446614"/>
    <w:rsid w:val="5F457D51"/>
    <w:rsid w:val="5F4678B1"/>
    <w:rsid w:val="5F477DE1"/>
    <w:rsid w:val="5F4821DF"/>
    <w:rsid w:val="5F49114F"/>
    <w:rsid w:val="5F510C68"/>
    <w:rsid w:val="5F5226F9"/>
    <w:rsid w:val="5F570514"/>
    <w:rsid w:val="5F57386C"/>
    <w:rsid w:val="5F577D10"/>
    <w:rsid w:val="5F594BAA"/>
    <w:rsid w:val="5F5E109E"/>
    <w:rsid w:val="5F604FDB"/>
    <w:rsid w:val="5F630463"/>
    <w:rsid w:val="5F6B7317"/>
    <w:rsid w:val="5F6D12E1"/>
    <w:rsid w:val="5F6F24C5"/>
    <w:rsid w:val="5F7A755A"/>
    <w:rsid w:val="5F824661"/>
    <w:rsid w:val="5F881C77"/>
    <w:rsid w:val="5F8A1E93"/>
    <w:rsid w:val="5F8E0463"/>
    <w:rsid w:val="5F906D7E"/>
    <w:rsid w:val="5F97349B"/>
    <w:rsid w:val="5F9920D6"/>
    <w:rsid w:val="5F9C5723"/>
    <w:rsid w:val="5FA10F8B"/>
    <w:rsid w:val="5FAA42E4"/>
    <w:rsid w:val="5FAC70AD"/>
    <w:rsid w:val="5FAE5456"/>
    <w:rsid w:val="5FAF0602"/>
    <w:rsid w:val="5FB011CE"/>
    <w:rsid w:val="5FBC72E5"/>
    <w:rsid w:val="5FC133DB"/>
    <w:rsid w:val="5FD275A8"/>
    <w:rsid w:val="5FD90725"/>
    <w:rsid w:val="5FDA624B"/>
    <w:rsid w:val="5FDF485F"/>
    <w:rsid w:val="5FE13A7D"/>
    <w:rsid w:val="5FE22FDD"/>
    <w:rsid w:val="5FEB4543"/>
    <w:rsid w:val="5FF03F1D"/>
    <w:rsid w:val="5FF11F12"/>
    <w:rsid w:val="5FF6016C"/>
    <w:rsid w:val="5FF90DC7"/>
    <w:rsid w:val="5FFA441C"/>
    <w:rsid w:val="60011A2A"/>
    <w:rsid w:val="600C0AFA"/>
    <w:rsid w:val="60101380"/>
    <w:rsid w:val="601479AF"/>
    <w:rsid w:val="601633A3"/>
    <w:rsid w:val="601C5968"/>
    <w:rsid w:val="601D5BCF"/>
    <w:rsid w:val="6022294C"/>
    <w:rsid w:val="60254689"/>
    <w:rsid w:val="60261D3F"/>
    <w:rsid w:val="60275934"/>
    <w:rsid w:val="602A71D2"/>
    <w:rsid w:val="602F3F48"/>
    <w:rsid w:val="60343BAD"/>
    <w:rsid w:val="60367391"/>
    <w:rsid w:val="6037393A"/>
    <w:rsid w:val="603B13E0"/>
    <w:rsid w:val="60466D86"/>
    <w:rsid w:val="604A63EF"/>
    <w:rsid w:val="604D2EC1"/>
    <w:rsid w:val="60561D75"/>
    <w:rsid w:val="605D3BF4"/>
    <w:rsid w:val="605F7185"/>
    <w:rsid w:val="60636240"/>
    <w:rsid w:val="6065020A"/>
    <w:rsid w:val="606918D0"/>
    <w:rsid w:val="606A75CF"/>
    <w:rsid w:val="606C09EB"/>
    <w:rsid w:val="606C33B1"/>
    <w:rsid w:val="606D13C6"/>
    <w:rsid w:val="607060DD"/>
    <w:rsid w:val="60721F00"/>
    <w:rsid w:val="6079215B"/>
    <w:rsid w:val="607B17DC"/>
    <w:rsid w:val="60806DF2"/>
    <w:rsid w:val="608210E3"/>
    <w:rsid w:val="608233BF"/>
    <w:rsid w:val="60870181"/>
    <w:rsid w:val="608A1A1F"/>
    <w:rsid w:val="608C1C3B"/>
    <w:rsid w:val="608C35FA"/>
    <w:rsid w:val="60932FCA"/>
    <w:rsid w:val="609472DB"/>
    <w:rsid w:val="60964868"/>
    <w:rsid w:val="609805E0"/>
    <w:rsid w:val="6098413C"/>
    <w:rsid w:val="60A531C2"/>
    <w:rsid w:val="60A56859"/>
    <w:rsid w:val="60AA0313"/>
    <w:rsid w:val="60AB59F5"/>
    <w:rsid w:val="60AC5E39"/>
    <w:rsid w:val="60AC7BE7"/>
    <w:rsid w:val="60B01B43"/>
    <w:rsid w:val="60B31A06"/>
    <w:rsid w:val="60B472BC"/>
    <w:rsid w:val="60B636C1"/>
    <w:rsid w:val="60B8658C"/>
    <w:rsid w:val="60BB2E4E"/>
    <w:rsid w:val="60BE7ED2"/>
    <w:rsid w:val="60C51BF1"/>
    <w:rsid w:val="60CD7B23"/>
    <w:rsid w:val="60E05AE3"/>
    <w:rsid w:val="60E16518"/>
    <w:rsid w:val="60E23609"/>
    <w:rsid w:val="60E47381"/>
    <w:rsid w:val="60EC6654"/>
    <w:rsid w:val="61021EFD"/>
    <w:rsid w:val="61024E44"/>
    <w:rsid w:val="61076BE5"/>
    <w:rsid w:val="61096DE8"/>
    <w:rsid w:val="610B0DB2"/>
    <w:rsid w:val="610E43FE"/>
    <w:rsid w:val="611063C8"/>
    <w:rsid w:val="61131471"/>
    <w:rsid w:val="61151C31"/>
    <w:rsid w:val="611B4D6D"/>
    <w:rsid w:val="611D27B3"/>
    <w:rsid w:val="611F2AAF"/>
    <w:rsid w:val="61204131"/>
    <w:rsid w:val="61250763"/>
    <w:rsid w:val="6126799A"/>
    <w:rsid w:val="612754C0"/>
    <w:rsid w:val="612B4FB0"/>
    <w:rsid w:val="612C6F7A"/>
    <w:rsid w:val="613104DA"/>
    <w:rsid w:val="61355E2F"/>
    <w:rsid w:val="61371BA7"/>
    <w:rsid w:val="613B4FD5"/>
    <w:rsid w:val="613E5097"/>
    <w:rsid w:val="61427FED"/>
    <w:rsid w:val="61463634"/>
    <w:rsid w:val="61504A17"/>
    <w:rsid w:val="615526DF"/>
    <w:rsid w:val="615C0572"/>
    <w:rsid w:val="615C785F"/>
    <w:rsid w:val="615E4DF2"/>
    <w:rsid w:val="616B35FF"/>
    <w:rsid w:val="616B65FC"/>
    <w:rsid w:val="616C3E03"/>
    <w:rsid w:val="616E0F53"/>
    <w:rsid w:val="6170330B"/>
    <w:rsid w:val="61720E31"/>
    <w:rsid w:val="617811FA"/>
    <w:rsid w:val="617E77D6"/>
    <w:rsid w:val="618162DA"/>
    <w:rsid w:val="61877599"/>
    <w:rsid w:val="61881C02"/>
    <w:rsid w:val="618C17C7"/>
    <w:rsid w:val="618D5C6B"/>
    <w:rsid w:val="61914040"/>
    <w:rsid w:val="619863BE"/>
    <w:rsid w:val="619C17A4"/>
    <w:rsid w:val="61A4070A"/>
    <w:rsid w:val="61A555E7"/>
    <w:rsid w:val="61A92379"/>
    <w:rsid w:val="61A93AD4"/>
    <w:rsid w:val="61AA0AEF"/>
    <w:rsid w:val="61B33ECC"/>
    <w:rsid w:val="61B84CA1"/>
    <w:rsid w:val="61BD221B"/>
    <w:rsid w:val="61C02E50"/>
    <w:rsid w:val="61C3343B"/>
    <w:rsid w:val="61C6117D"/>
    <w:rsid w:val="61C827FF"/>
    <w:rsid w:val="61D316C7"/>
    <w:rsid w:val="61D5316E"/>
    <w:rsid w:val="61D76EE6"/>
    <w:rsid w:val="61D90EB0"/>
    <w:rsid w:val="61DE0274"/>
    <w:rsid w:val="61DE2C95"/>
    <w:rsid w:val="61DE64C6"/>
    <w:rsid w:val="61E909C7"/>
    <w:rsid w:val="61EA6C19"/>
    <w:rsid w:val="61EB0BE3"/>
    <w:rsid w:val="61ED12FA"/>
    <w:rsid w:val="61F249AE"/>
    <w:rsid w:val="61F335F4"/>
    <w:rsid w:val="61F71336"/>
    <w:rsid w:val="61F77588"/>
    <w:rsid w:val="61FB0E26"/>
    <w:rsid w:val="61FC1A44"/>
    <w:rsid w:val="61FD714E"/>
    <w:rsid w:val="61FE4473"/>
    <w:rsid w:val="61FE635C"/>
    <w:rsid w:val="62022DBF"/>
    <w:rsid w:val="62053A53"/>
    <w:rsid w:val="6208709F"/>
    <w:rsid w:val="62092E18"/>
    <w:rsid w:val="62097391"/>
    <w:rsid w:val="620C71E3"/>
    <w:rsid w:val="620F042E"/>
    <w:rsid w:val="62126170"/>
    <w:rsid w:val="62143C96"/>
    <w:rsid w:val="6218367B"/>
    <w:rsid w:val="621912AD"/>
    <w:rsid w:val="621A680A"/>
    <w:rsid w:val="621B5792"/>
    <w:rsid w:val="621D245F"/>
    <w:rsid w:val="621F7940"/>
    <w:rsid w:val="62207B63"/>
    <w:rsid w:val="62265778"/>
    <w:rsid w:val="6229697B"/>
    <w:rsid w:val="623325FE"/>
    <w:rsid w:val="62343A8E"/>
    <w:rsid w:val="62350B41"/>
    <w:rsid w:val="62361E5F"/>
    <w:rsid w:val="623954AB"/>
    <w:rsid w:val="623C143F"/>
    <w:rsid w:val="62465E1A"/>
    <w:rsid w:val="624C1682"/>
    <w:rsid w:val="625041CD"/>
    <w:rsid w:val="625422E5"/>
    <w:rsid w:val="625642AF"/>
    <w:rsid w:val="625E7EFD"/>
    <w:rsid w:val="626559E9"/>
    <w:rsid w:val="626C5880"/>
    <w:rsid w:val="626D15F8"/>
    <w:rsid w:val="6275409E"/>
    <w:rsid w:val="62764CD1"/>
    <w:rsid w:val="627666FF"/>
    <w:rsid w:val="62791D4B"/>
    <w:rsid w:val="627D5CDF"/>
    <w:rsid w:val="628D57F7"/>
    <w:rsid w:val="628E1C9B"/>
    <w:rsid w:val="6291178B"/>
    <w:rsid w:val="629149FC"/>
    <w:rsid w:val="62991C06"/>
    <w:rsid w:val="629D3C8C"/>
    <w:rsid w:val="62A2795B"/>
    <w:rsid w:val="62A80882"/>
    <w:rsid w:val="62AF0C48"/>
    <w:rsid w:val="62B2572A"/>
    <w:rsid w:val="62B62F9F"/>
    <w:rsid w:val="62B80B47"/>
    <w:rsid w:val="62B81781"/>
    <w:rsid w:val="62B86D17"/>
    <w:rsid w:val="62C25536"/>
    <w:rsid w:val="62C3746A"/>
    <w:rsid w:val="62C51434"/>
    <w:rsid w:val="62C9714A"/>
    <w:rsid w:val="62CA25A7"/>
    <w:rsid w:val="62CC27C3"/>
    <w:rsid w:val="62CF2FBC"/>
    <w:rsid w:val="62D23CD8"/>
    <w:rsid w:val="62D51161"/>
    <w:rsid w:val="62D51FDC"/>
    <w:rsid w:val="62D81168"/>
    <w:rsid w:val="62D81BBA"/>
    <w:rsid w:val="62D84CC4"/>
    <w:rsid w:val="62DA4EE0"/>
    <w:rsid w:val="62DE0626"/>
    <w:rsid w:val="62DF1370"/>
    <w:rsid w:val="62DF49A5"/>
    <w:rsid w:val="62E200D9"/>
    <w:rsid w:val="62F00BE4"/>
    <w:rsid w:val="62F022F5"/>
    <w:rsid w:val="62F277E6"/>
    <w:rsid w:val="62F66167"/>
    <w:rsid w:val="62F74E06"/>
    <w:rsid w:val="62F835B8"/>
    <w:rsid w:val="62FE04A2"/>
    <w:rsid w:val="630755A9"/>
    <w:rsid w:val="630930CF"/>
    <w:rsid w:val="63125818"/>
    <w:rsid w:val="63147CC6"/>
    <w:rsid w:val="63177590"/>
    <w:rsid w:val="632223E3"/>
    <w:rsid w:val="63224191"/>
    <w:rsid w:val="63251ED3"/>
    <w:rsid w:val="63260125"/>
    <w:rsid w:val="632779F9"/>
    <w:rsid w:val="632A741F"/>
    <w:rsid w:val="632D2297"/>
    <w:rsid w:val="632E7C88"/>
    <w:rsid w:val="633220A8"/>
    <w:rsid w:val="633321C7"/>
    <w:rsid w:val="63393766"/>
    <w:rsid w:val="633B5253"/>
    <w:rsid w:val="633D0FCB"/>
    <w:rsid w:val="633E43E9"/>
    <w:rsid w:val="63426E07"/>
    <w:rsid w:val="63542243"/>
    <w:rsid w:val="635527B8"/>
    <w:rsid w:val="6356208C"/>
    <w:rsid w:val="635736CC"/>
    <w:rsid w:val="635C3B47"/>
    <w:rsid w:val="63604CB9"/>
    <w:rsid w:val="636671CA"/>
    <w:rsid w:val="636D11AD"/>
    <w:rsid w:val="63713480"/>
    <w:rsid w:val="6372336A"/>
    <w:rsid w:val="63754C08"/>
    <w:rsid w:val="637569B7"/>
    <w:rsid w:val="637644DD"/>
    <w:rsid w:val="637864A7"/>
    <w:rsid w:val="637B1AF3"/>
    <w:rsid w:val="637C2B6A"/>
    <w:rsid w:val="637C31BE"/>
    <w:rsid w:val="637D1D0F"/>
    <w:rsid w:val="637F3391"/>
    <w:rsid w:val="63802FCE"/>
    <w:rsid w:val="63813C72"/>
    <w:rsid w:val="638766EA"/>
    <w:rsid w:val="63894210"/>
    <w:rsid w:val="6390490C"/>
    <w:rsid w:val="63955ED3"/>
    <w:rsid w:val="639F3A33"/>
    <w:rsid w:val="63AA3093"/>
    <w:rsid w:val="63AB79BE"/>
    <w:rsid w:val="63B219B9"/>
    <w:rsid w:val="63B374DF"/>
    <w:rsid w:val="63B8083F"/>
    <w:rsid w:val="63B84AF5"/>
    <w:rsid w:val="63BA086D"/>
    <w:rsid w:val="63BC45E5"/>
    <w:rsid w:val="63BF5E84"/>
    <w:rsid w:val="63C30268"/>
    <w:rsid w:val="63C65464"/>
    <w:rsid w:val="63C96D02"/>
    <w:rsid w:val="63CC4651"/>
    <w:rsid w:val="63CE4319"/>
    <w:rsid w:val="63D23E09"/>
    <w:rsid w:val="63D3192F"/>
    <w:rsid w:val="63D35447"/>
    <w:rsid w:val="63DD0B1A"/>
    <w:rsid w:val="63DF6526"/>
    <w:rsid w:val="63E31B72"/>
    <w:rsid w:val="63E94CAF"/>
    <w:rsid w:val="63E95936"/>
    <w:rsid w:val="63EB1C0F"/>
    <w:rsid w:val="63F006F8"/>
    <w:rsid w:val="63F10CFC"/>
    <w:rsid w:val="63F41DF6"/>
    <w:rsid w:val="63F43164"/>
    <w:rsid w:val="63FE622A"/>
    <w:rsid w:val="64037466"/>
    <w:rsid w:val="64153CF6"/>
    <w:rsid w:val="64195594"/>
    <w:rsid w:val="641B5F97"/>
    <w:rsid w:val="64216B3E"/>
    <w:rsid w:val="642709DA"/>
    <w:rsid w:val="642A0B92"/>
    <w:rsid w:val="64300B2F"/>
    <w:rsid w:val="643A375C"/>
    <w:rsid w:val="643A7875"/>
    <w:rsid w:val="643C5617"/>
    <w:rsid w:val="64500184"/>
    <w:rsid w:val="64520AA6"/>
    <w:rsid w:val="64547F03"/>
    <w:rsid w:val="6457607A"/>
    <w:rsid w:val="645B31A6"/>
    <w:rsid w:val="64602371"/>
    <w:rsid w:val="6464346B"/>
    <w:rsid w:val="64656A2B"/>
    <w:rsid w:val="64671727"/>
    <w:rsid w:val="646C600B"/>
    <w:rsid w:val="64721148"/>
    <w:rsid w:val="647548B5"/>
    <w:rsid w:val="647A4AC8"/>
    <w:rsid w:val="647B56A8"/>
    <w:rsid w:val="647B624F"/>
    <w:rsid w:val="647F336D"/>
    <w:rsid w:val="6481138B"/>
    <w:rsid w:val="64813139"/>
    <w:rsid w:val="649015CE"/>
    <w:rsid w:val="64935200"/>
    <w:rsid w:val="64971E0A"/>
    <w:rsid w:val="649B41FB"/>
    <w:rsid w:val="64A439AF"/>
    <w:rsid w:val="64A5151D"/>
    <w:rsid w:val="64B6783E"/>
    <w:rsid w:val="64B90B25"/>
    <w:rsid w:val="64BC6FB6"/>
    <w:rsid w:val="64BF421D"/>
    <w:rsid w:val="64C33752"/>
    <w:rsid w:val="64C61940"/>
    <w:rsid w:val="64CA00D8"/>
    <w:rsid w:val="64CD6821"/>
    <w:rsid w:val="64D36B3A"/>
    <w:rsid w:val="64D678D3"/>
    <w:rsid w:val="64D83EA9"/>
    <w:rsid w:val="64DB4F3F"/>
    <w:rsid w:val="64DC75AE"/>
    <w:rsid w:val="64DD0CB7"/>
    <w:rsid w:val="64DE058B"/>
    <w:rsid w:val="64E068DF"/>
    <w:rsid w:val="64E33DF4"/>
    <w:rsid w:val="64EC2CA8"/>
    <w:rsid w:val="64F14763"/>
    <w:rsid w:val="64F63B27"/>
    <w:rsid w:val="64FB189E"/>
    <w:rsid w:val="64FF0C2E"/>
    <w:rsid w:val="65075D34"/>
    <w:rsid w:val="6510147D"/>
    <w:rsid w:val="651017FB"/>
    <w:rsid w:val="65130235"/>
    <w:rsid w:val="65197815"/>
    <w:rsid w:val="651B358E"/>
    <w:rsid w:val="65275558"/>
    <w:rsid w:val="65287D28"/>
    <w:rsid w:val="652C579B"/>
    <w:rsid w:val="652D5FDB"/>
    <w:rsid w:val="652F2B95"/>
    <w:rsid w:val="652F49D5"/>
    <w:rsid w:val="65313307"/>
    <w:rsid w:val="653A1C66"/>
    <w:rsid w:val="653E102A"/>
    <w:rsid w:val="6545060B"/>
    <w:rsid w:val="6545639C"/>
    <w:rsid w:val="65457DE3"/>
    <w:rsid w:val="6546685C"/>
    <w:rsid w:val="654F77C0"/>
    <w:rsid w:val="65515201"/>
    <w:rsid w:val="655553D6"/>
    <w:rsid w:val="655A1605"/>
    <w:rsid w:val="655D3BA6"/>
    <w:rsid w:val="65604D87"/>
    <w:rsid w:val="65614B65"/>
    <w:rsid w:val="6562079B"/>
    <w:rsid w:val="65624D19"/>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5362A"/>
    <w:rsid w:val="65960E66"/>
    <w:rsid w:val="6598132B"/>
    <w:rsid w:val="6598698C"/>
    <w:rsid w:val="65A43583"/>
    <w:rsid w:val="65A45331"/>
    <w:rsid w:val="65A76BCF"/>
    <w:rsid w:val="65A83F96"/>
    <w:rsid w:val="65AF6DA2"/>
    <w:rsid w:val="65B116C2"/>
    <w:rsid w:val="65B47423"/>
    <w:rsid w:val="65B85280"/>
    <w:rsid w:val="65BA6903"/>
    <w:rsid w:val="65BC6B1F"/>
    <w:rsid w:val="65BF13ED"/>
    <w:rsid w:val="65C37EAD"/>
    <w:rsid w:val="65C43C25"/>
    <w:rsid w:val="65C9123C"/>
    <w:rsid w:val="65C92F03"/>
    <w:rsid w:val="65CD1D2A"/>
    <w:rsid w:val="65CE6252"/>
    <w:rsid w:val="65CF5077"/>
    <w:rsid w:val="65D04378"/>
    <w:rsid w:val="65D200F0"/>
    <w:rsid w:val="65D5198E"/>
    <w:rsid w:val="65D57BE0"/>
    <w:rsid w:val="65D976D1"/>
    <w:rsid w:val="65DA06F1"/>
    <w:rsid w:val="65DC2D1D"/>
    <w:rsid w:val="65DC4A6D"/>
    <w:rsid w:val="65F00576"/>
    <w:rsid w:val="65F71905"/>
    <w:rsid w:val="65F77B57"/>
    <w:rsid w:val="65F8567D"/>
    <w:rsid w:val="65F8742B"/>
    <w:rsid w:val="65FC516D"/>
    <w:rsid w:val="65FF155B"/>
    <w:rsid w:val="65FF701E"/>
    <w:rsid w:val="66067D9A"/>
    <w:rsid w:val="660951F0"/>
    <w:rsid w:val="660A0257"/>
    <w:rsid w:val="660B715E"/>
    <w:rsid w:val="660D3810"/>
    <w:rsid w:val="660E0670"/>
    <w:rsid w:val="660E0C4E"/>
    <w:rsid w:val="66130A5F"/>
    <w:rsid w:val="6618187B"/>
    <w:rsid w:val="66195D1F"/>
    <w:rsid w:val="661A0387"/>
    <w:rsid w:val="661B1A64"/>
    <w:rsid w:val="66212E26"/>
    <w:rsid w:val="662326FA"/>
    <w:rsid w:val="6624363C"/>
    <w:rsid w:val="66246472"/>
    <w:rsid w:val="662514FE"/>
    <w:rsid w:val="66287D10"/>
    <w:rsid w:val="66293A88"/>
    <w:rsid w:val="662B0738"/>
    <w:rsid w:val="662B2E29"/>
    <w:rsid w:val="662D3A2A"/>
    <w:rsid w:val="662F646C"/>
    <w:rsid w:val="66300E23"/>
    <w:rsid w:val="66317058"/>
    <w:rsid w:val="6635026F"/>
    <w:rsid w:val="663568D1"/>
    <w:rsid w:val="6639016F"/>
    <w:rsid w:val="663E65EC"/>
    <w:rsid w:val="663F505A"/>
    <w:rsid w:val="66413ADD"/>
    <w:rsid w:val="66483F57"/>
    <w:rsid w:val="664D7777"/>
    <w:rsid w:val="664F349C"/>
    <w:rsid w:val="66524D8D"/>
    <w:rsid w:val="66535EF2"/>
    <w:rsid w:val="66551508"/>
    <w:rsid w:val="6655487D"/>
    <w:rsid w:val="66574AF4"/>
    <w:rsid w:val="6659611C"/>
    <w:rsid w:val="666128F2"/>
    <w:rsid w:val="6664518E"/>
    <w:rsid w:val="666920D7"/>
    <w:rsid w:val="666D1BC7"/>
    <w:rsid w:val="66742F55"/>
    <w:rsid w:val="66763171"/>
    <w:rsid w:val="667B0788"/>
    <w:rsid w:val="66860EDB"/>
    <w:rsid w:val="668F4233"/>
    <w:rsid w:val="66967370"/>
    <w:rsid w:val="669C06FE"/>
    <w:rsid w:val="669C425A"/>
    <w:rsid w:val="66A001EE"/>
    <w:rsid w:val="66AB0941"/>
    <w:rsid w:val="66AD290B"/>
    <w:rsid w:val="66AE7F8C"/>
    <w:rsid w:val="66B22249"/>
    <w:rsid w:val="66B26720"/>
    <w:rsid w:val="66BC0B99"/>
    <w:rsid w:val="66C10C37"/>
    <w:rsid w:val="66C11F13"/>
    <w:rsid w:val="66C173B3"/>
    <w:rsid w:val="66D25ECE"/>
    <w:rsid w:val="66D44878"/>
    <w:rsid w:val="66DC49E0"/>
    <w:rsid w:val="66DD09B6"/>
    <w:rsid w:val="66E16111"/>
    <w:rsid w:val="66E31994"/>
    <w:rsid w:val="66E31E89"/>
    <w:rsid w:val="66E55A46"/>
    <w:rsid w:val="66E77BCB"/>
    <w:rsid w:val="66E84077"/>
    <w:rsid w:val="66EF082E"/>
    <w:rsid w:val="66FF0F75"/>
    <w:rsid w:val="67025518"/>
    <w:rsid w:val="67050051"/>
    <w:rsid w:val="67070FD0"/>
    <w:rsid w:val="670B1518"/>
    <w:rsid w:val="670D6F06"/>
    <w:rsid w:val="670E33AA"/>
    <w:rsid w:val="671000BB"/>
    <w:rsid w:val="67115D74"/>
    <w:rsid w:val="67157E68"/>
    <w:rsid w:val="671D539B"/>
    <w:rsid w:val="671E7365"/>
    <w:rsid w:val="671F424D"/>
    <w:rsid w:val="67220C03"/>
    <w:rsid w:val="6727446C"/>
    <w:rsid w:val="67277FC8"/>
    <w:rsid w:val="672A3F5C"/>
    <w:rsid w:val="67386535"/>
    <w:rsid w:val="673B1940"/>
    <w:rsid w:val="673C56F2"/>
    <w:rsid w:val="673F4E79"/>
    <w:rsid w:val="67427FD5"/>
    <w:rsid w:val="674566A0"/>
    <w:rsid w:val="67492634"/>
    <w:rsid w:val="674B7605"/>
    <w:rsid w:val="674E6DCA"/>
    <w:rsid w:val="675130E9"/>
    <w:rsid w:val="6753700F"/>
    <w:rsid w:val="675C418F"/>
    <w:rsid w:val="67654F94"/>
    <w:rsid w:val="67674868"/>
    <w:rsid w:val="676905E0"/>
    <w:rsid w:val="676953BD"/>
    <w:rsid w:val="676F5D1D"/>
    <w:rsid w:val="677156E7"/>
    <w:rsid w:val="6785559A"/>
    <w:rsid w:val="67926549"/>
    <w:rsid w:val="67950437"/>
    <w:rsid w:val="67963BF2"/>
    <w:rsid w:val="6796514D"/>
    <w:rsid w:val="67A55390"/>
    <w:rsid w:val="67A862E1"/>
    <w:rsid w:val="67A86A9A"/>
    <w:rsid w:val="67AB0BF9"/>
    <w:rsid w:val="67AC2BC3"/>
    <w:rsid w:val="67AF6668"/>
    <w:rsid w:val="67B40822"/>
    <w:rsid w:val="67BB1663"/>
    <w:rsid w:val="67BB5FF3"/>
    <w:rsid w:val="67BC1058"/>
    <w:rsid w:val="67C1666E"/>
    <w:rsid w:val="67C77C3C"/>
    <w:rsid w:val="67C95523"/>
    <w:rsid w:val="67CA646D"/>
    <w:rsid w:val="67CB129B"/>
    <w:rsid w:val="67CB2FB9"/>
    <w:rsid w:val="67CC6DC1"/>
    <w:rsid w:val="67CF6FEC"/>
    <w:rsid w:val="67DA758D"/>
    <w:rsid w:val="67DC5685"/>
    <w:rsid w:val="67DD2D7C"/>
    <w:rsid w:val="67DE063C"/>
    <w:rsid w:val="67DF6AF4"/>
    <w:rsid w:val="67E1286C"/>
    <w:rsid w:val="67E336C4"/>
    <w:rsid w:val="67E61677"/>
    <w:rsid w:val="67E61C31"/>
    <w:rsid w:val="67E8319D"/>
    <w:rsid w:val="67EC1211"/>
    <w:rsid w:val="67EC2CD6"/>
    <w:rsid w:val="67ED7463"/>
    <w:rsid w:val="67F325A0"/>
    <w:rsid w:val="67F46030"/>
    <w:rsid w:val="67F51E74"/>
    <w:rsid w:val="67F87EC1"/>
    <w:rsid w:val="67FC1454"/>
    <w:rsid w:val="68102598"/>
    <w:rsid w:val="68126ECA"/>
    <w:rsid w:val="6814385F"/>
    <w:rsid w:val="68181876"/>
    <w:rsid w:val="681A7B2C"/>
    <w:rsid w:val="68246BFD"/>
    <w:rsid w:val="68281FD9"/>
    <w:rsid w:val="682C5E0D"/>
    <w:rsid w:val="682E5386"/>
    <w:rsid w:val="68336E40"/>
    <w:rsid w:val="683D1E50"/>
    <w:rsid w:val="68456BA0"/>
    <w:rsid w:val="684828EC"/>
    <w:rsid w:val="685272C6"/>
    <w:rsid w:val="68555008"/>
    <w:rsid w:val="68582403"/>
    <w:rsid w:val="685A66F9"/>
    <w:rsid w:val="685B53D9"/>
    <w:rsid w:val="686139AD"/>
    <w:rsid w:val="68642A92"/>
    <w:rsid w:val="68660FC4"/>
    <w:rsid w:val="68692862"/>
    <w:rsid w:val="68701E42"/>
    <w:rsid w:val="687116BB"/>
    <w:rsid w:val="68717D20"/>
    <w:rsid w:val="68772311"/>
    <w:rsid w:val="687D72E3"/>
    <w:rsid w:val="68833924"/>
    <w:rsid w:val="688651C2"/>
    <w:rsid w:val="68896A60"/>
    <w:rsid w:val="68921DB9"/>
    <w:rsid w:val="6895013B"/>
    <w:rsid w:val="689B046A"/>
    <w:rsid w:val="689B6EBF"/>
    <w:rsid w:val="68A044D6"/>
    <w:rsid w:val="68AF296B"/>
    <w:rsid w:val="68B914D8"/>
    <w:rsid w:val="68BC0BE4"/>
    <w:rsid w:val="68BE495C"/>
    <w:rsid w:val="68C06926"/>
    <w:rsid w:val="68C146F5"/>
    <w:rsid w:val="68C87588"/>
    <w:rsid w:val="68CA3301"/>
    <w:rsid w:val="68CB0E27"/>
    <w:rsid w:val="68D0643D"/>
    <w:rsid w:val="68D2550C"/>
    <w:rsid w:val="68D70516"/>
    <w:rsid w:val="68D73C6F"/>
    <w:rsid w:val="68E51EE8"/>
    <w:rsid w:val="68E5638C"/>
    <w:rsid w:val="68E67574"/>
    <w:rsid w:val="68EA39A3"/>
    <w:rsid w:val="68F07B2B"/>
    <w:rsid w:val="68F4037D"/>
    <w:rsid w:val="68F44821"/>
    <w:rsid w:val="68F62348"/>
    <w:rsid w:val="68F71C1C"/>
    <w:rsid w:val="68F949C9"/>
    <w:rsid w:val="68FB170C"/>
    <w:rsid w:val="69012E9C"/>
    <w:rsid w:val="69054339"/>
    <w:rsid w:val="69076303"/>
    <w:rsid w:val="6908207B"/>
    <w:rsid w:val="690D5F11"/>
    <w:rsid w:val="69110F2F"/>
    <w:rsid w:val="6911150F"/>
    <w:rsid w:val="69143F32"/>
    <w:rsid w:val="6916037F"/>
    <w:rsid w:val="693115D2"/>
    <w:rsid w:val="69366BE8"/>
    <w:rsid w:val="6938470E"/>
    <w:rsid w:val="693B1943"/>
    <w:rsid w:val="693B767D"/>
    <w:rsid w:val="693C125C"/>
    <w:rsid w:val="693C3AD3"/>
    <w:rsid w:val="693D6EC8"/>
    <w:rsid w:val="6940217B"/>
    <w:rsid w:val="69412EA5"/>
    <w:rsid w:val="69417918"/>
    <w:rsid w:val="6942733B"/>
    <w:rsid w:val="694806C9"/>
    <w:rsid w:val="694A3BB7"/>
    <w:rsid w:val="694A61EF"/>
    <w:rsid w:val="69620B1A"/>
    <w:rsid w:val="69652C31"/>
    <w:rsid w:val="69670B4F"/>
    <w:rsid w:val="69675EB2"/>
    <w:rsid w:val="696E6382"/>
    <w:rsid w:val="696F5C56"/>
    <w:rsid w:val="69731E41"/>
    <w:rsid w:val="69787200"/>
    <w:rsid w:val="69790883"/>
    <w:rsid w:val="697B3329"/>
    <w:rsid w:val="698066FB"/>
    <w:rsid w:val="69842CB6"/>
    <w:rsid w:val="69862CC5"/>
    <w:rsid w:val="69886D18"/>
    <w:rsid w:val="698931BC"/>
    <w:rsid w:val="698E70D4"/>
    <w:rsid w:val="6990454A"/>
    <w:rsid w:val="69955479"/>
    <w:rsid w:val="69967687"/>
    <w:rsid w:val="69990F25"/>
    <w:rsid w:val="699D27C3"/>
    <w:rsid w:val="699F7F40"/>
    <w:rsid w:val="69AC2A06"/>
    <w:rsid w:val="69AE49D0"/>
    <w:rsid w:val="69B32A46"/>
    <w:rsid w:val="69B74EA2"/>
    <w:rsid w:val="69BB0E9B"/>
    <w:rsid w:val="69BB74F7"/>
    <w:rsid w:val="69BD2E65"/>
    <w:rsid w:val="69C45FA2"/>
    <w:rsid w:val="69C5055B"/>
    <w:rsid w:val="69C603AD"/>
    <w:rsid w:val="69C73CE4"/>
    <w:rsid w:val="69C77840"/>
    <w:rsid w:val="69CB5455"/>
    <w:rsid w:val="69D34437"/>
    <w:rsid w:val="69D63CA9"/>
    <w:rsid w:val="69D750BF"/>
    <w:rsid w:val="69DD7064"/>
    <w:rsid w:val="69DF2184"/>
    <w:rsid w:val="69E228CC"/>
    <w:rsid w:val="69E5416A"/>
    <w:rsid w:val="69EA2F3F"/>
    <w:rsid w:val="69EB1906"/>
    <w:rsid w:val="69EB1E27"/>
    <w:rsid w:val="69EC374B"/>
    <w:rsid w:val="69ED735F"/>
    <w:rsid w:val="69F12B0F"/>
    <w:rsid w:val="69F35510"/>
    <w:rsid w:val="69F61ED3"/>
    <w:rsid w:val="69F76702"/>
    <w:rsid w:val="69F82F56"/>
    <w:rsid w:val="69F85FA8"/>
    <w:rsid w:val="69F961FB"/>
    <w:rsid w:val="69FC398E"/>
    <w:rsid w:val="69FE1BA8"/>
    <w:rsid w:val="6A065125"/>
    <w:rsid w:val="6A093665"/>
    <w:rsid w:val="6A0C56B0"/>
    <w:rsid w:val="6A1113CA"/>
    <w:rsid w:val="6A123626"/>
    <w:rsid w:val="6A164324"/>
    <w:rsid w:val="6A1938B8"/>
    <w:rsid w:val="6A1E2DB6"/>
    <w:rsid w:val="6A211646"/>
    <w:rsid w:val="6A222CC8"/>
    <w:rsid w:val="6A246A40"/>
    <w:rsid w:val="6A2904FB"/>
    <w:rsid w:val="6A2C5D71"/>
    <w:rsid w:val="6A2F2373"/>
    <w:rsid w:val="6A3271BD"/>
    <w:rsid w:val="6A376DCB"/>
    <w:rsid w:val="6A383046"/>
    <w:rsid w:val="6A3950E6"/>
    <w:rsid w:val="6A3B0848"/>
    <w:rsid w:val="6A3C1FDC"/>
    <w:rsid w:val="6A3D3FA6"/>
    <w:rsid w:val="6A415844"/>
    <w:rsid w:val="6A452A79"/>
    <w:rsid w:val="6A462E5B"/>
    <w:rsid w:val="6A4E5556"/>
    <w:rsid w:val="6A505A87"/>
    <w:rsid w:val="6A544296"/>
    <w:rsid w:val="6A5F216E"/>
    <w:rsid w:val="6A627569"/>
    <w:rsid w:val="6A641533"/>
    <w:rsid w:val="6A656D12"/>
    <w:rsid w:val="6A6A02D6"/>
    <w:rsid w:val="6A6E5F0E"/>
    <w:rsid w:val="6A6F59EB"/>
    <w:rsid w:val="6A7049F5"/>
    <w:rsid w:val="6A816C46"/>
    <w:rsid w:val="6A8448EC"/>
    <w:rsid w:val="6A86139C"/>
    <w:rsid w:val="6A8D21F3"/>
    <w:rsid w:val="6A902328"/>
    <w:rsid w:val="6A9040D6"/>
    <w:rsid w:val="6A927F39"/>
    <w:rsid w:val="6A981669"/>
    <w:rsid w:val="6A986382"/>
    <w:rsid w:val="6A9B5529"/>
    <w:rsid w:val="6A9D2977"/>
    <w:rsid w:val="6AA302AD"/>
    <w:rsid w:val="6AA3205B"/>
    <w:rsid w:val="6AA539BB"/>
    <w:rsid w:val="6AA60986"/>
    <w:rsid w:val="6AA77654"/>
    <w:rsid w:val="6AAD1AE8"/>
    <w:rsid w:val="6AB51A05"/>
    <w:rsid w:val="6AB9187F"/>
    <w:rsid w:val="6ABA028C"/>
    <w:rsid w:val="6ABA55F7"/>
    <w:rsid w:val="6ABF7FD4"/>
    <w:rsid w:val="6AC10FD5"/>
    <w:rsid w:val="6AC12A02"/>
    <w:rsid w:val="6AC21899"/>
    <w:rsid w:val="6AC233DC"/>
    <w:rsid w:val="6AC36259"/>
    <w:rsid w:val="6AC742BD"/>
    <w:rsid w:val="6AD94A35"/>
    <w:rsid w:val="6ADA50BE"/>
    <w:rsid w:val="6AE11EAC"/>
    <w:rsid w:val="6AE508C6"/>
    <w:rsid w:val="6AE8159D"/>
    <w:rsid w:val="6AEB755E"/>
    <w:rsid w:val="6AED777A"/>
    <w:rsid w:val="6AEF34F2"/>
    <w:rsid w:val="6AF300AB"/>
    <w:rsid w:val="6AFD1B09"/>
    <w:rsid w:val="6B00773B"/>
    <w:rsid w:val="6B043EEA"/>
    <w:rsid w:val="6B0E58F8"/>
    <w:rsid w:val="6B0F76F1"/>
    <w:rsid w:val="6B102E58"/>
    <w:rsid w:val="6B1116BB"/>
    <w:rsid w:val="6B113469"/>
    <w:rsid w:val="6B1362C5"/>
    <w:rsid w:val="6B154A35"/>
    <w:rsid w:val="6B19231D"/>
    <w:rsid w:val="6B1D005F"/>
    <w:rsid w:val="6B1D0454"/>
    <w:rsid w:val="6B21130D"/>
    <w:rsid w:val="6B217424"/>
    <w:rsid w:val="6B2632AB"/>
    <w:rsid w:val="6B2A62D8"/>
    <w:rsid w:val="6B2B5108"/>
    <w:rsid w:val="6B2D7B77"/>
    <w:rsid w:val="6B3042FF"/>
    <w:rsid w:val="6B3158B9"/>
    <w:rsid w:val="6B3C7DBA"/>
    <w:rsid w:val="6B403D4E"/>
    <w:rsid w:val="6B42775E"/>
    <w:rsid w:val="6B442F54"/>
    <w:rsid w:val="6B4849B1"/>
    <w:rsid w:val="6B4D1601"/>
    <w:rsid w:val="6B604D90"/>
    <w:rsid w:val="6B621EAA"/>
    <w:rsid w:val="6B642F9C"/>
    <w:rsid w:val="6B686E01"/>
    <w:rsid w:val="6B7E5C45"/>
    <w:rsid w:val="6B804A53"/>
    <w:rsid w:val="6B855A2C"/>
    <w:rsid w:val="6B855C05"/>
    <w:rsid w:val="6B923E7E"/>
    <w:rsid w:val="6B9249B8"/>
    <w:rsid w:val="6BA73F43"/>
    <w:rsid w:val="6BA75B7B"/>
    <w:rsid w:val="6BAE0CB8"/>
    <w:rsid w:val="6BB92906"/>
    <w:rsid w:val="6BBA1E60"/>
    <w:rsid w:val="6BBD40E6"/>
    <w:rsid w:val="6BC77FCB"/>
    <w:rsid w:val="6BCB4157"/>
    <w:rsid w:val="6BD24BEE"/>
    <w:rsid w:val="6BD36970"/>
    <w:rsid w:val="6BD61FBC"/>
    <w:rsid w:val="6BD76E4B"/>
    <w:rsid w:val="6BD9140C"/>
    <w:rsid w:val="6BDD334B"/>
    <w:rsid w:val="6BE071F2"/>
    <w:rsid w:val="6BE50451"/>
    <w:rsid w:val="6BF05CA3"/>
    <w:rsid w:val="6BF123BD"/>
    <w:rsid w:val="6BF30DC0"/>
    <w:rsid w:val="6BF6440D"/>
    <w:rsid w:val="6BF84629"/>
    <w:rsid w:val="6C001C8E"/>
    <w:rsid w:val="6C006F3E"/>
    <w:rsid w:val="6C0134DD"/>
    <w:rsid w:val="6C042FCD"/>
    <w:rsid w:val="6C054650"/>
    <w:rsid w:val="6C0B1942"/>
    <w:rsid w:val="6C0B435C"/>
    <w:rsid w:val="6C0B610A"/>
    <w:rsid w:val="6C0D6BB0"/>
    <w:rsid w:val="6C0E79A8"/>
    <w:rsid w:val="6C0F0C37"/>
    <w:rsid w:val="6C132E5F"/>
    <w:rsid w:val="6C1825D5"/>
    <w:rsid w:val="6C184383"/>
    <w:rsid w:val="6C1B20C5"/>
    <w:rsid w:val="6C1D2466"/>
    <w:rsid w:val="6C1F3963"/>
    <w:rsid w:val="6C1F652C"/>
    <w:rsid w:val="6C2B68DA"/>
    <w:rsid w:val="6C332ECB"/>
    <w:rsid w:val="6C386EAA"/>
    <w:rsid w:val="6C3B62C3"/>
    <w:rsid w:val="6C3D028D"/>
    <w:rsid w:val="6C3F4006"/>
    <w:rsid w:val="6C4258A4"/>
    <w:rsid w:val="6C45090D"/>
    <w:rsid w:val="6C472EBA"/>
    <w:rsid w:val="6C501D6F"/>
    <w:rsid w:val="6C517895"/>
    <w:rsid w:val="6C523D39"/>
    <w:rsid w:val="6C5B4ADD"/>
    <w:rsid w:val="6C5B7135"/>
    <w:rsid w:val="6C5C6966"/>
    <w:rsid w:val="6C5D448C"/>
    <w:rsid w:val="6C5D5536"/>
    <w:rsid w:val="6C627CF4"/>
    <w:rsid w:val="6C6450ED"/>
    <w:rsid w:val="6C684043"/>
    <w:rsid w:val="6C6972D4"/>
    <w:rsid w:val="6C6D5B02"/>
    <w:rsid w:val="6C6E48EB"/>
    <w:rsid w:val="6C705F6D"/>
    <w:rsid w:val="6C764577"/>
    <w:rsid w:val="6C7672FB"/>
    <w:rsid w:val="6C77379F"/>
    <w:rsid w:val="6C797AED"/>
    <w:rsid w:val="6C7A503E"/>
    <w:rsid w:val="6C7C7008"/>
    <w:rsid w:val="6C7F4088"/>
    <w:rsid w:val="6C7F43ED"/>
    <w:rsid w:val="6C800AE8"/>
    <w:rsid w:val="6C821A5E"/>
    <w:rsid w:val="6C835D8A"/>
    <w:rsid w:val="6C892B57"/>
    <w:rsid w:val="6C8B7ACF"/>
    <w:rsid w:val="6C8C7331"/>
    <w:rsid w:val="6C8E2897"/>
    <w:rsid w:val="6C9360FF"/>
    <w:rsid w:val="6C97174C"/>
    <w:rsid w:val="6C977C86"/>
    <w:rsid w:val="6C9A56E0"/>
    <w:rsid w:val="6C9A5956"/>
    <w:rsid w:val="6C9C686F"/>
    <w:rsid w:val="6C9F6852"/>
    <w:rsid w:val="6CA30856"/>
    <w:rsid w:val="6CB33807"/>
    <w:rsid w:val="6CC72DCE"/>
    <w:rsid w:val="6CC87B57"/>
    <w:rsid w:val="6CCB3AEB"/>
    <w:rsid w:val="6CD37EF4"/>
    <w:rsid w:val="6CD72490"/>
    <w:rsid w:val="6CD75FEC"/>
    <w:rsid w:val="6CD830DA"/>
    <w:rsid w:val="6CDC7AA6"/>
    <w:rsid w:val="6CDD0421"/>
    <w:rsid w:val="6CDF1345"/>
    <w:rsid w:val="6CE07597"/>
    <w:rsid w:val="6CE2561C"/>
    <w:rsid w:val="6CED5810"/>
    <w:rsid w:val="6CF20365"/>
    <w:rsid w:val="6CF7043C"/>
    <w:rsid w:val="6CFB656C"/>
    <w:rsid w:val="6CFC5A53"/>
    <w:rsid w:val="6CFC61C3"/>
    <w:rsid w:val="6D031EBC"/>
    <w:rsid w:val="6D034841"/>
    <w:rsid w:val="6D05528D"/>
    <w:rsid w:val="6D090AE2"/>
    <w:rsid w:val="6D0D0F74"/>
    <w:rsid w:val="6D0E1A28"/>
    <w:rsid w:val="6D1159A2"/>
    <w:rsid w:val="6D12171A"/>
    <w:rsid w:val="6D1234C8"/>
    <w:rsid w:val="6D165EB3"/>
    <w:rsid w:val="6D171100"/>
    <w:rsid w:val="6D17288C"/>
    <w:rsid w:val="6D172BE8"/>
    <w:rsid w:val="6D2356D5"/>
    <w:rsid w:val="6D267C77"/>
    <w:rsid w:val="6D2B5181"/>
    <w:rsid w:val="6D2B6338"/>
    <w:rsid w:val="6D2D3E1A"/>
    <w:rsid w:val="6D2D3E5E"/>
    <w:rsid w:val="6D320AB2"/>
    <w:rsid w:val="6D341C46"/>
    <w:rsid w:val="6D343B19"/>
    <w:rsid w:val="6D360FD1"/>
    <w:rsid w:val="6D371181"/>
    <w:rsid w:val="6D374CDD"/>
    <w:rsid w:val="6D3C3656"/>
    <w:rsid w:val="6D3C57B3"/>
    <w:rsid w:val="6D410C09"/>
    <w:rsid w:val="6D416038"/>
    <w:rsid w:val="6D4A4A10"/>
    <w:rsid w:val="6D4D62AE"/>
    <w:rsid w:val="6D4F0278"/>
    <w:rsid w:val="6D515B83"/>
    <w:rsid w:val="6D592EA5"/>
    <w:rsid w:val="6D594C53"/>
    <w:rsid w:val="6D5B09CB"/>
    <w:rsid w:val="6D5B6C1D"/>
    <w:rsid w:val="6D6A002E"/>
    <w:rsid w:val="6D711C78"/>
    <w:rsid w:val="6D714BDE"/>
    <w:rsid w:val="6D7221B9"/>
    <w:rsid w:val="6D743BC8"/>
    <w:rsid w:val="6D7813AB"/>
    <w:rsid w:val="6D786658"/>
    <w:rsid w:val="6D7B72BF"/>
    <w:rsid w:val="6D7D690F"/>
    <w:rsid w:val="6D8141AA"/>
    <w:rsid w:val="6D853C9A"/>
    <w:rsid w:val="6D877A12"/>
    <w:rsid w:val="6D8A305E"/>
    <w:rsid w:val="6D8B1D1F"/>
    <w:rsid w:val="6D8C327A"/>
    <w:rsid w:val="6D8C5028"/>
    <w:rsid w:val="6D940381"/>
    <w:rsid w:val="6D983849"/>
    <w:rsid w:val="6D9C0FE4"/>
    <w:rsid w:val="6D9E6B0A"/>
    <w:rsid w:val="6DA06D26"/>
    <w:rsid w:val="6DAA1953"/>
    <w:rsid w:val="6DAD116F"/>
    <w:rsid w:val="6DAD2027"/>
    <w:rsid w:val="6DAF6F69"/>
    <w:rsid w:val="6DB225B5"/>
    <w:rsid w:val="6DB450BF"/>
    <w:rsid w:val="6DB4632D"/>
    <w:rsid w:val="6DB620A5"/>
    <w:rsid w:val="6DB7191B"/>
    <w:rsid w:val="6DB968B8"/>
    <w:rsid w:val="6DBB4A0F"/>
    <w:rsid w:val="6DBB528E"/>
    <w:rsid w:val="6DBD3434"/>
    <w:rsid w:val="6DC05B9B"/>
    <w:rsid w:val="6DC23D16"/>
    <w:rsid w:val="6DC72505"/>
    <w:rsid w:val="6DC9002B"/>
    <w:rsid w:val="6DC95E3D"/>
    <w:rsid w:val="6DCE5641"/>
    <w:rsid w:val="6DD06FAF"/>
    <w:rsid w:val="6DD2352E"/>
    <w:rsid w:val="6DD30EA9"/>
    <w:rsid w:val="6DD436CF"/>
    <w:rsid w:val="6DDB128D"/>
    <w:rsid w:val="6DE262E2"/>
    <w:rsid w:val="6DE85FD7"/>
    <w:rsid w:val="6DED4EBC"/>
    <w:rsid w:val="6DEF7365"/>
    <w:rsid w:val="6DF46479"/>
    <w:rsid w:val="6DFB2481"/>
    <w:rsid w:val="6DFB5D0A"/>
    <w:rsid w:val="6E005A16"/>
    <w:rsid w:val="6E027099"/>
    <w:rsid w:val="6E095992"/>
    <w:rsid w:val="6E096679"/>
    <w:rsid w:val="6E105C5A"/>
    <w:rsid w:val="6E1312A6"/>
    <w:rsid w:val="6E14215C"/>
    <w:rsid w:val="6E1D45CF"/>
    <w:rsid w:val="6E283B6C"/>
    <w:rsid w:val="6E2C6AC6"/>
    <w:rsid w:val="6E316BBC"/>
    <w:rsid w:val="6E3A3A96"/>
    <w:rsid w:val="6E3F653F"/>
    <w:rsid w:val="6E405E13"/>
    <w:rsid w:val="6E453429"/>
    <w:rsid w:val="6E49116B"/>
    <w:rsid w:val="6E4B2E0A"/>
    <w:rsid w:val="6E4B4EE4"/>
    <w:rsid w:val="6E4B6C92"/>
    <w:rsid w:val="6E517C93"/>
    <w:rsid w:val="6E5F098F"/>
    <w:rsid w:val="6E613DB7"/>
    <w:rsid w:val="6E625D89"/>
    <w:rsid w:val="6E674FF8"/>
    <w:rsid w:val="6E6935BC"/>
    <w:rsid w:val="6E69536A"/>
    <w:rsid w:val="6E6C09B6"/>
    <w:rsid w:val="6E6E2980"/>
    <w:rsid w:val="6E755ABD"/>
    <w:rsid w:val="6E7667B8"/>
    <w:rsid w:val="6E7A1325"/>
    <w:rsid w:val="6E7C509D"/>
    <w:rsid w:val="6E8403F6"/>
    <w:rsid w:val="6E8B0D18"/>
    <w:rsid w:val="6E8C7E5C"/>
    <w:rsid w:val="6E922B12"/>
    <w:rsid w:val="6E9303B3"/>
    <w:rsid w:val="6E9D5013"/>
    <w:rsid w:val="6E9F3C9F"/>
    <w:rsid w:val="6EA14B04"/>
    <w:rsid w:val="6EAB3EB2"/>
    <w:rsid w:val="6EAD4B62"/>
    <w:rsid w:val="6EAE7733"/>
    <w:rsid w:val="6EB13F1A"/>
    <w:rsid w:val="6EB44A35"/>
    <w:rsid w:val="6EBB40DE"/>
    <w:rsid w:val="6EBE0E4A"/>
    <w:rsid w:val="6EC52C7A"/>
    <w:rsid w:val="6EC64279"/>
    <w:rsid w:val="6ECC38B8"/>
    <w:rsid w:val="6ED70525"/>
    <w:rsid w:val="6ED749C9"/>
    <w:rsid w:val="6EDA0016"/>
    <w:rsid w:val="6EDD18B4"/>
    <w:rsid w:val="6EE20292"/>
    <w:rsid w:val="6EE22D3E"/>
    <w:rsid w:val="6EEA2303"/>
    <w:rsid w:val="6EEB3FD1"/>
    <w:rsid w:val="6EEC06F7"/>
    <w:rsid w:val="6EEE0C46"/>
    <w:rsid w:val="6EF72976"/>
    <w:rsid w:val="6EF957F8"/>
    <w:rsid w:val="6EFF27C5"/>
    <w:rsid w:val="6F0137F4"/>
    <w:rsid w:val="6F0532E4"/>
    <w:rsid w:val="6F0B2A24"/>
    <w:rsid w:val="6F0D3F47"/>
    <w:rsid w:val="6F0D5F20"/>
    <w:rsid w:val="6F131AC6"/>
    <w:rsid w:val="6F141779"/>
    <w:rsid w:val="6F177DDA"/>
    <w:rsid w:val="6F1866F2"/>
    <w:rsid w:val="6F1B41AE"/>
    <w:rsid w:val="6F2D283B"/>
    <w:rsid w:val="6F2F210F"/>
    <w:rsid w:val="6F3040D9"/>
    <w:rsid w:val="6F3239AE"/>
    <w:rsid w:val="6F3516F0"/>
    <w:rsid w:val="6F384A96"/>
    <w:rsid w:val="6F3A7ED5"/>
    <w:rsid w:val="6F3B6D06"/>
    <w:rsid w:val="6F3C42C6"/>
    <w:rsid w:val="6F3F0F5A"/>
    <w:rsid w:val="6F40256E"/>
    <w:rsid w:val="6F406688"/>
    <w:rsid w:val="6F4153BB"/>
    <w:rsid w:val="6F4162E7"/>
    <w:rsid w:val="6F44392B"/>
    <w:rsid w:val="6F477302"/>
    <w:rsid w:val="6F4A0DE4"/>
    <w:rsid w:val="6F547DC8"/>
    <w:rsid w:val="6F5A4B86"/>
    <w:rsid w:val="6F5B1156"/>
    <w:rsid w:val="6F60051B"/>
    <w:rsid w:val="6F7044D6"/>
    <w:rsid w:val="6F755C7D"/>
    <w:rsid w:val="6F773AB6"/>
    <w:rsid w:val="6F7C183E"/>
    <w:rsid w:val="6F811C8E"/>
    <w:rsid w:val="6F836563"/>
    <w:rsid w:val="6F862CF7"/>
    <w:rsid w:val="6F8C7562"/>
    <w:rsid w:val="6F8F2BAE"/>
    <w:rsid w:val="6F8F403F"/>
    <w:rsid w:val="6F8F7052"/>
    <w:rsid w:val="6F9132A8"/>
    <w:rsid w:val="6F937B50"/>
    <w:rsid w:val="6F944668"/>
    <w:rsid w:val="6F947AC5"/>
    <w:rsid w:val="6F9C5A16"/>
    <w:rsid w:val="6F9D7F37"/>
    <w:rsid w:val="6FA42FFA"/>
    <w:rsid w:val="6FAD572A"/>
    <w:rsid w:val="6FB865A9"/>
    <w:rsid w:val="6FBB39A3"/>
    <w:rsid w:val="6FBC771B"/>
    <w:rsid w:val="6FC22F83"/>
    <w:rsid w:val="6FCD12F8"/>
    <w:rsid w:val="6FCD1928"/>
    <w:rsid w:val="6FD15666"/>
    <w:rsid w:val="6FD1766A"/>
    <w:rsid w:val="6FDB4045"/>
    <w:rsid w:val="6FE078AE"/>
    <w:rsid w:val="6FE32EFA"/>
    <w:rsid w:val="6FE4739E"/>
    <w:rsid w:val="6FEA24DA"/>
    <w:rsid w:val="6FF05584"/>
    <w:rsid w:val="6FF611BD"/>
    <w:rsid w:val="700469AA"/>
    <w:rsid w:val="70057314"/>
    <w:rsid w:val="70117DCC"/>
    <w:rsid w:val="70147557"/>
    <w:rsid w:val="70156487"/>
    <w:rsid w:val="70194B6E"/>
    <w:rsid w:val="701A0506"/>
    <w:rsid w:val="701B08E6"/>
    <w:rsid w:val="701B5529"/>
    <w:rsid w:val="701D453F"/>
    <w:rsid w:val="701D640C"/>
    <w:rsid w:val="701E4D44"/>
    <w:rsid w:val="70241EE0"/>
    <w:rsid w:val="70244355"/>
    <w:rsid w:val="70271038"/>
    <w:rsid w:val="70297111"/>
    <w:rsid w:val="702A5C34"/>
    <w:rsid w:val="702A6D7B"/>
    <w:rsid w:val="702C48A1"/>
    <w:rsid w:val="702E23C7"/>
    <w:rsid w:val="70333E81"/>
    <w:rsid w:val="70357BF9"/>
    <w:rsid w:val="703A3B85"/>
    <w:rsid w:val="70422316"/>
    <w:rsid w:val="70427D39"/>
    <w:rsid w:val="704A4AC6"/>
    <w:rsid w:val="704C6CF1"/>
    <w:rsid w:val="705067E1"/>
    <w:rsid w:val="705B0CE2"/>
    <w:rsid w:val="705C1573"/>
    <w:rsid w:val="705F07D2"/>
    <w:rsid w:val="706202C3"/>
    <w:rsid w:val="70661C56"/>
    <w:rsid w:val="70671D7D"/>
    <w:rsid w:val="706933FF"/>
    <w:rsid w:val="706E6C67"/>
    <w:rsid w:val="70786C79"/>
    <w:rsid w:val="70814BED"/>
    <w:rsid w:val="7082773A"/>
    <w:rsid w:val="7089502D"/>
    <w:rsid w:val="708C3591"/>
    <w:rsid w:val="708D6817"/>
    <w:rsid w:val="708E10B8"/>
    <w:rsid w:val="70904E30"/>
    <w:rsid w:val="70912956"/>
    <w:rsid w:val="70932B72"/>
    <w:rsid w:val="709A5CAE"/>
    <w:rsid w:val="709B37D5"/>
    <w:rsid w:val="709B5583"/>
    <w:rsid w:val="709D12FB"/>
    <w:rsid w:val="709F3106"/>
    <w:rsid w:val="709F3565"/>
    <w:rsid w:val="70A22DB5"/>
    <w:rsid w:val="70A23177"/>
    <w:rsid w:val="70A2630C"/>
    <w:rsid w:val="70A543B9"/>
    <w:rsid w:val="70A5694D"/>
    <w:rsid w:val="70AB6137"/>
    <w:rsid w:val="70AC59E2"/>
    <w:rsid w:val="70AC7790"/>
    <w:rsid w:val="70AD723C"/>
    <w:rsid w:val="70AE3508"/>
    <w:rsid w:val="70B12FF8"/>
    <w:rsid w:val="70B30221"/>
    <w:rsid w:val="70B517FB"/>
    <w:rsid w:val="70BC18E3"/>
    <w:rsid w:val="70BE4BA3"/>
    <w:rsid w:val="70C20D61"/>
    <w:rsid w:val="70C66AA3"/>
    <w:rsid w:val="70C77566"/>
    <w:rsid w:val="70C84A9F"/>
    <w:rsid w:val="70CB23C7"/>
    <w:rsid w:val="70D07922"/>
    <w:rsid w:val="70D6056F"/>
    <w:rsid w:val="70DA6696"/>
    <w:rsid w:val="70DF5DB7"/>
    <w:rsid w:val="70E240FD"/>
    <w:rsid w:val="70ED448B"/>
    <w:rsid w:val="70EE1B56"/>
    <w:rsid w:val="70EE693E"/>
    <w:rsid w:val="70F353BF"/>
    <w:rsid w:val="70F80C27"/>
    <w:rsid w:val="70FF3ED5"/>
    <w:rsid w:val="7104645B"/>
    <w:rsid w:val="710870BC"/>
    <w:rsid w:val="710C193D"/>
    <w:rsid w:val="711041C2"/>
    <w:rsid w:val="7113730F"/>
    <w:rsid w:val="71186BD3"/>
    <w:rsid w:val="711A0EE2"/>
    <w:rsid w:val="711A6DEF"/>
    <w:rsid w:val="711F6B2D"/>
    <w:rsid w:val="71245578"/>
    <w:rsid w:val="712559EA"/>
    <w:rsid w:val="712832BA"/>
    <w:rsid w:val="712A4097"/>
    <w:rsid w:val="712D267F"/>
    <w:rsid w:val="712E6DAB"/>
    <w:rsid w:val="7130216F"/>
    <w:rsid w:val="71325911"/>
    <w:rsid w:val="71341C5F"/>
    <w:rsid w:val="713C4FB8"/>
    <w:rsid w:val="713F1162"/>
    <w:rsid w:val="714125CE"/>
    <w:rsid w:val="71453E6C"/>
    <w:rsid w:val="71494246"/>
    <w:rsid w:val="714E0847"/>
    <w:rsid w:val="71535E5D"/>
    <w:rsid w:val="71556F37"/>
    <w:rsid w:val="71557E27"/>
    <w:rsid w:val="715D19E6"/>
    <w:rsid w:val="716144FC"/>
    <w:rsid w:val="71630796"/>
    <w:rsid w:val="71657472"/>
    <w:rsid w:val="716919A2"/>
    <w:rsid w:val="71696914"/>
    <w:rsid w:val="716B13F9"/>
    <w:rsid w:val="716D3EB2"/>
    <w:rsid w:val="716F713B"/>
    <w:rsid w:val="717812F3"/>
    <w:rsid w:val="717835AD"/>
    <w:rsid w:val="717A163C"/>
    <w:rsid w:val="717F0411"/>
    <w:rsid w:val="717F65F5"/>
    <w:rsid w:val="71802950"/>
    <w:rsid w:val="718129CA"/>
    <w:rsid w:val="71866233"/>
    <w:rsid w:val="71947777"/>
    <w:rsid w:val="719A09DE"/>
    <w:rsid w:val="719C0834"/>
    <w:rsid w:val="719E17CE"/>
    <w:rsid w:val="71A13AE0"/>
    <w:rsid w:val="71A2439B"/>
    <w:rsid w:val="71AB7A47"/>
    <w:rsid w:val="71B2527A"/>
    <w:rsid w:val="71B52040"/>
    <w:rsid w:val="71B66B18"/>
    <w:rsid w:val="71BB6A1B"/>
    <w:rsid w:val="71C276EC"/>
    <w:rsid w:val="71C42D2E"/>
    <w:rsid w:val="71C64881"/>
    <w:rsid w:val="71CA6D36"/>
    <w:rsid w:val="71D64AC4"/>
    <w:rsid w:val="71D76A8E"/>
    <w:rsid w:val="71DA45AE"/>
    <w:rsid w:val="71E66E5B"/>
    <w:rsid w:val="71E73175"/>
    <w:rsid w:val="71F130EA"/>
    <w:rsid w:val="71F17B50"/>
    <w:rsid w:val="71F47640"/>
    <w:rsid w:val="71F66BED"/>
    <w:rsid w:val="71FF0F1B"/>
    <w:rsid w:val="72001B41"/>
    <w:rsid w:val="720158B9"/>
    <w:rsid w:val="720438FD"/>
    <w:rsid w:val="72086C48"/>
    <w:rsid w:val="720E2D07"/>
    <w:rsid w:val="72127AC6"/>
    <w:rsid w:val="721455EC"/>
    <w:rsid w:val="721B3C29"/>
    <w:rsid w:val="72236ECD"/>
    <w:rsid w:val="722515A8"/>
    <w:rsid w:val="722516E4"/>
    <w:rsid w:val="72253C9E"/>
    <w:rsid w:val="72292A86"/>
    <w:rsid w:val="723143F0"/>
    <w:rsid w:val="723637B5"/>
    <w:rsid w:val="723719C5"/>
    <w:rsid w:val="723D4B43"/>
    <w:rsid w:val="723F1409"/>
    <w:rsid w:val="72477770"/>
    <w:rsid w:val="724834E8"/>
    <w:rsid w:val="7249798C"/>
    <w:rsid w:val="724A7260"/>
    <w:rsid w:val="724C4D86"/>
    <w:rsid w:val="724E6D50"/>
    <w:rsid w:val="724F0D1A"/>
    <w:rsid w:val="72514A93"/>
    <w:rsid w:val="725C09A0"/>
    <w:rsid w:val="7260565A"/>
    <w:rsid w:val="72617EAB"/>
    <w:rsid w:val="726227FC"/>
    <w:rsid w:val="72655E48"/>
    <w:rsid w:val="72684572"/>
    <w:rsid w:val="726A16B0"/>
    <w:rsid w:val="726C7D64"/>
    <w:rsid w:val="726F4F19"/>
    <w:rsid w:val="726F75AB"/>
    <w:rsid w:val="727062C8"/>
    <w:rsid w:val="727069B4"/>
    <w:rsid w:val="72710C91"/>
    <w:rsid w:val="72730565"/>
    <w:rsid w:val="7273314B"/>
    <w:rsid w:val="72750781"/>
    <w:rsid w:val="72783DCD"/>
    <w:rsid w:val="727A5D97"/>
    <w:rsid w:val="727E1867"/>
    <w:rsid w:val="72807126"/>
    <w:rsid w:val="72810FB9"/>
    <w:rsid w:val="72824C4C"/>
    <w:rsid w:val="728409C4"/>
    <w:rsid w:val="7288568C"/>
    <w:rsid w:val="728C7879"/>
    <w:rsid w:val="72907369"/>
    <w:rsid w:val="72972638"/>
    <w:rsid w:val="729D6171"/>
    <w:rsid w:val="729E0259"/>
    <w:rsid w:val="729E5688"/>
    <w:rsid w:val="729F75AC"/>
    <w:rsid w:val="72A4647B"/>
    <w:rsid w:val="72A46970"/>
    <w:rsid w:val="72A746B3"/>
    <w:rsid w:val="72AC0479"/>
    <w:rsid w:val="72B103A0"/>
    <w:rsid w:val="72B40078"/>
    <w:rsid w:val="72B8066E"/>
    <w:rsid w:val="72BC63B0"/>
    <w:rsid w:val="72C54B39"/>
    <w:rsid w:val="72C62D8B"/>
    <w:rsid w:val="72CE7313"/>
    <w:rsid w:val="72D059B7"/>
    <w:rsid w:val="72D336FA"/>
    <w:rsid w:val="72D4094B"/>
    <w:rsid w:val="72D66F5A"/>
    <w:rsid w:val="72D8486C"/>
    <w:rsid w:val="72D86BD3"/>
    <w:rsid w:val="72DB15CA"/>
    <w:rsid w:val="72E05876"/>
    <w:rsid w:val="72E2521B"/>
    <w:rsid w:val="72E47E1D"/>
    <w:rsid w:val="72E64EB1"/>
    <w:rsid w:val="72EF04FC"/>
    <w:rsid w:val="72F07E08"/>
    <w:rsid w:val="72F37D2D"/>
    <w:rsid w:val="72F64A73"/>
    <w:rsid w:val="72FB0CA2"/>
    <w:rsid w:val="72FC49FE"/>
    <w:rsid w:val="73042E7C"/>
    <w:rsid w:val="73056051"/>
    <w:rsid w:val="73090EC9"/>
    <w:rsid w:val="730A1B38"/>
    <w:rsid w:val="73124222"/>
    <w:rsid w:val="73125FD0"/>
    <w:rsid w:val="731801D9"/>
    <w:rsid w:val="731955B0"/>
    <w:rsid w:val="731E338E"/>
    <w:rsid w:val="731F249B"/>
    <w:rsid w:val="73245D03"/>
    <w:rsid w:val="732637EC"/>
    <w:rsid w:val="733028FA"/>
    <w:rsid w:val="733F6699"/>
    <w:rsid w:val="73487C44"/>
    <w:rsid w:val="734D44D8"/>
    <w:rsid w:val="73584FE4"/>
    <w:rsid w:val="735A6AEC"/>
    <w:rsid w:val="735C549D"/>
    <w:rsid w:val="735C724B"/>
    <w:rsid w:val="735F0AE9"/>
    <w:rsid w:val="73602EA4"/>
    <w:rsid w:val="73637F0D"/>
    <w:rsid w:val="73644352"/>
    <w:rsid w:val="736D3206"/>
    <w:rsid w:val="73740A39"/>
    <w:rsid w:val="73751F25"/>
    <w:rsid w:val="737909F4"/>
    <w:rsid w:val="737E150A"/>
    <w:rsid w:val="737E32EA"/>
    <w:rsid w:val="737F118B"/>
    <w:rsid w:val="737F2F3A"/>
    <w:rsid w:val="73814F04"/>
    <w:rsid w:val="738642C8"/>
    <w:rsid w:val="738A025C"/>
    <w:rsid w:val="738D5656"/>
    <w:rsid w:val="738E13CF"/>
    <w:rsid w:val="739015EB"/>
    <w:rsid w:val="73907A80"/>
    <w:rsid w:val="739B4217"/>
    <w:rsid w:val="739E44FF"/>
    <w:rsid w:val="739E4A9F"/>
    <w:rsid w:val="73A11102"/>
    <w:rsid w:val="73AD3F4B"/>
    <w:rsid w:val="73B15772"/>
    <w:rsid w:val="73B2330F"/>
    <w:rsid w:val="73B61051"/>
    <w:rsid w:val="73BA1BD5"/>
    <w:rsid w:val="73BA353C"/>
    <w:rsid w:val="73BC60D0"/>
    <w:rsid w:val="73BD0A2D"/>
    <w:rsid w:val="73BD5CDD"/>
    <w:rsid w:val="73BE0515"/>
    <w:rsid w:val="73BE3A62"/>
    <w:rsid w:val="73C03C7E"/>
    <w:rsid w:val="73C05940"/>
    <w:rsid w:val="73C117C3"/>
    <w:rsid w:val="73C41C95"/>
    <w:rsid w:val="73C60B68"/>
    <w:rsid w:val="73C6500C"/>
    <w:rsid w:val="73CA6639"/>
    <w:rsid w:val="73CB1AEB"/>
    <w:rsid w:val="73CB617F"/>
    <w:rsid w:val="73D239B1"/>
    <w:rsid w:val="73D72D76"/>
    <w:rsid w:val="73D96AEE"/>
    <w:rsid w:val="73DC038C"/>
    <w:rsid w:val="73E13FC7"/>
    <w:rsid w:val="73E561DB"/>
    <w:rsid w:val="73E6120B"/>
    <w:rsid w:val="73EA06EE"/>
    <w:rsid w:val="73F12089"/>
    <w:rsid w:val="73F15E96"/>
    <w:rsid w:val="73F3740F"/>
    <w:rsid w:val="73F41B79"/>
    <w:rsid w:val="73FC0A2E"/>
    <w:rsid w:val="73FC32EF"/>
    <w:rsid w:val="73FE6CCE"/>
    <w:rsid w:val="7400407A"/>
    <w:rsid w:val="740A6CA7"/>
    <w:rsid w:val="740B2A1F"/>
    <w:rsid w:val="74143FCA"/>
    <w:rsid w:val="74147B26"/>
    <w:rsid w:val="74157F65"/>
    <w:rsid w:val="74177616"/>
    <w:rsid w:val="7419338E"/>
    <w:rsid w:val="741C1E03"/>
    <w:rsid w:val="741C69DA"/>
    <w:rsid w:val="741E6C86"/>
    <w:rsid w:val="7420296E"/>
    <w:rsid w:val="74232316"/>
    <w:rsid w:val="742859A7"/>
    <w:rsid w:val="742B77FD"/>
    <w:rsid w:val="742C1313"/>
    <w:rsid w:val="743341F9"/>
    <w:rsid w:val="743E4BA3"/>
    <w:rsid w:val="744228E5"/>
    <w:rsid w:val="74442DF9"/>
    <w:rsid w:val="74477EFB"/>
    <w:rsid w:val="744C5512"/>
    <w:rsid w:val="744D2ACC"/>
    <w:rsid w:val="744F5002"/>
    <w:rsid w:val="74510D7A"/>
    <w:rsid w:val="74546174"/>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9207F"/>
    <w:rsid w:val="747C6731"/>
    <w:rsid w:val="74850A24"/>
    <w:rsid w:val="748527D2"/>
    <w:rsid w:val="748A603A"/>
    <w:rsid w:val="749949F7"/>
    <w:rsid w:val="749F1AE5"/>
    <w:rsid w:val="74A215D5"/>
    <w:rsid w:val="74A470FC"/>
    <w:rsid w:val="74A6237F"/>
    <w:rsid w:val="74A964C0"/>
    <w:rsid w:val="74B5450B"/>
    <w:rsid w:val="74B5595C"/>
    <w:rsid w:val="74B80DF9"/>
    <w:rsid w:val="74BC37FB"/>
    <w:rsid w:val="74C06141"/>
    <w:rsid w:val="74C432FA"/>
    <w:rsid w:val="74C50E20"/>
    <w:rsid w:val="74C94E9D"/>
    <w:rsid w:val="74CA6436"/>
    <w:rsid w:val="74CC21AE"/>
    <w:rsid w:val="74CF694D"/>
    <w:rsid w:val="74D47731"/>
    <w:rsid w:val="74D6302D"/>
    <w:rsid w:val="74E039E8"/>
    <w:rsid w:val="74E13026"/>
    <w:rsid w:val="74E53270"/>
    <w:rsid w:val="74E92D60"/>
    <w:rsid w:val="74EA0887"/>
    <w:rsid w:val="74EB4D2A"/>
    <w:rsid w:val="74EE0377"/>
    <w:rsid w:val="74EE65C9"/>
    <w:rsid w:val="74F86FE9"/>
    <w:rsid w:val="74F90479"/>
    <w:rsid w:val="74FF42EB"/>
    <w:rsid w:val="75004737"/>
    <w:rsid w:val="7500577B"/>
    <w:rsid w:val="75041948"/>
    <w:rsid w:val="75071439"/>
    <w:rsid w:val="75114C90"/>
    <w:rsid w:val="7521074C"/>
    <w:rsid w:val="75267B11"/>
    <w:rsid w:val="752913AF"/>
    <w:rsid w:val="75322B76"/>
    <w:rsid w:val="7533222E"/>
    <w:rsid w:val="75333619"/>
    <w:rsid w:val="75387844"/>
    <w:rsid w:val="753D12FE"/>
    <w:rsid w:val="753D30AC"/>
    <w:rsid w:val="75425644"/>
    <w:rsid w:val="75476CAA"/>
    <w:rsid w:val="75480FE3"/>
    <w:rsid w:val="7548394C"/>
    <w:rsid w:val="754B12D3"/>
    <w:rsid w:val="755152D3"/>
    <w:rsid w:val="755A1EB0"/>
    <w:rsid w:val="755A5A0C"/>
    <w:rsid w:val="755D707D"/>
    <w:rsid w:val="75614247"/>
    <w:rsid w:val="75614FED"/>
    <w:rsid w:val="75670FFF"/>
    <w:rsid w:val="75695C4F"/>
    <w:rsid w:val="756B17C2"/>
    <w:rsid w:val="75706FDE"/>
    <w:rsid w:val="7577036C"/>
    <w:rsid w:val="757A1C0A"/>
    <w:rsid w:val="757B56BE"/>
    <w:rsid w:val="757D1115"/>
    <w:rsid w:val="758331B5"/>
    <w:rsid w:val="75862CA5"/>
    <w:rsid w:val="7588037A"/>
    <w:rsid w:val="758F65B0"/>
    <w:rsid w:val="75907680"/>
    <w:rsid w:val="75986327"/>
    <w:rsid w:val="75986535"/>
    <w:rsid w:val="75992388"/>
    <w:rsid w:val="759C7DD3"/>
    <w:rsid w:val="759E1500"/>
    <w:rsid w:val="75A03D67"/>
    <w:rsid w:val="75A36467"/>
    <w:rsid w:val="75A82C1C"/>
    <w:rsid w:val="75B90985"/>
    <w:rsid w:val="75C15A8B"/>
    <w:rsid w:val="75C2385F"/>
    <w:rsid w:val="75C31803"/>
    <w:rsid w:val="75C437EC"/>
    <w:rsid w:val="75C80BC8"/>
    <w:rsid w:val="75CA2B92"/>
    <w:rsid w:val="75D34AD2"/>
    <w:rsid w:val="75D827F1"/>
    <w:rsid w:val="75DE663D"/>
    <w:rsid w:val="75E36059"/>
    <w:rsid w:val="75E841DD"/>
    <w:rsid w:val="75E874BC"/>
    <w:rsid w:val="75E9087A"/>
    <w:rsid w:val="75EA6D90"/>
    <w:rsid w:val="75EF084A"/>
    <w:rsid w:val="75F257F1"/>
    <w:rsid w:val="75F776FF"/>
    <w:rsid w:val="75F842DC"/>
    <w:rsid w:val="75F93E4E"/>
    <w:rsid w:val="76012189"/>
    <w:rsid w:val="76051E1C"/>
    <w:rsid w:val="7610431D"/>
    <w:rsid w:val="761107C1"/>
    <w:rsid w:val="76116A13"/>
    <w:rsid w:val="76120095"/>
    <w:rsid w:val="761A6D08"/>
    <w:rsid w:val="761C7166"/>
    <w:rsid w:val="76201FB0"/>
    <w:rsid w:val="76277A97"/>
    <w:rsid w:val="76285B0A"/>
    <w:rsid w:val="762F6E99"/>
    <w:rsid w:val="763444AF"/>
    <w:rsid w:val="7634625D"/>
    <w:rsid w:val="763B6025"/>
    <w:rsid w:val="764364A0"/>
    <w:rsid w:val="764741E2"/>
    <w:rsid w:val="764F590C"/>
    <w:rsid w:val="764F64BE"/>
    <w:rsid w:val="76525BE7"/>
    <w:rsid w:val="76557CFE"/>
    <w:rsid w:val="76592168"/>
    <w:rsid w:val="765B265C"/>
    <w:rsid w:val="765B7C8E"/>
    <w:rsid w:val="765C57B4"/>
    <w:rsid w:val="765D0026"/>
    <w:rsid w:val="7662101C"/>
    <w:rsid w:val="76692C0E"/>
    <w:rsid w:val="766C59F7"/>
    <w:rsid w:val="766D176F"/>
    <w:rsid w:val="7671125F"/>
    <w:rsid w:val="76740D50"/>
    <w:rsid w:val="7677439C"/>
    <w:rsid w:val="767A48FF"/>
    <w:rsid w:val="767D6349"/>
    <w:rsid w:val="767E397C"/>
    <w:rsid w:val="767F592F"/>
    <w:rsid w:val="76812C15"/>
    <w:rsid w:val="76842C1C"/>
    <w:rsid w:val="76860257"/>
    <w:rsid w:val="7691545E"/>
    <w:rsid w:val="76945635"/>
    <w:rsid w:val="76992564"/>
    <w:rsid w:val="76AE5798"/>
    <w:rsid w:val="76AE6010"/>
    <w:rsid w:val="76AF2641"/>
    <w:rsid w:val="76BA2FFA"/>
    <w:rsid w:val="76BC23A9"/>
    <w:rsid w:val="76BC400E"/>
    <w:rsid w:val="76C02894"/>
    <w:rsid w:val="76C113A3"/>
    <w:rsid w:val="76C53359"/>
    <w:rsid w:val="76C85441"/>
    <w:rsid w:val="76D31F1A"/>
    <w:rsid w:val="76D90BB3"/>
    <w:rsid w:val="76E01F41"/>
    <w:rsid w:val="76E3616A"/>
    <w:rsid w:val="76E64C26"/>
    <w:rsid w:val="76E84269"/>
    <w:rsid w:val="76E85E0B"/>
    <w:rsid w:val="76E96C3F"/>
    <w:rsid w:val="76EB42AA"/>
    <w:rsid w:val="76EE02E4"/>
    <w:rsid w:val="76EE28B0"/>
    <w:rsid w:val="76EF6628"/>
    <w:rsid w:val="76F358AB"/>
    <w:rsid w:val="76FF2D0F"/>
    <w:rsid w:val="76FF3F0A"/>
    <w:rsid w:val="77005040"/>
    <w:rsid w:val="7706409E"/>
    <w:rsid w:val="770C61B4"/>
    <w:rsid w:val="77135A8C"/>
    <w:rsid w:val="771C2C96"/>
    <w:rsid w:val="772618AB"/>
    <w:rsid w:val="7726586C"/>
    <w:rsid w:val="772D1C1A"/>
    <w:rsid w:val="772F421F"/>
    <w:rsid w:val="77300FA6"/>
    <w:rsid w:val="773A3D47"/>
    <w:rsid w:val="773A5AF5"/>
    <w:rsid w:val="773C3B52"/>
    <w:rsid w:val="773D55E5"/>
    <w:rsid w:val="773D6723"/>
    <w:rsid w:val="774249AA"/>
    <w:rsid w:val="774467B9"/>
    <w:rsid w:val="77467AA6"/>
    <w:rsid w:val="77471FC0"/>
    <w:rsid w:val="774C75D7"/>
    <w:rsid w:val="775070C7"/>
    <w:rsid w:val="77530965"/>
    <w:rsid w:val="7763687C"/>
    <w:rsid w:val="777059BB"/>
    <w:rsid w:val="7774302C"/>
    <w:rsid w:val="77752DF8"/>
    <w:rsid w:val="77764653"/>
    <w:rsid w:val="77834404"/>
    <w:rsid w:val="77843214"/>
    <w:rsid w:val="77870C32"/>
    <w:rsid w:val="77882D05"/>
    <w:rsid w:val="779515A0"/>
    <w:rsid w:val="7797301C"/>
    <w:rsid w:val="779E027D"/>
    <w:rsid w:val="77A03606"/>
    <w:rsid w:val="77A3571E"/>
    <w:rsid w:val="77A46D61"/>
    <w:rsid w:val="77A77297"/>
    <w:rsid w:val="77A950A4"/>
    <w:rsid w:val="77AB49BE"/>
    <w:rsid w:val="77AB69F3"/>
    <w:rsid w:val="77AE0A71"/>
    <w:rsid w:val="77B07ED5"/>
    <w:rsid w:val="77B5634E"/>
    <w:rsid w:val="77B875B5"/>
    <w:rsid w:val="77B962E8"/>
    <w:rsid w:val="77BA09E4"/>
    <w:rsid w:val="77BD2282"/>
    <w:rsid w:val="77BE09B0"/>
    <w:rsid w:val="77C736E5"/>
    <w:rsid w:val="77C81353"/>
    <w:rsid w:val="77C90C27"/>
    <w:rsid w:val="77C975EC"/>
    <w:rsid w:val="77CD0717"/>
    <w:rsid w:val="77D01FB6"/>
    <w:rsid w:val="77DE0382"/>
    <w:rsid w:val="77E126BA"/>
    <w:rsid w:val="77E617D9"/>
    <w:rsid w:val="77E7304A"/>
    <w:rsid w:val="77EB6DF0"/>
    <w:rsid w:val="77EF163F"/>
    <w:rsid w:val="77F143F4"/>
    <w:rsid w:val="77F2017E"/>
    <w:rsid w:val="77F21093"/>
    <w:rsid w:val="77F24622"/>
    <w:rsid w:val="77F65D1E"/>
    <w:rsid w:val="77F83C6D"/>
    <w:rsid w:val="77F9775E"/>
    <w:rsid w:val="77FC2DAB"/>
    <w:rsid w:val="78040477"/>
    <w:rsid w:val="78041205"/>
    <w:rsid w:val="780A196C"/>
    <w:rsid w:val="780B4581"/>
    <w:rsid w:val="780B56E4"/>
    <w:rsid w:val="780F5E0D"/>
    <w:rsid w:val="78112CFA"/>
    <w:rsid w:val="781400F4"/>
    <w:rsid w:val="78153E6C"/>
    <w:rsid w:val="78160310"/>
    <w:rsid w:val="78167F02"/>
    <w:rsid w:val="78176B3C"/>
    <w:rsid w:val="781C3334"/>
    <w:rsid w:val="78205800"/>
    <w:rsid w:val="782B3690"/>
    <w:rsid w:val="782D7408"/>
    <w:rsid w:val="782F13D2"/>
    <w:rsid w:val="783249BB"/>
    <w:rsid w:val="783562BD"/>
    <w:rsid w:val="78372827"/>
    <w:rsid w:val="78380D4E"/>
    <w:rsid w:val="784340FC"/>
    <w:rsid w:val="78440BA6"/>
    <w:rsid w:val="78443B94"/>
    <w:rsid w:val="78485FF0"/>
    <w:rsid w:val="784D1858"/>
    <w:rsid w:val="784F737E"/>
    <w:rsid w:val="7851759A"/>
    <w:rsid w:val="78520C1D"/>
    <w:rsid w:val="78547024"/>
    <w:rsid w:val="785D5F3F"/>
    <w:rsid w:val="78650950"/>
    <w:rsid w:val="786C7F30"/>
    <w:rsid w:val="786D1EFA"/>
    <w:rsid w:val="787646AC"/>
    <w:rsid w:val="787E76C0"/>
    <w:rsid w:val="787F1FE0"/>
    <w:rsid w:val="788A6608"/>
    <w:rsid w:val="78967A4B"/>
    <w:rsid w:val="789B0078"/>
    <w:rsid w:val="789F55CE"/>
    <w:rsid w:val="789F5EA1"/>
    <w:rsid w:val="78A105FE"/>
    <w:rsid w:val="78A258DF"/>
    <w:rsid w:val="78A376CA"/>
    <w:rsid w:val="78A551F0"/>
    <w:rsid w:val="78AF42C1"/>
    <w:rsid w:val="78B41468"/>
    <w:rsid w:val="78B47D8A"/>
    <w:rsid w:val="78B76FC4"/>
    <w:rsid w:val="78C15B3D"/>
    <w:rsid w:val="78C25DA2"/>
    <w:rsid w:val="78C740DC"/>
    <w:rsid w:val="78C75C05"/>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73098"/>
    <w:rsid w:val="790C526F"/>
    <w:rsid w:val="79102FB2"/>
    <w:rsid w:val="791365FE"/>
    <w:rsid w:val="79136F07"/>
    <w:rsid w:val="79144124"/>
    <w:rsid w:val="792516D5"/>
    <w:rsid w:val="79287E2C"/>
    <w:rsid w:val="792A1B99"/>
    <w:rsid w:val="792A6040"/>
    <w:rsid w:val="79314CD6"/>
    <w:rsid w:val="7936053E"/>
    <w:rsid w:val="793622EC"/>
    <w:rsid w:val="79382508"/>
    <w:rsid w:val="793B3DA7"/>
    <w:rsid w:val="793D7B1F"/>
    <w:rsid w:val="793E76B6"/>
    <w:rsid w:val="793F71C8"/>
    <w:rsid w:val="794C7D62"/>
    <w:rsid w:val="794D2D86"/>
    <w:rsid w:val="795310F0"/>
    <w:rsid w:val="79536FEF"/>
    <w:rsid w:val="79537342"/>
    <w:rsid w:val="795940A6"/>
    <w:rsid w:val="795B3AF3"/>
    <w:rsid w:val="795D3C37"/>
    <w:rsid w:val="795E5322"/>
    <w:rsid w:val="795F7A95"/>
    <w:rsid w:val="79646E59"/>
    <w:rsid w:val="79652BD2"/>
    <w:rsid w:val="7967694A"/>
    <w:rsid w:val="796E1A86"/>
    <w:rsid w:val="79756206"/>
    <w:rsid w:val="79773031"/>
    <w:rsid w:val="797E3990"/>
    <w:rsid w:val="79840FA7"/>
    <w:rsid w:val="79856DD0"/>
    <w:rsid w:val="798C46A4"/>
    <w:rsid w:val="798D0B47"/>
    <w:rsid w:val="798E3ED6"/>
    <w:rsid w:val="799129B7"/>
    <w:rsid w:val="799534B7"/>
    <w:rsid w:val="799D06FD"/>
    <w:rsid w:val="79A2404B"/>
    <w:rsid w:val="79A33A55"/>
    <w:rsid w:val="79A731EA"/>
    <w:rsid w:val="79A90D10"/>
    <w:rsid w:val="79B0209F"/>
    <w:rsid w:val="79B31B8F"/>
    <w:rsid w:val="79B3566E"/>
    <w:rsid w:val="79B50780"/>
    <w:rsid w:val="79BF322E"/>
    <w:rsid w:val="79C142AC"/>
    <w:rsid w:val="79C2379C"/>
    <w:rsid w:val="79C314E4"/>
    <w:rsid w:val="79CE69C9"/>
    <w:rsid w:val="79CF6FB6"/>
    <w:rsid w:val="79D05643"/>
    <w:rsid w:val="79D22F1C"/>
    <w:rsid w:val="79D34EAE"/>
    <w:rsid w:val="79D53017"/>
    <w:rsid w:val="79DA0B61"/>
    <w:rsid w:val="79DA35C0"/>
    <w:rsid w:val="79DF334E"/>
    <w:rsid w:val="79E306C6"/>
    <w:rsid w:val="79E955B1"/>
    <w:rsid w:val="79EA1A55"/>
    <w:rsid w:val="79EC2425"/>
    <w:rsid w:val="79F01271"/>
    <w:rsid w:val="79F91C98"/>
    <w:rsid w:val="79FA1156"/>
    <w:rsid w:val="79FC3572"/>
    <w:rsid w:val="7A005805"/>
    <w:rsid w:val="7A097A01"/>
    <w:rsid w:val="7A0D158D"/>
    <w:rsid w:val="7A106FE1"/>
    <w:rsid w:val="7A150154"/>
    <w:rsid w:val="7A170370"/>
    <w:rsid w:val="7A1F2651"/>
    <w:rsid w:val="7A2605B3"/>
    <w:rsid w:val="7A266805"/>
    <w:rsid w:val="7A290087"/>
    <w:rsid w:val="7A2A00A3"/>
    <w:rsid w:val="7A2B1F18"/>
    <w:rsid w:val="7A2F56B9"/>
    <w:rsid w:val="7A356A48"/>
    <w:rsid w:val="7A3C3932"/>
    <w:rsid w:val="7A404158"/>
    <w:rsid w:val="7A410F49"/>
    <w:rsid w:val="7A41719B"/>
    <w:rsid w:val="7A4E3666"/>
    <w:rsid w:val="7A523AF4"/>
    <w:rsid w:val="7A550ECC"/>
    <w:rsid w:val="7A552C46"/>
    <w:rsid w:val="7A5616AF"/>
    <w:rsid w:val="7A6246C9"/>
    <w:rsid w:val="7A680BCB"/>
    <w:rsid w:val="7A69020F"/>
    <w:rsid w:val="7A751EAC"/>
    <w:rsid w:val="7A794B87"/>
    <w:rsid w:val="7A7C01D3"/>
    <w:rsid w:val="7A7E219D"/>
    <w:rsid w:val="7A7F0907"/>
    <w:rsid w:val="7A805F15"/>
    <w:rsid w:val="7A807CC3"/>
    <w:rsid w:val="7A811E80"/>
    <w:rsid w:val="7A840125"/>
    <w:rsid w:val="7A8567A7"/>
    <w:rsid w:val="7A886B78"/>
    <w:rsid w:val="7A8C22DE"/>
    <w:rsid w:val="7A8D2CB9"/>
    <w:rsid w:val="7A902F4D"/>
    <w:rsid w:val="7A911ED0"/>
    <w:rsid w:val="7A916C03"/>
    <w:rsid w:val="7A926D8F"/>
    <w:rsid w:val="7A995229"/>
    <w:rsid w:val="7AA03EC1"/>
    <w:rsid w:val="7AA65250"/>
    <w:rsid w:val="7AA7568D"/>
    <w:rsid w:val="7AAC0AB8"/>
    <w:rsid w:val="7AB36300"/>
    <w:rsid w:val="7AB45BBF"/>
    <w:rsid w:val="7AB61937"/>
    <w:rsid w:val="7AB83901"/>
    <w:rsid w:val="7AB931D5"/>
    <w:rsid w:val="7ABE07EB"/>
    <w:rsid w:val="7AC21FB4"/>
    <w:rsid w:val="7AC51B7A"/>
    <w:rsid w:val="7AC5601E"/>
    <w:rsid w:val="7ACD0A2E"/>
    <w:rsid w:val="7ACF700A"/>
    <w:rsid w:val="7AD03B49"/>
    <w:rsid w:val="7AD1051F"/>
    <w:rsid w:val="7AD667C9"/>
    <w:rsid w:val="7AD86AF4"/>
    <w:rsid w:val="7AD96269"/>
    <w:rsid w:val="7ADD5115"/>
    <w:rsid w:val="7ADD6249"/>
    <w:rsid w:val="7AE22D05"/>
    <w:rsid w:val="7AE55D78"/>
    <w:rsid w:val="7AEA1CF5"/>
    <w:rsid w:val="7AED10D1"/>
    <w:rsid w:val="7AF20495"/>
    <w:rsid w:val="7AF4420D"/>
    <w:rsid w:val="7AF661D7"/>
    <w:rsid w:val="7AFF570D"/>
    <w:rsid w:val="7B000E04"/>
    <w:rsid w:val="7B040D25"/>
    <w:rsid w:val="7B073F40"/>
    <w:rsid w:val="7B09415C"/>
    <w:rsid w:val="7B136D89"/>
    <w:rsid w:val="7B18614D"/>
    <w:rsid w:val="7B187EFC"/>
    <w:rsid w:val="7B2E771F"/>
    <w:rsid w:val="7B2F3497"/>
    <w:rsid w:val="7B3867F0"/>
    <w:rsid w:val="7B3A1CA3"/>
    <w:rsid w:val="7B3A2568"/>
    <w:rsid w:val="7B40172A"/>
    <w:rsid w:val="7B405C62"/>
    <w:rsid w:val="7B427D7A"/>
    <w:rsid w:val="7B430CF1"/>
    <w:rsid w:val="7B436DED"/>
    <w:rsid w:val="7B454A69"/>
    <w:rsid w:val="7B486307"/>
    <w:rsid w:val="7B48665E"/>
    <w:rsid w:val="7B494559"/>
    <w:rsid w:val="7B4E1B6F"/>
    <w:rsid w:val="7B544DE1"/>
    <w:rsid w:val="7B552FFC"/>
    <w:rsid w:val="7B571A2E"/>
    <w:rsid w:val="7B580C40"/>
    <w:rsid w:val="7B5E34A6"/>
    <w:rsid w:val="7B6662D4"/>
    <w:rsid w:val="7B6770D5"/>
    <w:rsid w:val="7B6952BF"/>
    <w:rsid w:val="7B6A748C"/>
    <w:rsid w:val="7B71743E"/>
    <w:rsid w:val="7B754D99"/>
    <w:rsid w:val="7B7B492E"/>
    <w:rsid w:val="7B7F61CD"/>
    <w:rsid w:val="7B871525"/>
    <w:rsid w:val="7B89704B"/>
    <w:rsid w:val="7B931C78"/>
    <w:rsid w:val="7B933A26"/>
    <w:rsid w:val="7B971768"/>
    <w:rsid w:val="7B9D6B95"/>
    <w:rsid w:val="7B9F11DB"/>
    <w:rsid w:val="7B9F65A8"/>
    <w:rsid w:val="7BA14D11"/>
    <w:rsid w:val="7BA55C3B"/>
    <w:rsid w:val="7BA6653A"/>
    <w:rsid w:val="7BA677C5"/>
    <w:rsid w:val="7BB1183B"/>
    <w:rsid w:val="7BB26436"/>
    <w:rsid w:val="7BB36476"/>
    <w:rsid w:val="7BB87930"/>
    <w:rsid w:val="7BBA69D6"/>
    <w:rsid w:val="7BBC11CF"/>
    <w:rsid w:val="7BBE0E4B"/>
    <w:rsid w:val="7BBF0CBF"/>
    <w:rsid w:val="7BBF481B"/>
    <w:rsid w:val="7BBF4E1C"/>
    <w:rsid w:val="7BC2430B"/>
    <w:rsid w:val="7BC275FF"/>
    <w:rsid w:val="7BC6204D"/>
    <w:rsid w:val="7BC6663D"/>
    <w:rsid w:val="7BC77B74"/>
    <w:rsid w:val="7BCD065D"/>
    <w:rsid w:val="7BD61B65"/>
    <w:rsid w:val="7BDA78A7"/>
    <w:rsid w:val="7BDC4AFD"/>
    <w:rsid w:val="7BDF7C5F"/>
    <w:rsid w:val="7BE129E3"/>
    <w:rsid w:val="7BE95D3C"/>
    <w:rsid w:val="7BEB3862"/>
    <w:rsid w:val="7BF546E1"/>
    <w:rsid w:val="7BF74E3B"/>
    <w:rsid w:val="7BF87D2D"/>
    <w:rsid w:val="7BFA7117"/>
    <w:rsid w:val="7C01358C"/>
    <w:rsid w:val="7C030BAC"/>
    <w:rsid w:val="7C08168C"/>
    <w:rsid w:val="7C11382C"/>
    <w:rsid w:val="7C145851"/>
    <w:rsid w:val="7C1C76BD"/>
    <w:rsid w:val="7C1D1542"/>
    <w:rsid w:val="7C232FFC"/>
    <w:rsid w:val="7C257CBE"/>
    <w:rsid w:val="7C2E19A1"/>
    <w:rsid w:val="7C336426"/>
    <w:rsid w:val="7C374CF9"/>
    <w:rsid w:val="7C431A41"/>
    <w:rsid w:val="7C4412E1"/>
    <w:rsid w:val="7C4446F4"/>
    <w:rsid w:val="7C444D20"/>
    <w:rsid w:val="7C492337"/>
    <w:rsid w:val="7C4D1E27"/>
    <w:rsid w:val="7C52568F"/>
    <w:rsid w:val="7C55691A"/>
    <w:rsid w:val="7C5E5077"/>
    <w:rsid w:val="7C6230DB"/>
    <w:rsid w:val="7C63164A"/>
    <w:rsid w:val="7C66738C"/>
    <w:rsid w:val="7C690F17"/>
    <w:rsid w:val="7C69673C"/>
    <w:rsid w:val="7C706E0F"/>
    <w:rsid w:val="7C790E6E"/>
    <w:rsid w:val="7C7A4BE6"/>
    <w:rsid w:val="7C7E0232"/>
    <w:rsid w:val="7C806D57"/>
    <w:rsid w:val="7C835849"/>
    <w:rsid w:val="7C857813"/>
    <w:rsid w:val="7C8A4E29"/>
    <w:rsid w:val="7C8C2AE3"/>
    <w:rsid w:val="7C9006F1"/>
    <w:rsid w:val="7C9537CE"/>
    <w:rsid w:val="7C9A1801"/>
    <w:rsid w:val="7C9E08D4"/>
    <w:rsid w:val="7CA331DB"/>
    <w:rsid w:val="7CA57EB5"/>
    <w:rsid w:val="7CAD0B17"/>
    <w:rsid w:val="7CAF04D4"/>
    <w:rsid w:val="7CAF4890"/>
    <w:rsid w:val="7CB01901"/>
    <w:rsid w:val="7CB023B6"/>
    <w:rsid w:val="7CBA4FE2"/>
    <w:rsid w:val="7CBC6FAC"/>
    <w:rsid w:val="7CC03568"/>
    <w:rsid w:val="7CC548D0"/>
    <w:rsid w:val="7CC61BD9"/>
    <w:rsid w:val="7CC860A5"/>
    <w:rsid w:val="7CCD68E7"/>
    <w:rsid w:val="7CD97B5E"/>
    <w:rsid w:val="7CE04A49"/>
    <w:rsid w:val="7CE404A4"/>
    <w:rsid w:val="7CE4330E"/>
    <w:rsid w:val="7CE85827"/>
    <w:rsid w:val="7CEE2BCE"/>
    <w:rsid w:val="7CF600D5"/>
    <w:rsid w:val="7D0050EB"/>
    <w:rsid w:val="7D0338A2"/>
    <w:rsid w:val="7D034BDB"/>
    <w:rsid w:val="7D056BA5"/>
    <w:rsid w:val="7D0C6095"/>
    <w:rsid w:val="7D0E5A5A"/>
    <w:rsid w:val="7D0F1E45"/>
    <w:rsid w:val="7D135677"/>
    <w:rsid w:val="7D1B104E"/>
    <w:rsid w:val="7D1D4C50"/>
    <w:rsid w:val="7D1D5C9D"/>
    <w:rsid w:val="7D216E78"/>
    <w:rsid w:val="7D23174B"/>
    <w:rsid w:val="7D242BDB"/>
    <w:rsid w:val="7D250B4D"/>
    <w:rsid w:val="7D25327D"/>
    <w:rsid w:val="7D2C7C8E"/>
    <w:rsid w:val="7D2E2162"/>
    <w:rsid w:val="7D3036DB"/>
    <w:rsid w:val="7D32101D"/>
    <w:rsid w:val="7D366D5F"/>
    <w:rsid w:val="7D3905FD"/>
    <w:rsid w:val="7D3A23FC"/>
    <w:rsid w:val="7D470F6C"/>
    <w:rsid w:val="7D4A280A"/>
    <w:rsid w:val="7D4C0330"/>
    <w:rsid w:val="7D4E22FA"/>
    <w:rsid w:val="7D4E40A8"/>
    <w:rsid w:val="7D545437"/>
    <w:rsid w:val="7D562F5D"/>
    <w:rsid w:val="7D580E3B"/>
    <w:rsid w:val="7D5D253D"/>
    <w:rsid w:val="7D67516A"/>
    <w:rsid w:val="7D6A07B6"/>
    <w:rsid w:val="7D6C7F41"/>
    <w:rsid w:val="7D6F3769"/>
    <w:rsid w:val="7D780418"/>
    <w:rsid w:val="7D7B29C4"/>
    <w:rsid w:val="7D7C2F0A"/>
    <w:rsid w:val="7D7F657F"/>
    <w:rsid w:val="7D851A94"/>
    <w:rsid w:val="7D852E5E"/>
    <w:rsid w:val="7D86035D"/>
    <w:rsid w:val="7D8908F9"/>
    <w:rsid w:val="7D8A2C07"/>
    <w:rsid w:val="7D8B30CD"/>
    <w:rsid w:val="7D9113F0"/>
    <w:rsid w:val="7D9341B1"/>
    <w:rsid w:val="7D955572"/>
    <w:rsid w:val="7D9D1F01"/>
    <w:rsid w:val="7D9F7D20"/>
    <w:rsid w:val="7DAF0C8C"/>
    <w:rsid w:val="7DB36601"/>
    <w:rsid w:val="7DB43D24"/>
    <w:rsid w:val="7DB859C6"/>
    <w:rsid w:val="7DC27B7C"/>
    <w:rsid w:val="7DC437A1"/>
    <w:rsid w:val="7DC56785"/>
    <w:rsid w:val="7DC83B00"/>
    <w:rsid w:val="7DC9372F"/>
    <w:rsid w:val="7DD02D0F"/>
    <w:rsid w:val="7DD2549D"/>
    <w:rsid w:val="7DD50326"/>
    <w:rsid w:val="7DD547CA"/>
    <w:rsid w:val="7DD565C5"/>
    <w:rsid w:val="7DD730B0"/>
    <w:rsid w:val="7DDD542C"/>
    <w:rsid w:val="7DF05160"/>
    <w:rsid w:val="7DF20182"/>
    <w:rsid w:val="7DFC2364"/>
    <w:rsid w:val="7E00216C"/>
    <w:rsid w:val="7E05786D"/>
    <w:rsid w:val="7E0724A9"/>
    <w:rsid w:val="7E096221"/>
    <w:rsid w:val="7E123328"/>
    <w:rsid w:val="7E12404D"/>
    <w:rsid w:val="7E141A72"/>
    <w:rsid w:val="7E1E56F5"/>
    <w:rsid w:val="7E227624"/>
    <w:rsid w:val="7E244E09"/>
    <w:rsid w:val="7E293E24"/>
    <w:rsid w:val="7E2B43EA"/>
    <w:rsid w:val="7E2D63B4"/>
    <w:rsid w:val="7E2E2D4B"/>
    <w:rsid w:val="7E2F1168"/>
    <w:rsid w:val="7E365FF5"/>
    <w:rsid w:val="7E41524D"/>
    <w:rsid w:val="7E430A4C"/>
    <w:rsid w:val="7E45714A"/>
    <w:rsid w:val="7E4620E1"/>
    <w:rsid w:val="7E5202D3"/>
    <w:rsid w:val="7E5E6E19"/>
    <w:rsid w:val="7E635932"/>
    <w:rsid w:val="7E6416AA"/>
    <w:rsid w:val="7E652BEB"/>
    <w:rsid w:val="7E656157"/>
    <w:rsid w:val="7E6D055E"/>
    <w:rsid w:val="7E6D3040"/>
    <w:rsid w:val="7E6D4A02"/>
    <w:rsid w:val="7E722019"/>
    <w:rsid w:val="7E78024A"/>
    <w:rsid w:val="7E786F03"/>
    <w:rsid w:val="7E8450F6"/>
    <w:rsid w:val="7E857F9E"/>
    <w:rsid w:val="7E8835EA"/>
    <w:rsid w:val="7E9401E1"/>
    <w:rsid w:val="7E9735D9"/>
    <w:rsid w:val="7E9755DB"/>
    <w:rsid w:val="7E9C7095"/>
    <w:rsid w:val="7E9D7975"/>
    <w:rsid w:val="7EA63A70"/>
    <w:rsid w:val="7EB02B41"/>
    <w:rsid w:val="7EB97C47"/>
    <w:rsid w:val="7EBF1AAA"/>
    <w:rsid w:val="7EC00FD6"/>
    <w:rsid w:val="7EC65EC0"/>
    <w:rsid w:val="7EC74004"/>
    <w:rsid w:val="7ED22AB7"/>
    <w:rsid w:val="7ED56104"/>
    <w:rsid w:val="7EDB7BBE"/>
    <w:rsid w:val="7EDE2FC8"/>
    <w:rsid w:val="7EE60311"/>
    <w:rsid w:val="7EED78F1"/>
    <w:rsid w:val="7EEF64CE"/>
    <w:rsid w:val="7EF13645"/>
    <w:rsid w:val="7EF235FE"/>
    <w:rsid w:val="7EF40C80"/>
    <w:rsid w:val="7EF55075"/>
    <w:rsid w:val="7EF70770"/>
    <w:rsid w:val="7EF7251E"/>
    <w:rsid w:val="7F020597"/>
    <w:rsid w:val="7F0215EE"/>
    <w:rsid w:val="7F027E37"/>
    <w:rsid w:val="7F030EC3"/>
    <w:rsid w:val="7F060810"/>
    <w:rsid w:val="7F080287"/>
    <w:rsid w:val="7F116BFC"/>
    <w:rsid w:val="7F160BF6"/>
    <w:rsid w:val="7F160CF6"/>
    <w:rsid w:val="7F1906E6"/>
    <w:rsid w:val="7F1C4477"/>
    <w:rsid w:val="7F21759B"/>
    <w:rsid w:val="7F280929"/>
    <w:rsid w:val="7F2B473E"/>
    <w:rsid w:val="7F2C666B"/>
    <w:rsid w:val="7F2D5F40"/>
    <w:rsid w:val="7F475176"/>
    <w:rsid w:val="7F5259A6"/>
    <w:rsid w:val="7F567244"/>
    <w:rsid w:val="7F5B2AAD"/>
    <w:rsid w:val="7F68581B"/>
    <w:rsid w:val="7F686F78"/>
    <w:rsid w:val="7F6C4CBA"/>
    <w:rsid w:val="7F6D458E"/>
    <w:rsid w:val="7F6E0A32"/>
    <w:rsid w:val="7F7143BF"/>
    <w:rsid w:val="7F736048"/>
    <w:rsid w:val="7F74591C"/>
    <w:rsid w:val="7F74758A"/>
    <w:rsid w:val="7F7676A4"/>
    <w:rsid w:val="7F784641"/>
    <w:rsid w:val="7F7927BD"/>
    <w:rsid w:val="7F7B6CAB"/>
    <w:rsid w:val="7F7D2A23"/>
    <w:rsid w:val="7F7F453B"/>
    <w:rsid w:val="7F875073"/>
    <w:rsid w:val="7F89761A"/>
    <w:rsid w:val="7F8D0211"/>
    <w:rsid w:val="7F945FBF"/>
    <w:rsid w:val="7F9810D5"/>
    <w:rsid w:val="7F9939A3"/>
    <w:rsid w:val="7F995383"/>
    <w:rsid w:val="7FA22FD9"/>
    <w:rsid w:val="7FA61218"/>
    <w:rsid w:val="7FA7519D"/>
    <w:rsid w:val="7FAA0C38"/>
    <w:rsid w:val="7FAA7590"/>
    <w:rsid w:val="7FAD3976"/>
    <w:rsid w:val="7FB14FEB"/>
    <w:rsid w:val="7FB64187"/>
    <w:rsid w:val="7FBA3C77"/>
    <w:rsid w:val="7FBB79EF"/>
    <w:rsid w:val="7FBC33D3"/>
    <w:rsid w:val="7FC40652"/>
    <w:rsid w:val="7FC543CA"/>
    <w:rsid w:val="7FC756CE"/>
    <w:rsid w:val="7FCC39AA"/>
    <w:rsid w:val="7FCC7507"/>
    <w:rsid w:val="7FCD0635"/>
    <w:rsid w:val="7FCE6DA9"/>
    <w:rsid w:val="7FD367AA"/>
    <w:rsid w:val="7FD810E5"/>
    <w:rsid w:val="7FD8234F"/>
    <w:rsid w:val="7FDD7966"/>
    <w:rsid w:val="7FDF0FB8"/>
    <w:rsid w:val="7FEB4C61"/>
    <w:rsid w:val="7FEC09EB"/>
    <w:rsid w:val="7FED79D9"/>
    <w:rsid w:val="7FF52F01"/>
    <w:rsid w:val="7FF56D01"/>
    <w:rsid w:val="7FF77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7">
    <w:name w:val="Default Paragraph Font"/>
    <w:autoRedefine/>
    <w:semiHidden/>
    <w:qFormat/>
    <w:uiPriority w:val="0"/>
  </w:style>
  <w:style w:type="table" w:default="1" w:styleId="2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5"/>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annotation subject"/>
    <w:basedOn w:val="11"/>
    <w:next w:val="11"/>
    <w:autoRedefine/>
    <w:semiHidden/>
    <w:qFormat/>
    <w:uiPriority w:val="0"/>
    <w:rPr>
      <w:b/>
      <w:bCs/>
      <w:kern w:val="2"/>
      <w:szCs w:val="24"/>
    </w:rPr>
  </w:style>
  <w:style w:type="paragraph" w:styleId="24">
    <w:name w:val="Body Text First Indent"/>
    <w:basedOn w:val="12"/>
    <w:autoRedefine/>
    <w:qFormat/>
    <w:uiPriority w:val="0"/>
    <w:pPr>
      <w:ind w:firstLine="420" w:firstLineChars="100"/>
    </w:p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HTML Cite"/>
    <w:basedOn w:val="27"/>
    <w:autoRedefine/>
    <w:qFormat/>
    <w:uiPriority w:val="0"/>
    <w:rPr>
      <w:i/>
      <w:iCs/>
    </w:rPr>
  </w:style>
  <w:style w:type="paragraph" w:customStyle="1" w:styleId="30">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1">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2">
    <w:name w:val="表格"/>
    <w:basedOn w:val="33"/>
    <w:autoRedefine/>
    <w:qFormat/>
    <w:uiPriority w:val="0"/>
    <w:pPr>
      <w:spacing w:line="240" w:lineRule="auto"/>
      <w:ind w:firstLine="0" w:firstLineChars="0"/>
      <w:jc w:val="center"/>
    </w:pPr>
    <w:rPr>
      <w:sz w:val="21"/>
      <w:szCs w:val="21"/>
    </w:rPr>
  </w:style>
  <w:style w:type="paragraph" w:customStyle="1" w:styleId="33">
    <w:name w:val="正文-ls"/>
    <w:basedOn w:val="1"/>
    <w:autoRedefine/>
    <w:qFormat/>
    <w:uiPriority w:val="0"/>
    <w:pPr>
      <w:spacing w:line="360" w:lineRule="auto"/>
      <w:ind w:firstLine="200" w:firstLineChars="200"/>
    </w:pPr>
    <w:rPr>
      <w:rFonts w:hAnsi="宋体"/>
      <w:sz w:val="24"/>
      <w:szCs w:val="20"/>
    </w:rPr>
  </w:style>
  <w:style w:type="paragraph" w:styleId="34">
    <w:name w:val="List Paragraph"/>
    <w:basedOn w:val="1"/>
    <w:autoRedefine/>
    <w:qFormat/>
    <w:uiPriority w:val="34"/>
    <w:pPr>
      <w:ind w:firstLine="420" w:firstLineChars="200"/>
    </w:pPr>
  </w:style>
  <w:style w:type="paragraph" w:customStyle="1" w:styleId="35">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6">
    <w:name w:val="page number"/>
    <w:basedOn w:val="27"/>
    <w:autoRedefine/>
    <w:qFormat/>
    <w:uiPriority w:val="0"/>
  </w:style>
  <w:style w:type="paragraph" w:customStyle="1" w:styleId="37">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8">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39">
    <w:name w:val="123"/>
    <w:basedOn w:val="40"/>
    <w:autoRedefine/>
    <w:qFormat/>
    <w:uiPriority w:val="0"/>
    <w:pPr>
      <w:ind w:firstLine="480" w:firstLineChars="200"/>
    </w:pPr>
    <w:rPr>
      <w:szCs w:val="24"/>
    </w:rPr>
  </w:style>
  <w:style w:type="paragraph" w:customStyle="1" w:styleId="40">
    <w:name w:val="正文格式"/>
    <w:basedOn w:val="1"/>
    <w:autoRedefine/>
    <w:qFormat/>
    <w:uiPriority w:val="0"/>
    <w:pPr>
      <w:spacing w:line="360" w:lineRule="auto"/>
      <w:ind w:firstLine="482"/>
    </w:pPr>
    <w:rPr>
      <w:rFonts w:ascii="宋体" w:hAnsi="宋体"/>
      <w:sz w:val="24"/>
      <w:szCs w:val="20"/>
    </w:rPr>
  </w:style>
  <w:style w:type="paragraph" w:customStyle="1" w:styleId="41">
    <w:name w:val="表里内容"/>
    <w:basedOn w:val="42"/>
    <w:autoRedefine/>
    <w:qFormat/>
    <w:uiPriority w:val="0"/>
    <w:pPr>
      <w:spacing w:beforeLines="0"/>
    </w:pPr>
  </w:style>
  <w:style w:type="paragraph" w:customStyle="1" w:styleId="42">
    <w:name w:val="表名"/>
    <w:basedOn w:val="1"/>
    <w:autoRedefine/>
    <w:qFormat/>
    <w:uiPriority w:val="0"/>
    <w:pPr>
      <w:spacing w:beforeLines="50"/>
      <w:jc w:val="center"/>
    </w:pPr>
  </w:style>
  <w:style w:type="paragraph" w:customStyle="1" w:styleId="43">
    <w:name w:val="正文（标准）"/>
    <w:basedOn w:val="1"/>
    <w:autoRedefine/>
    <w:qFormat/>
    <w:uiPriority w:val="0"/>
    <w:pPr>
      <w:adjustRightInd w:val="0"/>
      <w:spacing w:line="360" w:lineRule="auto"/>
      <w:ind w:firstLine="200" w:firstLineChars="200"/>
    </w:pPr>
    <w:rPr>
      <w:sz w:val="24"/>
      <w:szCs w:val="30"/>
    </w:rPr>
  </w:style>
  <w:style w:type="paragraph" w:customStyle="1" w:styleId="44">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5">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6">
    <w:name w:val="表文6"/>
    <w:basedOn w:val="1"/>
    <w:autoRedefine/>
    <w:qFormat/>
    <w:uiPriority w:val="0"/>
    <w:pPr>
      <w:spacing w:line="240" w:lineRule="auto"/>
      <w:ind w:firstLine="0" w:firstLineChars="0"/>
      <w:jc w:val="center"/>
    </w:pPr>
    <w:rPr>
      <w:b/>
      <w:szCs w:val="24"/>
    </w:rPr>
  </w:style>
  <w:style w:type="paragraph" w:customStyle="1" w:styleId="47">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8">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49">
    <w:name w:val="456"/>
    <w:basedOn w:val="1"/>
    <w:autoRedefine/>
    <w:qFormat/>
    <w:uiPriority w:val="0"/>
    <w:pPr>
      <w:spacing w:line="600" w:lineRule="auto"/>
    </w:pPr>
    <w:rPr>
      <w:b/>
      <w:bCs/>
      <w:sz w:val="28"/>
      <w:szCs w:val="28"/>
    </w:rPr>
  </w:style>
  <w:style w:type="paragraph" w:customStyle="1" w:styleId="50">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1">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2">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3">
    <w:name w:val="管线正文 Char"/>
    <w:basedOn w:val="27"/>
    <w:autoRedefine/>
    <w:qFormat/>
    <w:uiPriority w:val="0"/>
    <w:rPr>
      <w:sz w:val="24"/>
      <w:szCs w:val="24"/>
    </w:rPr>
  </w:style>
  <w:style w:type="character" w:customStyle="1" w:styleId="54">
    <w:name w:val="正文文本首行缩进 字符"/>
    <w:basedOn w:val="55"/>
    <w:autoRedefine/>
    <w:qFormat/>
    <w:uiPriority w:val="0"/>
    <w:rPr>
      <w:kern w:val="2"/>
      <w:sz w:val="21"/>
      <w:szCs w:val="24"/>
    </w:rPr>
  </w:style>
  <w:style w:type="character" w:customStyle="1" w:styleId="55">
    <w:name w:val="正文文本 字符"/>
    <w:basedOn w:val="27"/>
    <w:link w:val="12"/>
    <w:autoRedefine/>
    <w:qFormat/>
    <w:uiPriority w:val="0"/>
    <w:rPr>
      <w:kern w:val="2"/>
      <w:sz w:val="21"/>
      <w:szCs w:val="24"/>
    </w:rPr>
  </w:style>
  <w:style w:type="paragraph" w:customStyle="1" w:styleId="56">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7">
    <w:name w:val="4正文"/>
    <w:basedOn w:val="1"/>
    <w:link w:val="61"/>
    <w:autoRedefine/>
    <w:qFormat/>
    <w:uiPriority w:val="0"/>
    <w:rPr>
      <w:szCs w:val="22"/>
      <w:lang w:val="zh-CN"/>
    </w:rPr>
  </w:style>
  <w:style w:type="paragraph" w:customStyle="1" w:styleId="58">
    <w:name w:val="5表文"/>
    <w:basedOn w:val="1"/>
    <w:autoRedefine/>
    <w:qFormat/>
    <w:uiPriority w:val="0"/>
    <w:pPr>
      <w:spacing w:line="240" w:lineRule="auto"/>
      <w:ind w:firstLine="0" w:firstLineChars="0"/>
      <w:jc w:val="center"/>
    </w:pPr>
    <w:rPr>
      <w:sz w:val="21"/>
      <w:szCs w:val="20"/>
      <w:lang w:val="zh-CN"/>
    </w:rPr>
  </w:style>
  <w:style w:type="paragraph" w:customStyle="1" w:styleId="59">
    <w:name w:val="5-表标题"/>
    <w:basedOn w:val="1"/>
    <w:autoRedefine/>
    <w:qFormat/>
    <w:uiPriority w:val="0"/>
    <w:pPr>
      <w:spacing w:line="240" w:lineRule="auto"/>
      <w:ind w:firstLine="0" w:firstLineChars="0"/>
      <w:jc w:val="center"/>
    </w:pPr>
    <w:rPr>
      <w:b/>
      <w:sz w:val="21"/>
      <w:lang w:val="zh-CN"/>
    </w:rPr>
  </w:style>
  <w:style w:type="character" w:customStyle="1" w:styleId="60">
    <w:name w:val="5表文 Char Char"/>
    <w:autoRedefine/>
    <w:qFormat/>
    <w:uiPriority w:val="0"/>
    <w:rPr>
      <w:kern w:val="2"/>
      <w:sz w:val="21"/>
    </w:rPr>
  </w:style>
  <w:style w:type="character" w:customStyle="1" w:styleId="61">
    <w:name w:val="4正文 Char"/>
    <w:link w:val="57"/>
    <w:autoRedefine/>
    <w:qFormat/>
    <w:uiPriority w:val="0"/>
    <w:rPr>
      <w:szCs w:val="22"/>
      <w:lang w:val="zh-CN"/>
    </w:rPr>
  </w:style>
  <w:style w:type="paragraph" w:customStyle="1" w:styleId="62">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3">
    <w:name w:val="表格式"/>
    <w:basedOn w:val="18"/>
    <w:autoRedefine/>
    <w:qFormat/>
    <w:uiPriority w:val="0"/>
    <w:pPr>
      <w:ind w:left="0" w:firstLine="0" w:firstLineChars="0"/>
      <w:jc w:val="center"/>
    </w:pPr>
    <w:rPr>
      <w:rFonts w:ascii="宋体"/>
      <w:szCs w:val="20"/>
    </w:rPr>
  </w:style>
  <w:style w:type="paragraph" w:customStyle="1" w:styleId="64">
    <w:name w:val="表格文字"/>
    <w:basedOn w:val="1"/>
    <w:autoRedefine/>
    <w:qFormat/>
    <w:uiPriority w:val="0"/>
    <w:pPr>
      <w:spacing w:line="360" w:lineRule="auto"/>
      <w:jc w:val="center"/>
    </w:pPr>
    <w:rPr>
      <w:rFonts w:hAnsi="宋体"/>
      <w:spacing w:val="-10"/>
      <w:kern w:val="0"/>
      <w:szCs w:val="21"/>
    </w:rPr>
  </w:style>
  <w:style w:type="character" w:customStyle="1" w:styleId="65">
    <w:name w:val="标题 1 Char"/>
    <w:autoRedefine/>
    <w:qFormat/>
    <w:uiPriority w:val="0"/>
    <w:rPr>
      <w:rFonts w:eastAsia="宋体"/>
      <w:b/>
      <w:bCs/>
      <w:kern w:val="44"/>
      <w:sz w:val="44"/>
      <w:szCs w:val="44"/>
      <w:lang w:val="en-US" w:eastAsia="zh-CN" w:bidi="ar-SA"/>
    </w:rPr>
  </w:style>
  <w:style w:type="paragraph" w:customStyle="1" w:styleId="66">
    <w:name w:val="Table Paragraph"/>
    <w:basedOn w:val="1"/>
    <w:autoRedefine/>
    <w:qFormat/>
    <w:uiPriority w:val="1"/>
    <w:pPr>
      <w:jc w:val="center"/>
    </w:pPr>
    <w:rPr>
      <w:rFonts w:ascii="宋体" w:hAnsi="宋体" w:eastAsia="宋体" w:cs="宋体"/>
      <w:lang w:val="en-US" w:eastAsia="zh-CN" w:bidi="ar-SA"/>
    </w:rPr>
  </w:style>
  <w:style w:type="character" w:customStyle="1" w:styleId="67">
    <w:name w:val="font11"/>
    <w:basedOn w:val="27"/>
    <w:autoRedefine/>
    <w:qFormat/>
    <w:uiPriority w:val="0"/>
    <w:rPr>
      <w:rFonts w:hint="eastAsia" w:ascii="宋体" w:hAnsi="宋体" w:eastAsia="宋体" w:cs="宋体"/>
      <w:color w:val="0000FF"/>
      <w:sz w:val="21"/>
      <w:szCs w:val="21"/>
      <w:u w:val="none"/>
    </w:rPr>
  </w:style>
  <w:style w:type="paragraph" w:customStyle="1" w:styleId="68">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69">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0">
    <w:name w:val="表格头"/>
    <w:basedOn w:val="1"/>
    <w:autoRedefine/>
    <w:qFormat/>
    <w:uiPriority w:val="0"/>
    <w:pPr>
      <w:spacing w:line="360" w:lineRule="auto"/>
      <w:jc w:val="center"/>
    </w:pPr>
    <w:rPr>
      <w:rFonts w:ascii="Times New Roman" w:hAnsi="Times New Roman"/>
      <w:b/>
      <w:szCs w:val="21"/>
    </w:rPr>
  </w:style>
  <w:style w:type="paragraph" w:customStyle="1" w:styleId="71">
    <w:name w:val="WPSOffice手动目录 1"/>
    <w:autoRedefine/>
    <w:qFormat/>
    <w:uiPriority w:val="0"/>
    <w:pPr>
      <w:ind w:leftChars="0"/>
    </w:pPr>
    <w:rPr>
      <w:rFonts w:ascii="Times New Roman" w:hAnsi="Times New Roman" w:eastAsia="宋体" w:cs="Times New Roman"/>
      <w:sz w:val="20"/>
      <w:szCs w:val="20"/>
    </w:rPr>
  </w:style>
  <w:style w:type="paragraph" w:customStyle="1" w:styleId="72">
    <w:name w:val="1级标题"/>
    <w:basedOn w:val="1"/>
    <w:autoRedefine/>
    <w:qFormat/>
    <w:uiPriority w:val="0"/>
    <w:pPr>
      <w:outlineLvl w:val="0"/>
    </w:pPr>
    <w:rPr>
      <w:rFonts w:eastAsia="仿宋"/>
      <w:b/>
      <w:sz w:val="32"/>
      <w:szCs w:val="32"/>
    </w:rPr>
  </w:style>
  <w:style w:type="paragraph" w:customStyle="1" w:styleId="73">
    <w:name w:val="2021表格正文"/>
    <w:basedOn w:val="74"/>
    <w:autoRedefine/>
    <w:qFormat/>
    <w:uiPriority w:val="0"/>
  </w:style>
  <w:style w:type="paragraph" w:customStyle="1" w:styleId="74">
    <w:name w:val="2021表格样式"/>
    <w:basedOn w:val="75"/>
    <w:autoRedefine/>
    <w:qFormat/>
    <w:uiPriority w:val="0"/>
    <w:rPr>
      <w:rFonts w:ascii="仿宋" w:hAnsi="仿宋"/>
    </w:rPr>
  </w:style>
  <w:style w:type="paragraph" w:customStyle="1" w:styleId="75">
    <w:name w:val="2019表格"/>
    <w:basedOn w:val="76"/>
    <w:autoRedefine/>
    <w:qFormat/>
    <w:uiPriority w:val="0"/>
  </w:style>
  <w:style w:type="paragraph" w:customStyle="1" w:styleId="76">
    <w:name w:val="正文表格新"/>
    <w:basedOn w:val="77"/>
    <w:autoRedefine/>
    <w:qFormat/>
    <w:uiPriority w:val="0"/>
    <w:pPr>
      <w:spacing w:line="240" w:lineRule="auto"/>
    </w:pPr>
    <w:rPr>
      <w:rFonts w:eastAsia="仿宋"/>
    </w:rPr>
  </w:style>
  <w:style w:type="paragraph" w:customStyle="1" w:styleId="77">
    <w:name w:val="正文表格"/>
    <w:basedOn w:val="78"/>
    <w:autoRedefine/>
    <w:qFormat/>
    <w:uiPriority w:val="0"/>
    <w:pPr>
      <w:spacing w:line="240" w:lineRule="exact"/>
    </w:pPr>
  </w:style>
  <w:style w:type="paragraph" w:customStyle="1" w:styleId="78">
    <w:name w:val="正文表"/>
    <w:basedOn w:val="1"/>
    <w:autoRedefine/>
    <w:qFormat/>
    <w:uiPriority w:val="0"/>
    <w:pPr>
      <w:adjustRightInd w:val="0"/>
      <w:jc w:val="center"/>
    </w:pPr>
    <w:rPr>
      <w:bCs/>
      <w:szCs w:val="21"/>
    </w:rPr>
  </w:style>
  <w:style w:type="paragraph" w:customStyle="1" w:styleId="79">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0">
    <w:name w:val="Default"/>
    <w:basedOn w:val="8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1">
    <w:name w:val="纯文本1"/>
    <w:basedOn w:val="1"/>
    <w:qFormat/>
    <w:uiPriority w:val="0"/>
    <w:rPr>
      <w:rFonts w:ascii="宋体" w:hAnsi="Courier New" w:cs="Courier New"/>
      <w:szCs w:val="21"/>
    </w:rPr>
  </w:style>
  <w:style w:type="paragraph" w:customStyle="1" w:styleId="82">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3">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4">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_Style 16"/>
    <w:basedOn w:val="1"/>
    <w:next w:val="14"/>
    <w:autoRedefine/>
    <w:qFormat/>
    <w:uiPriority w:val="0"/>
    <w:rPr>
      <w:rFonts w:ascii="宋体" w:hAnsi="Courier New"/>
      <w:szCs w:val="20"/>
    </w:rPr>
  </w:style>
  <w:style w:type="paragraph" w:styleId="86">
    <w:name w:val="No Spacing"/>
    <w:basedOn w:val="1"/>
    <w:autoRedefine/>
    <w:qFormat/>
    <w:uiPriority w:val="1"/>
    <w:pPr>
      <w:adjustRightInd w:val="0"/>
      <w:snapToGrid w:val="0"/>
      <w:spacing w:line="360" w:lineRule="auto"/>
    </w:pPr>
    <w:rPr>
      <w:rFonts w:cstheme="minorBidi"/>
      <w:sz w:val="21"/>
      <w:szCs w:val="22"/>
    </w:rPr>
  </w:style>
  <w:style w:type="paragraph" w:customStyle="1" w:styleId="87">
    <w:name w:val="样式 标题 1 + 首行缩进:  2 字符"/>
    <w:basedOn w:val="12"/>
    <w:next w:val="1"/>
    <w:autoRedefine/>
    <w:qFormat/>
    <w:uiPriority w:val="0"/>
    <w:pPr>
      <w:ind w:firstLine="200" w:firstLineChars="200"/>
      <w:jc w:val="center"/>
    </w:pPr>
    <w:rPr>
      <w:rFonts w:cs="宋体"/>
    </w:rPr>
  </w:style>
  <w:style w:type="paragraph" w:customStyle="1" w:styleId="88">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89">
    <w:name w:val="news1"/>
    <w:autoRedefine/>
    <w:qFormat/>
    <w:uiPriority w:val="0"/>
    <w:rPr>
      <w:color w:val="000000"/>
      <w:sz w:val="18"/>
      <w:szCs w:val="18"/>
      <w:u w:val="none"/>
    </w:rPr>
  </w:style>
  <w:style w:type="paragraph" w:customStyle="1" w:styleId="90">
    <w:name w:val="样式1"/>
    <w:basedOn w:val="1"/>
    <w:next w:val="23"/>
    <w:autoRedefine/>
    <w:qFormat/>
    <w:uiPriority w:val="0"/>
    <w:pPr>
      <w:ind w:firstLine="462" w:firstLineChars="200"/>
    </w:pPr>
    <w:rPr>
      <w:rFonts w:ascii="宋体" w:hAnsi="宋体"/>
      <w:color w:val="000000"/>
      <w:kern w:val="0"/>
      <w:sz w:val="24"/>
    </w:rPr>
  </w:style>
  <w:style w:type="paragraph" w:customStyle="1" w:styleId="91">
    <w:name w:val="样式5"/>
    <w:basedOn w:val="92"/>
    <w:autoRedefine/>
    <w:qFormat/>
    <w:uiPriority w:val="0"/>
    <w:pPr>
      <w:spacing w:line="480" w:lineRule="exact"/>
      <w:ind w:firstLine="200"/>
    </w:pPr>
    <w:rPr>
      <w:sz w:val="28"/>
    </w:rPr>
  </w:style>
  <w:style w:type="paragraph" w:customStyle="1" w:styleId="92">
    <w:name w:val="样式3"/>
    <w:basedOn w:val="18"/>
    <w:next w:val="12"/>
    <w:autoRedefine/>
    <w:qFormat/>
    <w:uiPriority w:val="0"/>
    <w:pPr>
      <w:widowControl/>
      <w:spacing w:line="490" w:lineRule="exact"/>
      <w:jc w:val="left"/>
    </w:pPr>
  </w:style>
  <w:style w:type="character" w:customStyle="1" w:styleId="93">
    <w:name w:val="fontstyle01"/>
    <w:basedOn w:val="27"/>
    <w:autoRedefine/>
    <w:qFormat/>
    <w:uiPriority w:val="0"/>
    <w:rPr>
      <w:rFonts w:hint="eastAsia" w:ascii="宋体" w:hAnsi="宋体" w:eastAsia="宋体"/>
      <w:color w:val="000000"/>
      <w:sz w:val="24"/>
      <w:szCs w:val="24"/>
    </w:rPr>
  </w:style>
  <w:style w:type="paragraph" w:customStyle="1" w:styleId="94">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3486</Words>
  <Characters>4084</Characters>
  <Lines>0</Lines>
  <Paragraphs>0</Paragraphs>
  <TotalTime>0</TotalTime>
  <ScaleCrop>false</ScaleCrop>
  <LinksUpToDate>false</LinksUpToDate>
  <CharactersWithSpaces>4208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