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华北油气分公司采油一厂宫河1H等11宗勘探井建设项目（JH2P42、长探105、JH2P44、良平101H）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0000FF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0000FF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0000FF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0000FF"/>
          <w:sz w:val="24"/>
          <w:szCs w:val="24"/>
        </w:rPr>
        <w:t>日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《华北油气分公司采油一厂宫河1H等11宗勘探井建设项目（JH2P42、长探105、JH2P44、良平101H）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1、建设地点、规模、主要建设内容</w:t>
      </w:r>
    </w:p>
    <w:p w14:paraId="0B3472C9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bookmarkStart w:id="0" w:name="_Hlk40274911"/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JH2P42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宁县早胜镇西头村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中心点坐标：E 108°11′30.507″，N 35°20′20.726″；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长探105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宁县焦村镇朱家塬村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中心点坐标：E107°51′55.158″，N35°25′44.878″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；JH2P44：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宁县中村镇平定村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中心点坐标：E107°57′10.798″，N35°23′33.248″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；良平101H：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宁县早胜镇院子村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中心点坐标：E107°57′00.415″，N35°25′43.619″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  <w:r>
        <w:rPr>
          <w:rFonts w:ascii="Times New Roman" w:hAnsi="Times New Roman" w:cs="Times New Roman"/>
          <w:sz w:val="24"/>
          <w:szCs w:val="24"/>
        </w:rPr>
        <w:t>通过完井测试评价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油、气</w:t>
      </w:r>
      <w:r>
        <w:rPr>
          <w:rFonts w:ascii="Times New Roman" w:hAnsi="Times New Roman" w:cs="Times New Roman"/>
          <w:sz w:val="24"/>
          <w:szCs w:val="24"/>
        </w:rPr>
        <w:t>藏情况，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JH2P42、JH2P44、良平101H场地已恢复平整，井口进行临时关井，待转产，除预留转为生产开发所需的面积外，对其余临时占地进行了恢复，对进场道路及井场周边等及时进行了绿化；长探105已永久封井，井场已平整并进行了绿化。</w:t>
      </w:r>
      <w:r>
        <w:rPr>
          <w:rFonts w:hint="eastAsia" w:ascii="Times New Roman" w:hAnsi="Times New Roman" w:cs="Times New Roman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本项目涉及井场钻探、试油（气）情况见下表：</w:t>
      </w:r>
    </w:p>
    <w:tbl>
      <w:tblPr>
        <w:tblStyle w:val="14"/>
        <w:tblW w:w="500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  <w:gridCol w:w="1857"/>
        <w:gridCol w:w="1622"/>
        <w:gridCol w:w="1784"/>
        <w:gridCol w:w="1796"/>
      </w:tblGrid>
      <w:tr w14:paraId="618F51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01" w:type="dxa"/>
            <w:noWrap w:val="0"/>
            <w:vAlign w:val="center"/>
          </w:tcPr>
          <w:p w14:paraId="43BAF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井场</w:t>
            </w:r>
          </w:p>
        </w:tc>
        <w:tc>
          <w:tcPr>
            <w:tcW w:w="1853" w:type="dxa"/>
            <w:noWrap w:val="0"/>
            <w:vAlign w:val="center"/>
          </w:tcPr>
          <w:p w14:paraId="463B4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开钻时间</w:t>
            </w:r>
          </w:p>
        </w:tc>
        <w:tc>
          <w:tcPr>
            <w:tcW w:w="1619" w:type="dxa"/>
            <w:noWrap w:val="0"/>
            <w:vAlign w:val="center"/>
          </w:tcPr>
          <w:p w14:paraId="6E33F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完钻时间</w:t>
            </w:r>
          </w:p>
        </w:tc>
        <w:tc>
          <w:tcPr>
            <w:tcW w:w="1780" w:type="dxa"/>
            <w:noWrap w:val="0"/>
            <w:vAlign w:val="center"/>
          </w:tcPr>
          <w:p w14:paraId="1861F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试油（气）开始时间</w:t>
            </w:r>
          </w:p>
        </w:tc>
        <w:tc>
          <w:tcPr>
            <w:tcW w:w="1792" w:type="dxa"/>
            <w:noWrap w:val="0"/>
            <w:vAlign w:val="center"/>
          </w:tcPr>
          <w:p w14:paraId="03334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试油（气）结束时间</w:t>
            </w:r>
          </w:p>
        </w:tc>
      </w:tr>
      <w:tr w14:paraId="2B9AD7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01" w:type="dxa"/>
            <w:shd w:val="clear" w:color="auto" w:fill="auto"/>
            <w:noWrap w:val="0"/>
            <w:vAlign w:val="center"/>
          </w:tcPr>
          <w:p w14:paraId="3BEE7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JH2P42</w:t>
            </w:r>
          </w:p>
        </w:tc>
        <w:tc>
          <w:tcPr>
            <w:tcW w:w="1853" w:type="dxa"/>
            <w:shd w:val="clear" w:color="auto" w:fill="auto"/>
            <w:noWrap w:val="0"/>
            <w:vAlign w:val="center"/>
          </w:tcPr>
          <w:p w14:paraId="6B32E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2024-08-09</w:t>
            </w:r>
          </w:p>
        </w:tc>
        <w:tc>
          <w:tcPr>
            <w:tcW w:w="1619" w:type="dxa"/>
            <w:shd w:val="clear" w:color="auto" w:fill="auto"/>
            <w:noWrap w:val="0"/>
            <w:vAlign w:val="center"/>
          </w:tcPr>
          <w:p w14:paraId="07BBB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2024-09-07</w:t>
            </w:r>
          </w:p>
        </w:tc>
        <w:tc>
          <w:tcPr>
            <w:tcW w:w="1780" w:type="dxa"/>
            <w:shd w:val="clear" w:color="auto" w:fill="auto"/>
            <w:noWrap w:val="0"/>
            <w:vAlign w:val="center"/>
          </w:tcPr>
          <w:p w14:paraId="18EE9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2024-11-04</w:t>
            </w:r>
          </w:p>
        </w:tc>
        <w:tc>
          <w:tcPr>
            <w:tcW w:w="1792" w:type="dxa"/>
            <w:shd w:val="clear" w:color="auto" w:fill="auto"/>
            <w:noWrap w:val="0"/>
            <w:vAlign w:val="center"/>
          </w:tcPr>
          <w:p w14:paraId="1823F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2024-12-02</w:t>
            </w:r>
          </w:p>
        </w:tc>
      </w:tr>
      <w:tr w14:paraId="617C7F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01" w:type="dxa"/>
            <w:shd w:val="clear" w:color="auto" w:fill="auto"/>
            <w:noWrap w:val="0"/>
            <w:vAlign w:val="center"/>
          </w:tcPr>
          <w:p w14:paraId="67211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长探105</w:t>
            </w:r>
          </w:p>
        </w:tc>
        <w:tc>
          <w:tcPr>
            <w:tcW w:w="1853" w:type="dxa"/>
            <w:shd w:val="clear" w:color="auto" w:fill="auto"/>
            <w:noWrap w:val="0"/>
            <w:vAlign w:val="center"/>
          </w:tcPr>
          <w:p w14:paraId="33E8C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31</w:t>
            </w:r>
          </w:p>
        </w:tc>
        <w:tc>
          <w:tcPr>
            <w:tcW w:w="1619" w:type="dxa"/>
            <w:shd w:val="clear" w:color="auto" w:fill="auto"/>
            <w:noWrap w:val="0"/>
            <w:vAlign w:val="center"/>
          </w:tcPr>
          <w:p w14:paraId="6D0E5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2024-10-09</w:t>
            </w:r>
          </w:p>
        </w:tc>
        <w:tc>
          <w:tcPr>
            <w:tcW w:w="1780" w:type="dxa"/>
            <w:shd w:val="clear" w:color="auto" w:fill="auto"/>
            <w:noWrap w:val="0"/>
            <w:vAlign w:val="center"/>
          </w:tcPr>
          <w:p w14:paraId="6A651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2024-11-18</w:t>
            </w:r>
          </w:p>
        </w:tc>
        <w:tc>
          <w:tcPr>
            <w:tcW w:w="1792" w:type="dxa"/>
            <w:shd w:val="clear" w:color="auto" w:fill="auto"/>
            <w:noWrap w:val="0"/>
            <w:vAlign w:val="center"/>
          </w:tcPr>
          <w:p w14:paraId="588EB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2025-02-22</w:t>
            </w:r>
          </w:p>
        </w:tc>
      </w:tr>
      <w:tr w14:paraId="2AB260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01" w:type="dxa"/>
            <w:shd w:val="clear" w:color="auto" w:fill="auto"/>
            <w:noWrap w:val="0"/>
            <w:vAlign w:val="center"/>
          </w:tcPr>
          <w:p w14:paraId="0AEA2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JH2P44</w:t>
            </w:r>
          </w:p>
        </w:tc>
        <w:tc>
          <w:tcPr>
            <w:tcW w:w="1853" w:type="dxa"/>
            <w:shd w:val="clear" w:color="auto" w:fill="auto"/>
            <w:noWrap w:val="0"/>
            <w:vAlign w:val="center"/>
          </w:tcPr>
          <w:p w14:paraId="50E7C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619" w:type="dxa"/>
            <w:shd w:val="clear" w:color="auto" w:fill="auto"/>
            <w:noWrap w:val="0"/>
            <w:vAlign w:val="center"/>
          </w:tcPr>
          <w:p w14:paraId="606AD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2024-07-08</w:t>
            </w:r>
          </w:p>
        </w:tc>
        <w:tc>
          <w:tcPr>
            <w:tcW w:w="1780" w:type="dxa"/>
            <w:shd w:val="clear" w:color="auto" w:fill="auto"/>
            <w:noWrap w:val="0"/>
            <w:vAlign w:val="center"/>
          </w:tcPr>
          <w:p w14:paraId="7BBF4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2024-03-13</w:t>
            </w:r>
          </w:p>
        </w:tc>
        <w:tc>
          <w:tcPr>
            <w:tcW w:w="1792" w:type="dxa"/>
            <w:shd w:val="clear" w:color="auto" w:fill="auto"/>
            <w:noWrap w:val="0"/>
            <w:vAlign w:val="center"/>
          </w:tcPr>
          <w:p w14:paraId="4744A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2024-10-11</w:t>
            </w:r>
          </w:p>
        </w:tc>
      </w:tr>
      <w:tr w14:paraId="09E442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01" w:type="dxa"/>
            <w:shd w:val="clear" w:color="auto" w:fill="auto"/>
            <w:noWrap w:val="0"/>
            <w:vAlign w:val="center"/>
          </w:tcPr>
          <w:p w14:paraId="74378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良平101H</w:t>
            </w:r>
          </w:p>
        </w:tc>
        <w:tc>
          <w:tcPr>
            <w:tcW w:w="1853" w:type="dxa"/>
            <w:shd w:val="clear" w:color="auto" w:fill="auto"/>
            <w:noWrap w:val="0"/>
            <w:vAlign w:val="center"/>
          </w:tcPr>
          <w:p w14:paraId="3E7A6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1619" w:type="dxa"/>
            <w:shd w:val="clear" w:color="auto" w:fill="auto"/>
            <w:noWrap w:val="0"/>
            <w:vAlign w:val="center"/>
          </w:tcPr>
          <w:p w14:paraId="5CE66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2024-07-08</w:t>
            </w:r>
          </w:p>
        </w:tc>
        <w:tc>
          <w:tcPr>
            <w:tcW w:w="1780" w:type="dxa"/>
            <w:shd w:val="clear" w:color="auto" w:fill="auto"/>
            <w:noWrap w:val="0"/>
            <w:vAlign w:val="center"/>
          </w:tcPr>
          <w:p w14:paraId="2CDFB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2024-08-22</w:t>
            </w:r>
          </w:p>
        </w:tc>
        <w:tc>
          <w:tcPr>
            <w:tcW w:w="1792" w:type="dxa"/>
            <w:shd w:val="clear" w:color="auto" w:fill="auto"/>
            <w:noWrap w:val="0"/>
            <w:vAlign w:val="center"/>
          </w:tcPr>
          <w:p w14:paraId="6A0DB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2024-09-26</w:t>
            </w:r>
          </w:p>
        </w:tc>
      </w:tr>
    </w:tbl>
    <w:p w14:paraId="5AE13A4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完成（含试油、气），JH2P42、JH2P44、良平101H场地已恢复平整，井口进行临时关井，待转产；长探105已永久封井。</w:t>
      </w:r>
    </w:p>
    <w:p w14:paraId="74A4384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甘肃卉昕朋环保科技有限公司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华北油气分公司采油一厂宫河1H等11宗勘探井建设项目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包括：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JH2P11、JH2P42、JH2P44、良平101H、良平203H、永正2H、宫河1H、宫河101H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、长探105、长探106、彬6）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5月8</w:t>
      </w:r>
      <w:r>
        <w:rPr>
          <w:rFonts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sz w:val="24"/>
          <w:szCs w:val="24"/>
        </w:rPr>
        <w:t>批复了</w:t>
      </w:r>
      <w:r>
        <w:rPr>
          <w:rFonts w:ascii="Times New Roman" w:hAnsi="Times New Roman" w:cs="Times New Roman"/>
          <w:sz w:val="24"/>
          <w:szCs w:val="24"/>
        </w:rPr>
        <w:t>《关于</w:t>
      </w:r>
      <w:r>
        <w:rPr>
          <w:rFonts w:hint="eastAsia" w:ascii="Times New Roman" w:hAnsi="Times New Roman" w:cs="Times New Roman"/>
          <w:sz w:val="24"/>
          <w:szCs w:val="24"/>
        </w:rPr>
        <w:t>&lt;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华北油气分公司采油一厂宫河1H等11宗勘探井建设项目</w:t>
      </w:r>
      <w:r>
        <w:rPr>
          <w:rFonts w:ascii="Times New Roman" w:hAnsi="Times New Roman" w:cs="Times New Roman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sz w:val="24"/>
          <w:szCs w:val="24"/>
        </w:rPr>
        <w:t>，批准文号：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庆环评表字〔2024〕22号）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华北油气分公司采油一厂宫河1H等11宗勘探井建设项目（JH2P42、长探105、JH2P44、良平101H）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、投资情况</w:t>
      </w:r>
    </w:p>
    <w:p w14:paraId="7D6F9C27">
      <w:pPr>
        <w:pStyle w:val="21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原环评文件中涉及11口井的预计总投资</w:t>
      </w:r>
      <w:r>
        <w:rPr>
          <w:rFonts w:hint="eastAsia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11000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695.6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6.32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华北油气分公司采油一厂宫河1H等11宗勘探井建设项目（JH2P42、长探105、JH2P44、良平101H）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/>
          <w:color w:val="auto"/>
          <w:szCs w:val="24"/>
          <w:lang w:val="en-US" w:eastAsia="zh-CN"/>
        </w:rPr>
        <w:t>1500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/>
          <w:color w:val="auto"/>
          <w:szCs w:val="24"/>
          <w:lang w:val="en-US" w:eastAsia="zh-CN"/>
        </w:rPr>
        <w:t>199.35</w:t>
      </w:r>
      <w:r>
        <w:rPr>
          <w:rFonts w:hint="eastAsia"/>
          <w:color w:val="auto"/>
          <w:szCs w:val="24"/>
        </w:rPr>
        <w:t>万元，占总投资的</w:t>
      </w:r>
      <w:r>
        <w:rPr>
          <w:rFonts w:hint="eastAsia"/>
          <w:color w:val="auto"/>
          <w:szCs w:val="24"/>
          <w:lang w:val="en-US" w:eastAsia="zh-CN"/>
        </w:rPr>
        <w:t>13.29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、验收范围</w:t>
      </w:r>
    </w:p>
    <w:p w14:paraId="668E832A">
      <w:pPr>
        <w:pStyle w:val="21"/>
        <w:widowControl w:val="0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</w:t>
      </w:r>
      <w:r>
        <w:rPr>
          <w:rFonts w:hint="eastAsia" w:ascii="Times New Roman" w:hAnsi="Times New Roman" w:eastAsia="宋体" w:cs="Times New Roman"/>
          <w:color w:val="0000FF"/>
          <w:sz w:val="24"/>
          <w:szCs w:val="24"/>
          <w:lang w:eastAsia="zh-CN"/>
        </w:rPr>
        <w:t>本次验收范围</w:t>
      </w:r>
      <w:r>
        <w:rPr>
          <w:rFonts w:hint="eastAsia" w:ascii="Times New Roman" w:hAnsi="Times New Roman" w:eastAsia="宋体" w:cs="Times New Roman"/>
          <w:color w:val="0000FF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0000FF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0000FF"/>
          <w:sz w:val="24"/>
          <w:szCs w:val="24"/>
          <w:lang w:val="en-US" w:eastAsia="zh-CN"/>
        </w:rPr>
        <w:t>验收范围一致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（只针对环评批复中11口中的其中4口：JH55P11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二、工程</w:t>
      </w:r>
      <w:r>
        <w:rPr>
          <w:rFonts w:hint="eastAsia" w:ascii="Times New Roman" w:hAnsi="Times New Roman"/>
          <w:b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根据本项目实际情况，对照环评文件、环办</w:t>
      </w:r>
      <w:r>
        <w:rPr>
          <w:rFonts w:hint="eastAsia" w:ascii="Times New Roman" w:hAnsi="Times New Roman"/>
          <w:sz w:val="24"/>
          <w:lang w:val="en-US" w:eastAsia="zh-CN"/>
        </w:rPr>
        <w:t>〔2015〕</w:t>
      </w:r>
      <w:r>
        <w:rPr>
          <w:rFonts w:hint="eastAsia" w:ascii="Times New Roman" w:hAnsi="Times New Roman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sz w:val="24"/>
          <w:lang w:val="en-US" w:eastAsia="zh-CN"/>
        </w:rPr>
        <w:t>91</w:t>
      </w:r>
      <w:r>
        <w:rPr>
          <w:rFonts w:hint="eastAsia" w:ascii="Times New Roman" w:hAnsi="Times New Roman"/>
          <w:sz w:val="24"/>
          <w:lang w:eastAsia="zh-CN"/>
        </w:rPr>
        <w:t>0</w:t>
      </w:r>
      <w:r>
        <w:rPr>
          <w:rFonts w:hint="eastAsia" w:ascii="Times New Roman" w:hAnsi="Times New Roman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sz w:val="24"/>
          <w:lang w:eastAsia="zh-CN"/>
        </w:rPr>
        <w:t>。</w:t>
      </w:r>
      <w:r>
        <w:rPr>
          <w:rFonts w:hint="eastAsia" w:ascii="Times New Roman" w:hAnsi="Times New Roman"/>
          <w:sz w:val="24"/>
          <w:lang w:val="en-US" w:eastAsia="zh-CN"/>
        </w:rPr>
        <w:t>本项目设计井深2290m、4100m、2100m、2320m，实际钻井深度为2164m、4030m、2222m、2039m，钻井目的层未发生变化。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sz w:val="24"/>
        </w:rPr>
        <w:t>，项目建设无重大</w:t>
      </w:r>
      <w:bookmarkEnd w:id="2"/>
      <w:r>
        <w:rPr>
          <w:rFonts w:hint="eastAsia" w:ascii="Times New Roman" w:hAnsi="Times New Roman"/>
          <w:sz w:val="24"/>
          <w:lang w:val="en-US" w:eastAsia="zh-CN"/>
        </w:rPr>
        <w:t>变动</w:t>
      </w:r>
      <w:r>
        <w:rPr>
          <w:rFonts w:hint="eastAsia" w:ascii="Times New Roman" w:hAnsi="Times New Roman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</w:t>
      </w:r>
      <w:r>
        <w:rPr>
          <w:rFonts w:ascii="Times New Roman" w:hAnsi="Times New Roman"/>
          <w:sz w:val="24"/>
        </w:rPr>
        <w:t>施工期废气</w:t>
      </w:r>
      <w:r>
        <w:rPr>
          <w:rFonts w:ascii="Times New Roman" w:hAnsi="Times New Roman" w:cs="Times New Roman"/>
          <w:sz w:val="24"/>
          <w:szCs w:val="24"/>
        </w:rPr>
        <w:t>污染</w:t>
      </w:r>
      <w:r>
        <w:rPr>
          <w:rFonts w:ascii="Times New Roman" w:hAnsi="Times New Roman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废气主要包括施工扬尘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试油、试气废气</w:t>
      </w:r>
      <w:r>
        <w:rPr>
          <w:rFonts w:ascii="Times New Roman" w:hAnsi="Times New Roman"/>
          <w:sz w:val="24"/>
        </w:rPr>
        <w:t>和施工机械（柴油机等）排放的燃料燃烧烟气。其中以内燃机为动力的施工机械作业具有排放量小、短期性和流动性特点，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采取</w:t>
      </w:r>
      <w:r>
        <w:rPr>
          <w:rFonts w:hint="eastAsia" w:ascii="Times New Roman" w:hAnsi="Times New Roman"/>
          <w:sz w:val="24"/>
        </w:rPr>
        <w:t>了场地围挡、洒水抑尘、车辆限速等</w:t>
      </w:r>
      <w:r>
        <w:rPr>
          <w:rFonts w:ascii="Times New Roman" w:hAnsi="Times New Roman"/>
          <w:sz w:val="24"/>
        </w:rPr>
        <w:t>抑尘措施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</w:t>
      </w:r>
      <w:r>
        <w:rPr>
          <w:rFonts w:ascii="Times New Roman" w:hAnsi="Times New Roman"/>
          <w:sz w:val="24"/>
        </w:rPr>
        <w:t>施工期废水污染防治措施</w:t>
      </w:r>
    </w:p>
    <w:p w14:paraId="7E44C58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项目钻井过程中采用表层套管封固含水层，井场铺设采用复合土工膜防渗层，并对散落在井场的污染物及时收集，防止对地下水造成污染。</w:t>
      </w:r>
    </w:p>
    <w:p w14:paraId="0464469A"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outlineLvl w:val="9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泾河8撬装式水净化站、红河废液处理站处理达标后回注油层，未外排。施工井场设置了移动式环保厕所，施工人员少量盥洗废水用于洒水降尘，无污水外排现象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单位（志丹永宏50718队、五普50839HB、五普50839HB、五普40837HB）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废机油、废润滑油定期委托平凉海螺环保科技有限责任公司外运处置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5、施工期生态保护</w:t>
      </w:r>
      <w:r>
        <w:rPr>
          <w:rFonts w:hint="eastAsia" w:ascii="Times New Roman" w:hAnsi="Times New Roman" w:cs="Times New Roman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JH2P42、JH2P44、良平101H场地已恢复平整，井口进行临时关井，待转产，除预留转为生产开发所需的面积外，对其余临时占地进行了恢复，对进场道路及井场周边等及时进行了绿化；长探105已永久封井，井场已平整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对井场内外土壤的现场采样数据，进行土壤环境影响分析。井场泥浆不落地装置区、井场外50m农用地监测因子均符合《土壤环境质量-农用地土壤污染风险管控标准（试行）》（GB15618-2018）中相关要求、石油烃符合《农用地土壤环境风险评价技术规定（试行）》中500mg/kg要求。表明项目实施期间未对土壤环境造成污染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临时关井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7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7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/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3"/>
        <w:ind w:firstLine="0" w:firstLineChars="0"/>
        <w:rPr>
          <w:rFonts w:ascii="Times New Roman" w:hAnsi="Times New Roman"/>
        </w:rPr>
      </w:pPr>
    </w:p>
    <w:p w14:paraId="5CD4BEA5">
      <w:pPr>
        <w:pStyle w:val="13"/>
        <w:ind w:firstLine="0" w:firstLineChars="0"/>
        <w:rPr>
          <w:rFonts w:ascii="Times New Roman" w:hAnsi="Times New Roman"/>
        </w:rPr>
      </w:pPr>
    </w:p>
    <w:p w14:paraId="048DA02F">
      <w:pPr>
        <w:pStyle w:val="13"/>
        <w:ind w:firstLine="0" w:firstLineChars="0"/>
        <w:rPr>
          <w:rFonts w:ascii="Times New Roman" w:hAnsi="Times New Roman"/>
        </w:rPr>
      </w:pPr>
    </w:p>
    <w:p w14:paraId="6485BDC5">
      <w:pPr>
        <w:pStyle w:val="13"/>
        <w:ind w:firstLine="0" w:firstLineChars="0"/>
        <w:rPr>
          <w:rFonts w:ascii="Times New Roman" w:hAnsi="Times New Roman"/>
        </w:rPr>
      </w:pPr>
    </w:p>
    <w:p w14:paraId="4628570B">
      <w:pPr>
        <w:pStyle w:val="13"/>
        <w:ind w:firstLine="0" w:firstLineChars="0"/>
        <w:rPr>
          <w:rFonts w:ascii="Times New Roman" w:hAnsi="Times New Roman"/>
        </w:rPr>
      </w:pPr>
    </w:p>
    <w:p w14:paraId="50337434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31770F2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3462347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8F26B7A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  <w:bookmarkStart w:id="5" w:name="_GoBack"/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-5080</wp:posOffset>
            </wp:positionV>
            <wp:extent cx="6047105" cy="8761730"/>
            <wp:effectExtent l="0" t="0" r="10795" b="1270"/>
            <wp:wrapNone/>
            <wp:docPr id="4" name="图片 4" descr="华北验收签到表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华北验收签到表_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47105" cy="8761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5"/>
    </w:p>
    <w:p w14:paraId="7FF312D2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BEAA816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3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11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11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11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78690A"/>
    <w:rsid w:val="03E017D2"/>
    <w:rsid w:val="040E4592"/>
    <w:rsid w:val="04D1736D"/>
    <w:rsid w:val="04F92991"/>
    <w:rsid w:val="0519333B"/>
    <w:rsid w:val="051C6BD2"/>
    <w:rsid w:val="052027CE"/>
    <w:rsid w:val="056A005E"/>
    <w:rsid w:val="05D2339D"/>
    <w:rsid w:val="06A6179A"/>
    <w:rsid w:val="06A7578B"/>
    <w:rsid w:val="06F07F7E"/>
    <w:rsid w:val="070D0B30"/>
    <w:rsid w:val="071C5217"/>
    <w:rsid w:val="0768045D"/>
    <w:rsid w:val="077C1812"/>
    <w:rsid w:val="079C0106"/>
    <w:rsid w:val="07E15B19"/>
    <w:rsid w:val="084E1932"/>
    <w:rsid w:val="088F5575"/>
    <w:rsid w:val="089F1C5C"/>
    <w:rsid w:val="08BB15FC"/>
    <w:rsid w:val="0922463B"/>
    <w:rsid w:val="09440AF0"/>
    <w:rsid w:val="09B2776D"/>
    <w:rsid w:val="0A58531C"/>
    <w:rsid w:val="0AF02C43"/>
    <w:rsid w:val="0B1B7594"/>
    <w:rsid w:val="0B68565E"/>
    <w:rsid w:val="0B83153D"/>
    <w:rsid w:val="0BA4158B"/>
    <w:rsid w:val="0BEA012F"/>
    <w:rsid w:val="0C711B61"/>
    <w:rsid w:val="0C8B2E17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67724C"/>
    <w:rsid w:val="0F890F70"/>
    <w:rsid w:val="10433815"/>
    <w:rsid w:val="10BE2E9B"/>
    <w:rsid w:val="10D26947"/>
    <w:rsid w:val="10E430B3"/>
    <w:rsid w:val="116E48C1"/>
    <w:rsid w:val="118B7221"/>
    <w:rsid w:val="11AB1672"/>
    <w:rsid w:val="12217B86"/>
    <w:rsid w:val="12D92C58"/>
    <w:rsid w:val="132C67E2"/>
    <w:rsid w:val="13430204"/>
    <w:rsid w:val="134E49AB"/>
    <w:rsid w:val="13923D70"/>
    <w:rsid w:val="13CD29F5"/>
    <w:rsid w:val="140B1212"/>
    <w:rsid w:val="14352B1F"/>
    <w:rsid w:val="14553B17"/>
    <w:rsid w:val="14F023DF"/>
    <w:rsid w:val="15147D27"/>
    <w:rsid w:val="151F75E6"/>
    <w:rsid w:val="152A3A00"/>
    <w:rsid w:val="15864176"/>
    <w:rsid w:val="15F630D7"/>
    <w:rsid w:val="165322D8"/>
    <w:rsid w:val="167C5922"/>
    <w:rsid w:val="16924BAE"/>
    <w:rsid w:val="169E17A5"/>
    <w:rsid w:val="16E300D6"/>
    <w:rsid w:val="170D2487"/>
    <w:rsid w:val="175B4399"/>
    <w:rsid w:val="17614581"/>
    <w:rsid w:val="176C3651"/>
    <w:rsid w:val="178939B5"/>
    <w:rsid w:val="178B2240"/>
    <w:rsid w:val="17E331AB"/>
    <w:rsid w:val="18153CE9"/>
    <w:rsid w:val="183B1275"/>
    <w:rsid w:val="18FE652B"/>
    <w:rsid w:val="194C7082"/>
    <w:rsid w:val="19656004"/>
    <w:rsid w:val="198F7ACB"/>
    <w:rsid w:val="19F16090"/>
    <w:rsid w:val="1A424B3D"/>
    <w:rsid w:val="1AF71484"/>
    <w:rsid w:val="1AFD1CF3"/>
    <w:rsid w:val="1B0E6FE8"/>
    <w:rsid w:val="1B79633D"/>
    <w:rsid w:val="1B8357C7"/>
    <w:rsid w:val="1B8C2C7D"/>
    <w:rsid w:val="1BA24F9D"/>
    <w:rsid w:val="1BD16179"/>
    <w:rsid w:val="1C007106"/>
    <w:rsid w:val="1C1A6466"/>
    <w:rsid w:val="1C427EC4"/>
    <w:rsid w:val="1CC6131B"/>
    <w:rsid w:val="1CD51C99"/>
    <w:rsid w:val="1D0D31E0"/>
    <w:rsid w:val="1D3764AF"/>
    <w:rsid w:val="1D855C9C"/>
    <w:rsid w:val="1D8F0099"/>
    <w:rsid w:val="1E195BB5"/>
    <w:rsid w:val="1E320A25"/>
    <w:rsid w:val="1F3709E9"/>
    <w:rsid w:val="1F833B7D"/>
    <w:rsid w:val="1F884DA0"/>
    <w:rsid w:val="1FB77434"/>
    <w:rsid w:val="1FBC2C9C"/>
    <w:rsid w:val="1FC61D6D"/>
    <w:rsid w:val="208732AA"/>
    <w:rsid w:val="209D2ACD"/>
    <w:rsid w:val="213D3C75"/>
    <w:rsid w:val="218F1DE1"/>
    <w:rsid w:val="220D65B5"/>
    <w:rsid w:val="221300CD"/>
    <w:rsid w:val="224D0523"/>
    <w:rsid w:val="2262388D"/>
    <w:rsid w:val="22794E74"/>
    <w:rsid w:val="22B37B39"/>
    <w:rsid w:val="22CF39EE"/>
    <w:rsid w:val="230E236D"/>
    <w:rsid w:val="231352C9"/>
    <w:rsid w:val="23682531"/>
    <w:rsid w:val="23E1673A"/>
    <w:rsid w:val="244F2331"/>
    <w:rsid w:val="245E2574"/>
    <w:rsid w:val="24924842"/>
    <w:rsid w:val="25162E4E"/>
    <w:rsid w:val="258A4756"/>
    <w:rsid w:val="25B368EF"/>
    <w:rsid w:val="260D24A3"/>
    <w:rsid w:val="26321282"/>
    <w:rsid w:val="26C32B62"/>
    <w:rsid w:val="26CB50B9"/>
    <w:rsid w:val="27184622"/>
    <w:rsid w:val="272C4BAB"/>
    <w:rsid w:val="27381EE9"/>
    <w:rsid w:val="275D06A6"/>
    <w:rsid w:val="286E2D4D"/>
    <w:rsid w:val="28A65C60"/>
    <w:rsid w:val="28B5297E"/>
    <w:rsid w:val="28DC7F0B"/>
    <w:rsid w:val="290E0BBE"/>
    <w:rsid w:val="29187D76"/>
    <w:rsid w:val="297C16C0"/>
    <w:rsid w:val="29A9444B"/>
    <w:rsid w:val="29E5351D"/>
    <w:rsid w:val="2A046877"/>
    <w:rsid w:val="2A135BAE"/>
    <w:rsid w:val="2A750012"/>
    <w:rsid w:val="2AD0584D"/>
    <w:rsid w:val="2B2A7FD6"/>
    <w:rsid w:val="2BAA42F0"/>
    <w:rsid w:val="2C002162"/>
    <w:rsid w:val="2C3562B0"/>
    <w:rsid w:val="2C411887"/>
    <w:rsid w:val="2CBC252D"/>
    <w:rsid w:val="2D1F486A"/>
    <w:rsid w:val="2DE06617"/>
    <w:rsid w:val="2DF80125"/>
    <w:rsid w:val="2E7438E5"/>
    <w:rsid w:val="2E84707B"/>
    <w:rsid w:val="2EB060C2"/>
    <w:rsid w:val="2EF21577"/>
    <w:rsid w:val="2F047CCA"/>
    <w:rsid w:val="2F971030"/>
    <w:rsid w:val="2F9C18FA"/>
    <w:rsid w:val="2FB83480"/>
    <w:rsid w:val="2FE06533"/>
    <w:rsid w:val="2FEF2ACF"/>
    <w:rsid w:val="30275F10"/>
    <w:rsid w:val="3045179F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870EE7"/>
    <w:rsid w:val="329F0927"/>
    <w:rsid w:val="32D11EE7"/>
    <w:rsid w:val="32FC7B27"/>
    <w:rsid w:val="330F29F4"/>
    <w:rsid w:val="3369683F"/>
    <w:rsid w:val="33A94587"/>
    <w:rsid w:val="33D4015C"/>
    <w:rsid w:val="33E64678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635113"/>
    <w:rsid w:val="369462C9"/>
    <w:rsid w:val="36C11F34"/>
    <w:rsid w:val="36CB62E7"/>
    <w:rsid w:val="36DB5CA6"/>
    <w:rsid w:val="37070105"/>
    <w:rsid w:val="37204C66"/>
    <w:rsid w:val="37936580"/>
    <w:rsid w:val="38AB0FF4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C444FDC"/>
    <w:rsid w:val="3C4E2A76"/>
    <w:rsid w:val="3C990195"/>
    <w:rsid w:val="3CB21257"/>
    <w:rsid w:val="3CD40BF6"/>
    <w:rsid w:val="3D7B5AED"/>
    <w:rsid w:val="3D9902ED"/>
    <w:rsid w:val="3DC2196D"/>
    <w:rsid w:val="3DC92CFC"/>
    <w:rsid w:val="3DD11BB1"/>
    <w:rsid w:val="3EA82C20"/>
    <w:rsid w:val="3F080EB7"/>
    <w:rsid w:val="3F1A4796"/>
    <w:rsid w:val="3F675E4B"/>
    <w:rsid w:val="405F16F6"/>
    <w:rsid w:val="40692574"/>
    <w:rsid w:val="40EA58A3"/>
    <w:rsid w:val="412C5A7C"/>
    <w:rsid w:val="413E6C8F"/>
    <w:rsid w:val="418E2292"/>
    <w:rsid w:val="419E1DAA"/>
    <w:rsid w:val="419E7F5A"/>
    <w:rsid w:val="419E7FFC"/>
    <w:rsid w:val="41A028AC"/>
    <w:rsid w:val="41A6026A"/>
    <w:rsid w:val="42293C97"/>
    <w:rsid w:val="42314813"/>
    <w:rsid w:val="4253528A"/>
    <w:rsid w:val="429537FD"/>
    <w:rsid w:val="42D31499"/>
    <w:rsid w:val="42F779C3"/>
    <w:rsid w:val="43010842"/>
    <w:rsid w:val="430420E0"/>
    <w:rsid w:val="43382F60"/>
    <w:rsid w:val="436F4CB1"/>
    <w:rsid w:val="43927C0E"/>
    <w:rsid w:val="439B2A45"/>
    <w:rsid w:val="43FB34E3"/>
    <w:rsid w:val="442E1B0B"/>
    <w:rsid w:val="44380293"/>
    <w:rsid w:val="44977899"/>
    <w:rsid w:val="44AF71F4"/>
    <w:rsid w:val="451F76A5"/>
    <w:rsid w:val="452346D8"/>
    <w:rsid w:val="453B4A8C"/>
    <w:rsid w:val="456D21BF"/>
    <w:rsid w:val="45863281"/>
    <w:rsid w:val="458D3152"/>
    <w:rsid w:val="45C64F3E"/>
    <w:rsid w:val="45D4223E"/>
    <w:rsid w:val="463C360A"/>
    <w:rsid w:val="46717A8D"/>
    <w:rsid w:val="46957C1F"/>
    <w:rsid w:val="47777520"/>
    <w:rsid w:val="47B36F9E"/>
    <w:rsid w:val="47C50090"/>
    <w:rsid w:val="47CF4B5A"/>
    <w:rsid w:val="487970CD"/>
    <w:rsid w:val="48877A3B"/>
    <w:rsid w:val="48C540C0"/>
    <w:rsid w:val="492A1B28"/>
    <w:rsid w:val="49542533"/>
    <w:rsid w:val="49861AA1"/>
    <w:rsid w:val="499A72FA"/>
    <w:rsid w:val="49F954BB"/>
    <w:rsid w:val="4AAC5537"/>
    <w:rsid w:val="4B315A3D"/>
    <w:rsid w:val="4B491F37"/>
    <w:rsid w:val="4B49722A"/>
    <w:rsid w:val="4B517E8D"/>
    <w:rsid w:val="4BA10E14"/>
    <w:rsid w:val="4BB64156"/>
    <w:rsid w:val="4BF54CBC"/>
    <w:rsid w:val="4C3859D4"/>
    <w:rsid w:val="4C96649F"/>
    <w:rsid w:val="4CAE4A70"/>
    <w:rsid w:val="4CC50B32"/>
    <w:rsid w:val="4D6245D3"/>
    <w:rsid w:val="4D924EB8"/>
    <w:rsid w:val="4DD03C33"/>
    <w:rsid w:val="4DEB6377"/>
    <w:rsid w:val="4E0A1EFF"/>
    <w:rsid w:val="4E0F02B7"/>
    <w:rsid w:val="4E5C7274"/>
    <w:rsid w:val="4E920EE8"/>
    <w:rsid w:val="4F916C88"/>
    <w:rsid w:val="50863682"/>
    <w:rsid w:val="50B63EA2"/>
    <w:rsid w:val="51542485"/>
    <w:rsid w:val="516B614C"/>
    <w:rsid w:val="517B3EB5"/>
    <w:rsid w:val="524268F0"/>
    <w:rsid w:val="5297673D"/>
    <w:rsid w:val="52D715BF"/>
    <w:rsid w:val="52FE6B4C"/>
    <w:rsid w:val="539B5003"/>
    <w:rsid w:val="53BA6F17"/>
    <w:rsid w:val="53C102A5"/>
    <w:rsid w:val="546704F0"/>
    <w:rsid w:val="54D13A8D"/>
    <w:rsid w:val="54D24FAB"/>
    <w:rsid w:val="552053D0"/>
    <w:rsid w:val="552A3C28"/>
    <w:rsid w:val="553625CD"/>
    <w:rsid w:val="56114DE8"/>
    <w:rsid w:val="56471922"/>
    <w:rsid w:val="565F2248"/>
    <w:rsid w:val="569B1EB2"/>
    <w:rsid w:val="56D3300B"/>
    <w:rsid w:val="57414B76"/>
    <w:rsid w:val="58020E8D"/>
    <w:rsid w:val="58443253"/>
    <w:rsid w:val="586D37C4"/>
    <w:rsid w:val="58B300A3"/>
    <w:rsid w:val="590B0A9B"/>
    <w:rsid w:val="591E5852"/>
    <w:rsid w:val="595B4CF8"/>
    <w:rsid w:val="59772EEC"/>
    <w:rsid w:val="59DF0C90"/>
    <w:rsid w:val="5A7616BE"/>
    <w:rsid w:val="5A77599C"/>
    <w:rsid w:val="5AD65E42"/>
    <w:rsid w:val="5B117051"/>
    <w:rsid w:val="5B2D6220"/>
    <w:rsid w:val="5B345801"/>
    <w:rsid w:val="5B363143"/>
    <w:rsid w:val="5BBD58D4"/>
    <w:rsid w:val="5BCF0A61"/>
    <w:rsid w:val="5C450C11"/>
    <w:rsid w:val="5C4E2C12"/>
    <w:rsid w:val="5CB07109"/>
    <w:rsid w:val="5D746389"/>
    <w:rsid w:val="5DC41AD2"/>
    <w:rsid w:val="5DD30284"/>
    <w:rsid w:val="5DD65A26"/>
    <w:rsid w:val="5F1C6CD8"/>
    <w:rsid w:val="5F5A335C"/>
    <w:rsid w:val="5FD35B6B"/>
    <w:rsid w:val="604619F7"/>
    <w:rsid w:val="60545FFD"/>
    <w:rsid w:val="60FA4DF7"/>
    <w:rsid w:val="6138591F"/>
    <w:rsid w:val="61413A18"/>
    <w:rsid w:val="6142054C"/>
    <w:rsid w:val="61470352"/>
    <w:rsid w:val="61F96E5C"/>
    <w:rsid w:val="621E78AA"/>
    <w:rsid w:val="62377985"/>
    <w:rsid w:val="6280757E"/>
    <w:rsid w:val="62A0552A"/>
    <w:rsid w:val="62D1763C"/>
    <w:rsid w:val="63536A40"/>
    <w:rsid w:val="63584057"/>
    <w:rsid w:val="63D20880"/>
    <w:rsid w:val="644D348F"/>
    <w:rsid w:val="64557AC0"/>
    <w:rsid w:val="645962D8"/>
    <w:rsid w:val="65121CCF"/>
    <w:rsid w:val="65B03CD6"/>
    <w:rsid w:val="65F53DDF"/>
    <w:rsid w:val="65F77B57"/>
    <w:rsid w:val="66976C44"/>
    <w:rsid w:val="66A31A8D"/>
    <w:rsid w:val="671309C0"/>
    <w:rsid w:val="6716400D"/>
    <w:rsid w:val="678F1102"/>
    <w:rsid w:val="67A71109"/>
    <w:rsid w:val="67F81964"/>
    <w:rsid w:val="68323CCD"/>
    <w:rsid w:val="685C6397"/>
    <w:rsid w:val="68680E34"/>
    <w:rsid w:val="690A7BA1"/>
    <w:rsid w:val="695D23C7"/>
    <w:rsid w:val="696F5C56"/>
    <w:rsid w:val="69E55F18"/>
    <w:rsid w:val="6A375B1C"/>
    <w:rsid w:val="6A8B2F63"/>
    <w:rsid w:val="6A984619"/>
    <w:rsid w:val="6AA95198"/>
    <w:rsid w:val="6B851761"/>
    <w:rsid w:val="6B8535B2"/>
    <w:rsid w:val="6B8754D9"/>
    <w:rsid w:val="6BA0659B"/>
    <w:rsid w:val="6BCF6E80"/>
    <w:rsid w:val="6D2D3E5E"/>
    <w:rsid w:val="6D4517B6"/>
    <w:rsid w:val="6D45201E"/>
    <w:rsid w:val="6D9421C6"/>
    <w:rsid w:val="6DA00AD4"/>
    <w:rsid w:val="6DA85BDA"/>
    <w:rsid w:val="6E0077C5"/>
    <w:rsid w:val="6F1F1ECC"/>
    <w:rsid w:val="6F3D6572"/>
    <w:rsid w:val="6F655B31"/>
    <w:rsid w:val="6F753E20"/>
    <w:rsid w:val="6F7B7179"/>
    <w:rsid w:val="6FEA70C7"/>
    <w:rsid w:val="703B5E96"/>
    <w:rsid w:val="704F4E9C"/>
    <w:rsid w:val="707D3311"/>
    <w:rsid w:val="708A4271"/>
    <w:rsid w:val="709F5073"/>
    <w:rsid w:val="70E81E6E"/>
    <w:rsid w:val="71532635"/>
    <w:rsid w:val="7161560D"/>
    <w:rsid w:val="717676DE"/>
    <w:rsid w:val="71B141B2"/>
    <w:rsid w:val="724834E8"/>
    <w:rsid w:val="72D45490"/>
    <w:rsid w:val="746F7452"/>
    <w:rsid w:val="748526D5"/>
    <w:rsid w:val="75A05F49"/>
    <w:rsid w:val="75A9073C"/>
    <w:rsid w:val="75CE1F56"/>
    <w:rsid w:val="7607118B"/>
    <w:rsid w:val="761B163F"/>
    <w:rsid w:val="76253106"/>
    <w:rsid w:val="7662726E"/>
    <w:rsid w:val="76787169"/>
    <w:rsid w:val="76865443"/>
    <w:rsid w:val="76AF3B36"/>
    <w:rsid w:val="76DA5057"/>
    <w:rsid w:val="76F677CA"/>
    <w:rsid w:val="76F81981"/>
    <w:rsid w:val="77065E4C"/>
    <w:rsid w:val="7747584D"/>
    <w:rsid w:val="78061D35"/>
    <w:rsid w:val="784B788E"/>
    <w:rsid w:val="78F63DB3"/>
    <w:rsid w:val="79311314"/>
    <w:rsid w:val="794D3A85"/>
    <w:rsid w:val="79960FDD"/>
    <w:rsid w:val="7A8F4CF9"/>
    <w:rsid w:val="7AB01E15"/>
    <w:rsid w:val="7AC5601E"/>
    <w:rsid w:val="7B551150"/>
    <w:rsid w:val="7B7D4202"/>
    <w:rsid w:val="7BB40EE6"/>
    <w:rsid w:val="7C305719"/>
    <w:rsid w:val="7C923CDE"/>
    <w:rsid w:val="7D360B0D"/>
    <w:rsid w:val="7D382AD7"/>
    <w:rsid w:val="7DAD082B"/>
    <w:rsid w:val="7DFC1D56"/>
    <w:rsid w:val="7EB27693"/>
    <w:rsid w:val="7EC87E8B"/>
    <w:rsid w:val="7ECA7C3A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5">
    <w:name w:val="heading 4"/>
    <w:basedOn w:val="1"/>
    <w:next w:val="6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99"/>
    <w:pPr>
      <w:ind w:firstLine="420" w:firstLineChars="200"/>
    </w:pPr>
    <w:rPr>
      <w:szCs w:val="20"/>
    </w:rPr>
  </w:style>
  <w:style w:type="paragraph" w:styleId="3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6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ody Text"/>
    <w:basedOn w:val="1"/>
    <w:autoRedefine/>
    <w:qFormat/>
    <w:uiPriority w:val="0"/>
    <w:pPr>
      <w:spacing w:after="120"/>
    </w:pPr>
  </w:style>
  <w:style w:type="paragraph" w:styleId="9">
    <w:name w:val="Date"/>
    <w:basedOn w:val="1"/>
    <w:next w:val="1"/>
    <w:link w:val="20"/>
    <w:autoRedefine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5"/>
    <w:autoRedefine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First Indent"/>
    <w:basedOn w:val="8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table" w:styleId="15">
    <w:name w:val="Table Grid"/>
    <w:basedOn w:val="1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autoRedefine/>
    <w:qFormat/>
    <w:uiPriority w:val="0"/>
  </w:style>
  <w:style w:type="character" w:customStyle="1" w:styleId="18">
    <w:name w:val="页眉 字符"/>
    <w:basedOn w:val="16"/>
    <w:link w:val="12"/>
    <w:autoRedefine/>
    <w:qFormat/>
    <w:uiPriority w:val="99"/>
    <w:rPr>
      <w:sz w:val="18"/>
      <w:szCs w:val="18"/>
    </w:rPr>
  </w:style>
  <w:style w:type="character" w:customStyle="1" w:styleId="19">
    <w:name w:val="页脚 字符"/>
    <w:basedOn w:val="16"/>
    <w:link w:val="11"/>
    <w:autoRedefine/>
    <w:qFormat/>
    <w:uiPriority w:val="99"/>
    <w:rPr>
      <w:sz w:val="18"/>
      <w:szCs w:val="18"/>
    </w:rPr>
  </w:style>
  <w:style w:type="character" w:customStyle="1" w:styleId="20">
    <w:name w:val="日期 字符"/>
    <w:basedOn w:val="16"/>
    <w:link w:val="9"/>
    <w:autoRedefine/>
    <w:semiHidden/>
    <w:qFormat/>
    <w:uiPriority w:val="99"/>
  </w:style>
  <w:style w:type="paragraph" w:customStyle="1" w:styleId="21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3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4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5">
    <w:name w:val="批注框文本 字符"/>
    <w:basedOn w:val="16"/>
    <w:link w:val="10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7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8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3292</Words>
  <Characters>3873</Characters>
  <Lines>19</Lines>
  <Paragraphs>5</Paragraphs>
  <TotalTime>0</TotalTime>
  <ScaleCrop>false</ScaleCrop>
  <LinksUpToDate>false</LinksUpToDate>
  <CharactersWithSpaces>3909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N0</cp:lastModifiedBy>
  <cp:lastPrinted>2019-06-03T06:01:00Z</cp:lastPrinted>
  <dcterms:modified xsi:type="dcterms:W3CDTF">2025-05-21T03:24:43Z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