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7C325">
      <w:pPr>
        <w:spacing w:line="360" w:lineRule="auto"/>
        <w:jc w:val="center"/>
        <w:rPr>
          <w:rFonts w:hint="eastAsia" w:ascii="Times New Roman" w:hAnsi="Times New Roman" w:eastAsia="宋体" w:cs="Times New Roman"/>
          <w:color w:val="auto"/>
          <w:w w:val="100"/>
          <w:sz w:val="28"/>
          <w:highlight w:val="none"/>
          <w:lang w:val="en-US" w:eastAsia="zh-CN"/>
        </w:rPr>
      </w:pPr>
    </w:p>
    <w:p w14:paraId="0C2ED550">
      <w:pPr>
        <w:spacing w:line="360" w:lineRule="auto"/>
        <w:jc w:val="both"/>
        <w:rPr>
          <w:rFonts w:hint="default" w:ascii="Times New Roman" w:hAnsi="Times New Roman" w:eastAsia="宋体" w:cs="Times New Roman"/>
          <w:color w:val="auto"/>
          <w:w w:val="100"/>
          <w:sz w:val="28"/>
          <w:highlight w:val="none"/>
        </w:rPr>
      </w:pPr>
    </w:p>
    <w:p w14:paraId="67313BD5">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Times New Roman" w:hAnsi="Times New Roman" w:eastAsia="楷体" w:cs="Times New Roman"/>
          <w:b/>
          <w:color w:val="auto"/>
          <w:kern w:val="0"/>
          <w:sz w:val="56"/>
          <w:szCs w:val="96"/>
          <w:highlight w:val="none"/>
          <w:lang w:eastAsia="zh-CN"/>
        </w:rPr>
      </w:pPr>
    </w:p>
    <w:p w14:paraId="5261DC5E">
      <w:pPr>
        <w:widowControl w:val="0"/>
        <w:adjustRightInd/>
        <w:snapToGrid/>
        <w:spacing w:after="0" w:afterLines="-2147483648" w:line="360" w:lineRule="auto"/>
        <w:jc w:val="center"/>
        <w:rPr>
          <w:rFonts w:hint="default" w:ascii="Times New Roman" w:hAnsi="Times New Roman" w:eastAsia="宋体" w:cs="Times New Roman"/>
          <w:b/>
          <w:color w:val="auto"/>
          <w:kern w:val="2"/>
          <w:sz w:val="44"/>
          <w:szCs w:val="44"/>
          <w:lang w:eastAsia="zh-CN"/>
        </w:rPr>
      </w:pPr>
      <w:r>
        <w:rPr>
          <w:rFonts w:hint="eastAsia" w:ascii="Times New Roman" w:hAnsi="Times New Roman" w:eastAsia="宋体" w:cs="Times New Roman"/>
          <w:b/>
          <w:color w:val="auto"/>
          <w:kern w:val="2"/>
          <w:sz w:val="44"/>
          <w:szCs w:val="44"/>
          <w:lang w:eastAsia="zh-CN"/>
        </w:rPr>
        <w:t>建设项目</w:t>
      </w:r>
      <w:r>
        <w:rPr>
          <w:rFonts w:hint="default" w:ascii="Times New Roman" w:hAnsi="Times New Roman" w:eastAsia="宋体" w:cs="Times New Roman"/>
          <w:b/>
          <w:color w:val="auto"/>
          <w:kern w:val="2"/>
          <w:sz w:val="44"/>
          <w:szCs w:val="44"/>
        </w:rPr>
        <w:t>竣工环境保护验收</w:t>
      </w:r>
      <w:r>
        <w:rPr>
          <w:rFonts w:hint="default" w:ascii="Times New Roman" w:hAnsi="Times New Roman" w:eastAsia="宋体" w:cs="Times New Roman"/>
          <w:b/>
          <w:color w:val="auto"/>
          <w:kern w:val="2"/>
          <w:sz w:val="44"/>
          <w:szCs w:val="44"/>
          <w:lang w:eastAsia="zh-CN"/>
        </w:rPr>
        <w:t>调查表</w:t>
      </w:r>
    </w:p>
    <w:p w14:paraId="166255FE">
      <w:pPr>
        <w:spacing w:line="360" w:lineRule="auto"/>
        <w:jc w:val="center"/>
        <w:rPr>
          <w:rFonts w:hint="default" w:ascii="Times New Roman" w:hAnsi="Times New Roman" w:eastAsia="宋体" w:cs="Times New Roman"/>
          <w:color w:val="auto"/>
          <w:spacing w:val="0"/>
          <w:w w:val="100"/>
          <w:sz w:val="28"/>
          <w:szCs w:val="28"/>
          <w:highlight w:val="none"/>
        </w:rPr>
      </w:pPr>
    </w:p>
    <w:p w14:paraId="6B4ABD63">
      <w:pPr>
        <w:jc w:val="center"/>
        <w:rPr>
          <w:rFonts w:hint="default" w:ascii="Times New Roman" w:hAnsi="Times New Roman" w:eastAsia="宋体" w:cs="Times New Roman"/>
          <w:color w:val="auto"/>
          <w:spacing w:val="0"/>
          <w:w w:val="100"/>
          <w:sz w:val="28"/>
          <w:szCs w:val="28"/>
          <w:highlight w:val="none"/>
        </w:rPr>
      </w:pPr>
    </w:p>
    <w:p w14:paraId="32644B42">
      <w:pPr>
        <w:jc w:val="center"/>
        <w:rPr>
          <w:rFonts w:hint="default" w:ascii="Times New Roman" w:hAnsi="Times New Roman" w:eastAsia="宋体" w:cs="Times New Roman"/>
          <w:color w:val="auto"/>
          <w:spacing w:val="0"/>
          <w:w w:val="100"/>
          <w:sz w:val="28"/>
          <w:szCs w:val="28"/>
          <w:highlight w:val="none"/>
        </w:rPr>
      </w:pPr>
    </w:p>
    <w:p w14:paraId="19485551">
      <w:pPr>
        <w:pStyle w:val="5"/>
        <w:jc w:val="center"/>
        <w:outlineLvl w:val="9"/>
        <w:rPr>
          <w:rFonts w:hint="default" w:ascii="Times New Roman" w:hAnsi="Times New Roman" w:eastAsia="宋体" w:cs="Times New Roman"/>
          <w:color w:val="auto"/>
          <w:sz w:val="28"/>
          <w:szCs w:val="28"/>
          <w:highlight w:val="none"/>
        </w:rPr>
      </w:pPr>
    </w:p>
    <w:p w14:paraId="27EEF0FD">
      <w:pPr>
        <w:jc w:val="center"/>
        <w:rPr>
          <w:rFonts w:hint="default" w:ascii="Times New Roman" w:hAnsi="Times New Roman" w:eastAsia="宋体" w:cs="Times New Roman"/>
          <w:color w:val="auto"/>
          <w:spacing w:val="0"/>
          <w:w w:val="100"/>
          <w:sz w:val="28"/>
          <w:szCs w:val="28"/>
          <w:highlight w:val="none"/>
        </w:rPr>
      </w:pPr>
    </w:p>
    <w:p w14:paraId="3C10C8F5">
      <w:pPr>
        <w:spacing w:after="0" w:afterLines="-2147483648" w:line="360" w:lineRule="auto"/>
        <w:rPr>
          <w:rFonts w:hint="default" w:ascii="Times New Roman" w:hAnsi="Times New Roman" w:eastAsia="楷体" w:cs="Times New Roman"/>
          <w:b/>
          <w:bCs w:val="0"/>
          <w:color w:val="auto"/>
          <w:kern w:val="0"/>
          <w:sz w:val="36"/>
          <w:szCs w:val="36"/>
          <w:highlight w:val="none"/>
          <w:lang w:eastAsia="zh-CN"/>
        </w:rPr>
      </w:pPr>
    </w:p>
    <w:p w14:paraId="5D24001E">
      <w:pPr>
        <w:pStyle w:val="30"/>
        <w:rPr>
          <w:rFonts w:hint="default"/>
          <w:color w:val="auto"/>
          <w:lang w:eastAsia="zh-CN"/>
        </w:rPr>
      </w:pPr>
    </w:p>
    <w:p w14:paraId="68E78DC8">
      <w:pPr>
        <w:keepNext w:val="0"/>
        <w:keepLines w:val="0"/>
        <w:pageBreakBefore w:val="0"/>
        <w:widowControl w:val="0"/>
        <w:kinsoku/>
        <w:wordWrap/>
        <w:overflowPunct/>
        <w:topLinePunct w:val="0"/>
        <w:autoSpaceDE/>
        <w:autoSpaceDN/>
        <w:bidi w:val="0"/>
        <w:adjustRightInd/>
        <w:snapToGrid/>
        <w:spacing w:after="0" w:afterLines="0" w:line="360" w:lineRule="auto"/>
        <w:ind w:left="1237" w:leftChars="0" w:hanging="1237" w:hangingChars="440"/>
        <w:jc w:val="center"/>
        <w:textAlignment w:val="auto"/>
        <w:rPr>
          <w:rFonts w:hint="default" w:ascii="Times New Roman" w:hAnsi="Times New Roman" w:eastAsia="宋体" w:cs="Times New Roman"/>
          <w:b/>
          <w:color w:val="auto"/>
          <w:kern w:val="2"/>
          <w:sz w:val="28"/>
          <w:szCs w:val="28"/>
          <w:u w:val="single"/>
          <w:lang w:val="en-US" w:eastAsia="zh-CN"/>
        </w:rPr>
      </w:pPr>
      <w:r>
        <w:rPr>
          <w:rFonts w:hint="default" w:ascii="Times New Roman" w:hAnsi="Times New Roman" w:eastAsia="宋体" w:cs="Times New Roman"/>
          <w:b/>
          <w:color w:val="auto"/>
          <w:kern w:val="2"/>
          <w:sz w:val="28"/>
          <w:szCs w:val="28"/>
          <w:lang w:eastAsia="zh-CN"/>
        </w:rPr>
        <w:t>项目名称：</w:t>
      </w:r>
      <w:r>
        <w:rPr>
          <w:rFonts w:hint="eastAsia" w:ascii="Times New Roman" w:hAnsi="Times New Roman" w:eastAsia="宋体" w:cs="Times New Roman"/>
          <w:b/>
          <w:color w:val="auto"/>
          <w:kern w:val="2"/>
          <w:sz w:val="28"/>
          <w:szCs w:val="28"/>
          <w:u w:val="single"/>
          <w:lang w:val="en-US" w:eastAsia="zh-CN"/>
        </w:rPr>
        <w:t xml:space="preserve">    华北油气分公司采油一厂宫河1H等11宗勘探井建设项目（JH2P42、长探105、JH2P44、良平101H）        </w:t>
      </w:r>
    </w:p>
    <w:p w14:paraId="33273EA4">
      <w:pPr>
        <w:keepNext w:val="0"/>
        <w:keepLines w:val="0"/>
        <w:pageBreakBefore w:val="0"/>
        <w:widowControl w:val="0"/>
        <w:kinsoku/>
        <w:wordWrap/>
        <w:overflowPunct/>
        <w:topLinePunct w:val="0"/>
        <w:autoSpaceDE/>
        <w:autoSpaceDN/>
        <w:bidi w:val="0"/>
        <w:adjustRightInd/>
        <w:snapToGrid/>
        <w:spacing w:after="0" w:afterLines="0" w:line="360" w:lineRule="auto"/>
        <w:ind w:left="1237" w:leftChars="0" w:hanging="1237" w:hangingChars="440"/>
        <w:jc w:val="both"/>
        <w:textAlignment w:val="auto"/>
        <w:rPr>
          <w:rFonts w:hint="default" w:ascii="Times New Roman" w:hAnsi="Times New Roman" w:eastAsia="宋体" w:cs="Times New Roman"/>
          <w:b/>
          <w:color w:val="auto"/>
          <w:kern w:val="2"/>
          <w:sz w:val="28"/>
          <w:szCs w:val="28"/>
          <w:u w:val="single"/>
          <w:lang w:val="en-US" w:eastAsia="zh-CN"/>
        </w:rPr>
      </w:pPr>
      <w:r>
        <w:rPr>
          <w:rFonts w:hint="default" w:ascii="Times New Roman" w:hAnsi="Times New Roman" w:eastAsia="宋体" w:cs="Times New Roman"/>
          <w:b/>
          <w:color w:val="auto"/>
          <w:kern w:val="2"/>
          <w:sz w:val="28"/>
          <w:szCs w:val="28"/>
          <w:lang w:val="en-US" w:eastAsia="zh-CN"/>
        </w:rPr>
        <w:t>委托单位：</w:t>
      </w:r>
      <w:r>
        <w:rPr>
          <w:rFonts w:hint="eastAsia" w:ascii="Times New Roman" w:hAnsi="Times New Roman" w:eastAsia="宋体" w:cs="Times New Roman"/>
          <w:b/>
          <w:color w:val="auto"/>
          <w:kern w:val="2"/>
          <w:sz w:val="28"/>
          <w:szCs w:val="28"/>
          <w:u w:val="single"/>
          <w:lang w:val="en-US" w:eastAsia="zh-CN"/>
        </w:rPr>
        <w:t xml:space="preserve">          中国石油化工股份有限公司                 </w:t>
      </w:r>
    </w:p>
    <w:p w14:paraId="281E8B6E">
      <w:pPr>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1687" w:firstLineChars="600"/>
        <w:jc w:val="both"/>
        <w:textAlignment w:val="auto"/>
        <w:rPr>
          <w:rFonts w:hint="default" w:ascii="Times New Roman" w:hAnsi="Times New Roman" w:eastAsia="宋体" w:cs="Times New Roman"/>
          <w:b/>
          <w:color w:val="auto"/>
          <w:kern w:val="2"/>
          <w:sz w:val="28"/>
          <w:szCs w:val="28"/>
          <w:lang w:val="en-US" w:eastAsia="zh-CN"/>
        </w:rPr>
      </w:pPr>
      <w:r>
        <w:rPr>
          <w:rFonts w:hint="eastAsia" w:ascii="Times New Roman" w:hAnsi="Times New Roman" w:eastAsia="宋体" w:cs="Times New Roman"/>
          <w:b/>
          <w:color w:val="auto"/>
          <w:kern w:val="2"/>
          <w:sz w:val="28"/>
          <w:szCs w:val="28"/>
          <w:u w:val="single"/>
          <w:lang w:val="en-US" w:eastAsia="zh-CN"/>
        </w:rPr>
        <w:t xml:space="preserve">           华北油气分公司采油一厂                            </w:t>
      </w:r>
    </w:p>
    <w:p w14:paraId="56426488">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rPr>
      </w:pPr>
    </w:p>
    <w:p w14:paraId="62F28D38">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rPr>
      </w:pPr>
    </w:p>
    <w:p w14:paraId="3C110F54">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rPr>
      </w:pPr>
    </w:p>
    <w:p w14:paraId="4B25864B">
      <w:pPr>
        <w:widowControl w:val="0"/>
        <w:adjustRightInd/>
        <w:snapToGrid/>
        <w:spacing w:after="0" w:afterLines="-2147483648"/>
        <w:ind w:left="1677" w:leftChars="200" w:hanging="1237" w:hangingChars="440"/>
        <w:jc w:val="both"/>
        <w:rPr>
          <w:rFonts w:hint="default" w:ascii="Times New Roman" w:hAnsi="Times New Roman" w:eastAsia="宋体" w:cs="Times New Roman"/>
          <w:b/>
          <w:color w:val="auto"/>
          <w:kern w:val="2"/>
          <w:sz w:val="28"/>
          <w:szCs w:val="28"/>
          <w:lang w:val="en-US" w:eastAsia="zh-CN"/>
        </w:rPr>
      </w:pPr>
    </w:p>
    <w:p w14:paraId="51673185">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eastAsia" w:ascii="Times New Roman" w:hAnsi="Times New Roman" w:eastAsia="宋体" w:cs="Times New Roman"/>
          <w:b/>
          <w:color w:val="auto"/>
          <w:kern w:val="2"/>
          <w:sz w:val="30"/>
          <w:szCs w:val="30"/>
          <w:lang w:val="en-US" w:eastAsia="zh-CN"/>
        </w:rPr>
      </w:pPr>
      <w:r>
        <w:rPr>
          <w:rFonts w:hint="default" w:ascii="Times New Roman" w:hAnsi="Times New Roman" w:eastAsia="宋体" w:cs="Times New Roman"/>
          <w:b/>
          <w:color w:val="auto"/>
          <w:kern w:val="2"/>
          <w:sz w:val="30"/>
          <w:szCs w:val="30"/>
          <w:lang w:val="en-US" w:eastAsia="zh-CN"/>
        </w:rPr>
        <w:t>编制单位：</w:t>
      </w:r>
      <w:r>
        <w:rPr>
          <w:rFonts w:hint="eastAsia" w:ascii="Times New Roman" w:hAnsi="Times New Roman" w:eastAsia="宋体" w:cs="Times New Roman"/>
          <w:b/>
          <w:color w:val="auto"/>
          <w:kern w:val="2"/>
          <w:sz w:val="30"/>
          <w:szCs w:val="30"/>
          <w:lang w:val="en-US" w:eastAsia="zh-CN"/>
        </w:rPr>
        <w:t>甘肃卉昕朋环保科技有限公司</w:t>
      </w:r>
    </w:p>
    <w:p w14:paraId="4D299E36">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default" w:ascii="Times New Roman" w:hAnsi="Times New Roman" w:eastAsia="宋体" w:cs="Times New Roman"/>
          <w:b/>
          <w:color w:val="auto"/>
          <w:kern w:val="2"/>
          <w:sz w:val="30"/>
          <w:szCs w:val="30"/>
          <w:lang w:val="en-US" w:eastAsia="zh-CN"/>
        </w:rPr>
      </w:pPr>
      <w:r>
        <w:rPr>
          <w:rFonts w:hint="default" w:ascii="Times New Roman" w:hAnsi="Times New Roman" w:eastAsia="宋体" w:cs="Times New Roman"/>
          <w:b/>
          <w:color w:val="auto"/>
          <w:sz w:val="30"/>
          <w:szCs w:val="30"/>
        </w:rPr>
        <w:t>编制日期：</w:t>
      </w:r>
      <w:r>
        <w:rPr>
          <w:rFonts w:hint="default" w:ascii="Times New Roman" w:hAnsi="Times New Roman" w:eastAsia="宋体" w:cs="Times New Roman"/>
          <w:b/>
          <w:color w:val="auto"/>
          <w:kern w:val="2"/>
          <w:sz w:val="30"/>
          <w:szCs w:val="30"/>
          <w:lang w:val="en-US" w:eastAsia="zh-CN"/>
        </w:rPr>
        <w:t>202</w:t>
      </w:r>
      <w:r>
        <w:rPr>
          <w:rFonts w:hint="eastAsia" w:ascii="Times New Roman" w:hAnsi="Times New Roman" w:eastAsia="宋体" w:cs="Times New Roman"/>
          <w:b/>
          <w:color w:val="auto"/>
          <w:kern w:val="2"/>
          <w:sz w:val="30"/>
          <w:szCs w:val="30"/>
          <w:lang w:val="en-US" w:eastAsia="zh-CN"/>
        </w:rPr>
        <w:t>5</w:t>
      </w:r>
      <w:r>
        <w:rPr>
          <w:rFonts w:hint="default" w:ascii="Times New Roman" w:hAnsi="Times New Roman" w:eastAsia="宋体" w:cs="Times New Roman"/>
          <w:b/>
          <w:color w:val="auto"/>
          <w:kern w:val="2"/>
          <w:sz w:val="30"/>
          <w:szCs w:val="30"/>
          <w:lang w:val="en-US" w:eastAsia="zh-CN"/>
        </w:rPr>
        <w:t>年</w:t>
      </w:r>
      <w:r>
        <w:rPr>
          <w:rFonts w:hint="eastAsia" w:ascii="Times New Roman" w:hAnsi="Times New Roman" w:eastAsia="宋体" w:cs="Times New Roman"/>
          <w:b/>
          <w:color w:val="auto"/>
          <w:kern w:val="2"/>
          <w:sz w:val="30"/>
          <w:szCs w:val="30"/>
          <w:lang w:val="en-US" w:eastAsia="zh-CN"/>
        </w:rPr>
        <w:t>5</w:t>
      </w:r>
      <w:r>
        <w:rPr>
          <w:rFonts w:hint="default" w:ascii="Times New Roman" w:hAnsi="Times New Roman" w:eastAsia="宋体" w:cs="Times New Roman"/>
          <w:b/>
          <w:color w:val="auto"/>
          <w:kern w:val="2"/>
          <w:sz w:val="30"/>
          <w:szCs w:val="30"/>
          <w:lang w:val="en-US" w:eastAsia="zh-CN"/>
        </w:rPr>
        <w:t>月</w:t>
      </w:r>
    </w:p>
    <w:p w14:paraId="607085FF">
      <w:pPr>
        <w:rPr>
          <w:rFonts w:hint="default" w:ascii="Times New Roman" w:hAnsi="Times New Roman" w:eastAsia="宋体" w:cs="Times New Roman"/>
          <w:color w:val="auto"/>
          <w:spacing w:val="0"/>
          <w:w w:val="100"/>
          <w:sz w:val="28"/>
          <w:szCs w:val="28"/>
          <w:highlight w:val="none"/>
        </w:rPr>
      </w:pPr>
    </w:p>
    <w:p w14:paraId="51C3FA6B">
      <w:pPr>
        <w:pStyle w:val="21"/>
        <w:rPr>
          <w:rFonts w:hint="default" w:ascii="Times New Roman" w:hAnsi="Times New Roman" w:eastAsia="宋体" w:cs="Times New Roman"/>
          <w:color w:val="auto"/>
          <w:spacing w:val="0"/>
          <w:w w:val="100"/>
          <w:sz w:val="28"/>
          <w:szCs w:val="28"/>
          <w:highlight w:val="none"/>
        </w:rPr>
      </w:pPr>
    </w:p>
    <w:p w14:paraId="2CA19C18">
      <w:pPr>
        <w:rPr>
          <w:rFonts w:hint="default" w:ascii="Times New Roman" w:hAnsi="Times New Roman" w:eastAsia="宋体" w:cs="Times New Roman"/>
          <w:color w:val="auto"/>
          <w:spacing w:val="0"/>
          <w:w w:val="100"/>
          <w:sz w:val="28"/>
          <w:szCs w:val="28"/>
          <w:highlight w:val="none"/>
        </w:rPr>
      </w:pPr>
    </w:p>
    <w:p w14:paraId="3AE14167">
      <w:pPr>
        <w:pStyle w:val="21"/>
        <w:rPr>
          <w:rFonts w:hint="default" w:ascii="Times New Roman" w:hAnsi="Times New Roman" w:eastAsia="宋体" w:cs="Times New Roman"/>
          <w:color w:val="auto"/>
          <w:spacing w:val="0"/>
          <w:w w:val="100"/>
          <w:sz w:val="28"/>
          <w:szCs w:val="28"/>
          <w:highlight w:val="none"/>
        </w:rPr>
      </w:pPr>
    </w:p>
    <w:p w14:paraId="595C489E">
      <w:pPr>
        <w:rPr>
          <w:rFonts w:hint="default" w:ascii="Times New Roman" w:hAnsi="Times New Roman" w:eastAsia="宋体" w:cs="Times New Roman"/>
          <w:color w:val="auto"/>
          <w:spacing w:val="0"/>
          <w:w w:val="100"/>
          <w:sz w:val="28"/>
          <w:szCs w:val="28"/>
          <w:highlight w:val="none"/>
        </w:rPr>
      </w:pPr>
    </w:p>
    <w:p w14:paraId="2B919D3C">
      <w:pPr>
        <w:pStyle w:val="21"/>
        <w:rPr>
          <w:rFonts w:hint="default" w:ascii="Times New Roman" w:hAnsi="Times New Roman" w:eastAsia="宋体" w:cs="Times New Roman"/>
          <w:color w:val="auto"/>
          <w:spacing w:val="0"/>
          <w:w w:val="100"/>
          <w:sz w:val="28"/>
          <w:szCs w:val="28"/>
          <w:highlight w:val="none"/>
        </w:rPr>
      </w:pPr>
    </w:p>
    <w:p w14:paraId="60982F73">
      <w:pPr>
        <w:rPr>
          <w:rFonts w:hint="default" w:ascii="Times New Roman" w:hAnsi="Times New Roman" w:eastAsia="宋体" w:cs="Times New Roman"/>
          <w:color w:val="auto"/>
          <w:spacing w:val="0"/>
          <w:w w:val="100"/>
          <w:sz w:val="28"/>
          <w:szCs w:val="28"/>
          <w:highlight w:val="none"/>
        </w:rPr>
      </w:pPr>
    </w:p>
    <w:p w14:paraId="6FA05D42">
      <w:pPr>
        <w:pStyle w:val="21"/>
        <w:rPr>
          <w:rFonts w:hint="default" w:ascii="Times New Roman" w:hAnsi="Times New Roman" w:eastAsia="宋体" w:cs="Times New Roman"/>
          <w:color w:val="auto"/>
          <w:spacing w:val="0"/>
          <w:w w:val="100"/>
          <w:sz w:val="28"/>
          <w:szCs w:val="28"/>
          <w:highlight w:val="none"/>
        </w:rPr>
      </w:pPr>
    </w:p>
    <w:p w14:paraId="4A331970">
      <w:pPr>
        <w:rPr>
          <w:rFonts w:hint="default" w:ascii="Times New Roman" w:hAnsi="Times New Roman" w:eastAsia="宋体" w:cs="Times New Roman"/>
          <w:color w:val="auto"/>
          <w:spacing w:val="0"/>
          <w:w w:val="100"/>
          <w:sz w:val="28"/>
          <w:szCs w:val="28"/>
          <w:highlight w:val="none"/>
        </w:rPr>
      </w:pPr>
    </w:p>
    <w:p w14:paraId="75CEE024">
      <w:pPr>
        <w:pStyle w:val="21"/>
        <w:rPr>
          <w:rFonts w:hint="default" w:ascii="Times New Roman" w:hAnsi="Times New Roman" w:eastAsia="宋体" w:cs="Times New Roman"/>
          <w:color w:val="auto"/>
          <w:spacing w:val="0"/>
          <w:w w:val="100"/>
          <w:sz w:val="28"/>
          <w:szCs w:val="28"/>
          <w:highlight w:val="none"/>
        </w:rPr>
      </w:pPr>
    </w:p>
    <w:p w14:paraId="7402136A">
      <w:pPr>
        <w:rPr>
          <w:rFonts w:hint="default" w:ascii="Times New Roman" w:hAnsi="Times New Roman" w:eastAsia="宋体" w:cs="Times New Roman"/>
          <w:color w:val="auto"/>
          <w:spacing w:val="0"/>
          <w:w w:val="100"/>
          <w:sz w:val="28"/>
          <w:szCs w:val="28"/>
          <w:highlight w:val="none"/>
        </w:rPr>
      </w:pPr>
    </w:p>
    <w:p w14:paraId="495F4978">
      <w:pPr>
        <w:pStyle w:val="21"/>
        <w:rPr>
          <w:rFonts w:hint="default" w:ascii="Times New Roman" w:hAnsi="Times New Roman" w:eastAsia="宋体" w:cs="Times New Roman"/>
          <w:color w:val="auto"/>
          <w:spacing w:val="0"/>
          <w:w w:val="100"/>
          <w:sz w:val="28"/>
          <w:szCs w:val="28"/>
          <w:highlight w:val="none"/>
        </w:rPr>
      </w:pPr>
    </w:p>
    <w:p w14:paraId="2831E10B">
      <w:pPr>
        <w:rPr>
          <w:rFonts w:hint="default" w:ascii="Times New Roman" w:hAnsi="Times New Roman" w:eastAsia="宋体" w:cs="Times New Roman"/>
          <w:color w:val="auto"/>
          <w:spacing w:val="0"/>
          <w:w w:val="100"/>
          <w:sz w:val="28"/>
          <w:szCs w:val="28"/>
          <w:highlight w:val="none"/>
        </w:rPr>
      </w:pPr>
    </w:p>
    <w:p w14:paraId="5ABA11C5">
      <w:pPr>
        <w:pStyle w:val="21"/>
        <w:rPr>
          <w:rFonts w:hint="default" w:ascii="Times New Roman" w:hAnsi="Times New Roman" w:eastAsia="宋体" w:cs="Times New Roman"/>
          <w:color w:val="auto"/>
          <w:spacing w:val="0"/>
          <w:w w:val="100"/>
          <w:sz w:val="28"/>
          <w:szCs w:val="28"/>
          <w:highlight w:val="none"/>
        </w:rPr>
      </w:pPr>
    </w:p>
    <w:p w14:paraId="10796467">
      <w:pPr>
        <w:rPr>
          <w:rFonts w:hint="default" w:ascii="Times New Roman" w:hAnsi="Times New Roman" w:eastAsia="宋体" w:cs="Times New Roman"/>
          <w:color w:val="auto"/>
          <w:spacing w:val="0"/>
          <w:w w:val="100"/>
          <w:sz w:val="28"/>
          <w:szCs w:val="28"/>
          <w:highlight w:val="none"/>
        </w:rPr>
      </w:pPr>
    </w:p>
    <w:p w14:paraId="50CB0E7D">
      <w:pPr>
        <w:pStyle w:val="21"/>
        <w:rPr>
          <w:rFonts w:hint="default" w:ascii="Times New Roman" w:hAnsi="Times New Roman" w:eastAsia="宋体" w:cs="Times New Roman"/>
          <w:color w:val="auto"/>
          <w:spacing w:val="0"/>
          <w:w w:val="100"/>
          <w:sz w:val="28"/>
          <w:szCs w:val="28"/>
          <w:highlight w:val="none"/>
        </w:rPr>
      </w:pPr>
    </w:p>
    <w:p w14:paraId="6189B4C7">
      <w:pPr>
        <w:rPr>
          <w:rFonts w:hint="default" w:ascii="Times New Roman" w:hAnsi="Times New Roman" w:eastAsia="宋体" w:cs="Times New Roman"/>
          <w:color w:val="auto"/>
          <w:spacing w:val="0"/>
          <w:w w:val="100"/>
          <w:sz w:val="28"/>
          <w:szCs w:val="28"/>
          <w:highlight w:val="none"/>
        </w:rPr>
      </w:pPr>
    </w:p>
    <w:p w14:paraId="751ABF45">
      <w:pPr>
        <w:pStyle w:val="21"/>
        <w:rPr>
          <w:rFonts w:hint="default" w:ascii="Times New Roman" w:hAnsi="Times New Roman" w:eastAsia="宋体" w:cs="Times New Roman"/>
          <w:color w:val="auto"/>
          <w:spacing w:val="0"/>
          <w:w w:val="100"/>
          <w:sz w:val="28"/>
          <w:szCs w:val="28"/>
          <w:highlight w:val="none"/>
        </w:rPr>
      </w:pPr>
    </w:p>
    <w:p w14:paraId="68B501C8">
      <w:pPr>
        <w:rPr>
          <w:rFonts w:hint="default" w:ascii="Times New Roman" w:hAnsi="Times New Roman" w:eastAsia="宋体" w:cs="Times New Roman"/>
          <w:color w:val="auto"/>
          <w:spacing w:val="0"/>
          <w:w w:val="100"/>
          <w:sz w:val="28"/>
          <w:szCs w:val="28"/>
          <w:highlight w:val="none"/>
        </w:rPr>
      </w:pPr>
    </w:p>
    <w:p w14:paraId="3500075D">
      <w:pPr>
        <w:pStyle w:val="21"/>
        <w:rPr>
          <w:rFonts w:hint="default" w:ascii="Times New Roman" w:hAnsi="Times New Roman" w:eastAsia="宋体" w:cs="Times New Roman"/>
          <w:color w:val="auto"/>
          <w:spacing w:val="0"/>
          <w:w w:val="100"/>
          <w:sz w:val="28"/>
          <w:szCs w:val="28"/>
          <w:highlight w:val="none"/>
        </w:rPr>
      </w:pPr>
    </w:p>
    <w:p w14:paraId="218EEFC8">
      <w:pPr>
        <w:rPr>
          <w:rFonts w:hint="default" w:ascii="Times New Roman" w:hAnsi="Times New Roman" w:eastAsia="宋体" w:cs="Times New Roman"/>
          <w:color w:val="auto"/>
          <w:spacing w:val="0"/>
          <w:w w:val="100"/>
          <w:sz w:val="28"/>
          <w:szCs w:val="28"/>
          <w:highlight w:val="none"/>
        </w:rPr>
      </w:pPr>
    </w:p>
    <w:p w14:paraId="60262D3A">
      <w:pPr>
        <w:pStyle w:val="21"/>
        <w:rPr>
          <w:rFonts w:hint="default" w:ascii="Times New Roman" w:hAnsi="Times New Roman" w:eastAsia="宋体" w:cs="Times New Roman"/>
          <w:color w:val="auto"/>
          <w:spacing w:val="0"/>
          <w:w w:val="100"/>
          <w:sz w:val="28"/>
          <w:szCs w:val="28"/>
          <w:highlight w:val="none"/>
        </w:rPr>
      </w:pPr>
    </w:p>
    <w:p w14:paraId="391FD6BA">
      <w:pPr>
        <w:rPr>
          <w:rFonts w:hint="default" w:ascii="Times New Roman" w:hAnsi="Times New Roman" w:eastAsia="宋体" w:cs="Times New Roman"/>
          <w:color w:val="auto"/>
          <w:spacing w:val="0"/>
          <w:w w:val="100"/>
          <w:sz w:val="28"/>
          <w:szCs w:val="28"/>
          <w:highlight w:val="none"/>
        </w:rPr>
      </w:pPr>
    </w:p>
    <w:p w14:paraId="3AA645F3">
      <w:pPr>
        <w:pStyle w:val="21"/>
        <w:rPr>
          <w:rFonts w:hint="default" w:ascii="Times New Roman" w:hAnsi="Times New Roman" w:eastAsia="宋体" w:cs="Times New Roman"/>
          <w:color w:val="auto"/>
          <w:spacing w:val="0"/>
          <w:w w:val="100"/>
          <w:sz w:val="28"/>
          <w:szCs w:val="28"/>
          <w:highlight w:val="none"/>
        </w:rPr>
      </w:pPr>
    </w:p>
    <w:p w14:paraId="3B58C634">
      <w:pPr>
        <w:rPr>
          <w:rFonts w:hint="default" w:ascii="Times New Roman" w:hAnsi="Times New Roman" w:eastAsia="宋体" w:cs="Times New Roman"/>
          <w:color w:val="auto"/>
          <w:spacing w:val="0"/>
          <w:w w:val="100"/>
          <w:sz w:val="28"/>
          <w:szCs w:val="28"/>
          <w:highlight w:val="none"/>
        </w:rPr>
      </w:pPr>
    </w:p>
    <w:p w14:paraId="099195D3">
      <w:pPr>
        <w:pStyle w:val="5"/>
        <w:rPr>
          <w:rFonts w:hint="default" w:ascii="Times New Roman" w:hAnsi="Times New Roman" w:eastAsia="宋体" w:cs="Times New Roman"/>
          <w:color w:val="auto"/>
          <w:spacing w:val="0"/>
          <w:w w:val="100"/>
          <w:sz w:val="28"/>
          <w:szCs w:val="28"/>
          <w:highlight w:val="none"/>
        </w:rPr>
      </w:pPr>
    </w:p>
    <w:p w14:paraId="56CC759A">
      <w:pPr>
        <w:rPr>
          <w:rFonts w:hint="default"/>
          <w:color w:val="auto"/>
        </w:rPr>
      </w:pPr>
    </w:p>
    <w:p w14:paraId="2C7CEFFF">
      <w:pPr>
        <w:rPr>
          <w:rFonts w:hint="default" w:ascii="Times New Roman" w:hAnsi="Times New Roman" w:eastAsia="宋体" w:cs="Times New Roman"/>
          <w:color w:val="auto"/>
          <w:spacing w:val="0"/>
          <w:w w:val="100"/>
          <w:sz w:val="28"/>
          <w:szCs w:val="28"/>
          <w:highlight w:val="none"/>
        </w:rPr>
      </w:pPr>
    </w:p>
    <w:p w14:paraId="445B0E54">
      <w:pPr>
        <w:pStyle w:val="21"/>
        <w:rPr>
          <w:rFonts w:hint="default" w:ascii="Times New Roman" w:hAnsi="Times New Roman" w:eastAsia="宋体" w:cs="Times New Roman"/>
          <w:color w:val="auto"/>
          <w:spacing w:val="0"/>
          <w:w w:val="100"/>
          <w:sz w:val="28"/>
          <w:szCs w:val="28"/>
          <w:highlight w:val="none"/>
        </w:rPr>
      </w:pPr>
    </w:p>
    <w:p w14:paraId="00180C1E">
      <w:pPr>
        <w:rPr>
          <w:rFonts w:hint="default" w:ascii="Times New Roman" w:hAnsi="Times New Roman" w:eastAsia="宋体" w:cs="Times New Roman"/>
          <w:color w:val="auto"/>
          <w:spacing w:val="0"/>
          <w:w w:val="100"/>
          <w:sz w:val="28"/>
          <w:szCs w:val="28"/>
          <w:highlight w:val="none"/>
        </w:rPr>
      </w:pPr>
    </w:p>
    <w:p w14:paraId="2767C625">
      <w:pPr>
        <w:pStyle w:val="21"/>
        <w:rPr>
          <w:rFonts w:hint="default"/>
          <w:color w:val="auto"/>
        </w:rPr>
      </w:pPr>
    </w:p>
    <w:p w14:paraId="250A0111">
      <w:pPr>
        <w:spacing w:after="0" w:afterLines="-2147483648" w:line="360" w:lineRule="auto"/>
        <w:ind w:firstLine="0" w:firstLineChars="0"/>
        <w:rPr>
          <w:rFonts w:hint="eastAsia" w:ascii="Times New Roman" w:hAnsi="Times New Roman" w:eastAsia="楷体" w:cs="Times New Roman"/>
          <w:bCs/>
          <w:color w:val="auto"/>
          <w:kern w:val="0"/>
          <w:sz w:val="30"/>
          <w:szCs w:val="30"/>
          <w:highlight w:val="none"/>
          <w:lang w:eastAsia="zh-CN"/>
        </w:rPr>
      </w:pPr>
    </w:p>
    <w:p w14:paraId="633ED7D8">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编制单位：</w:t>
      </w:r>
      <w:r>
        <w:rPr>
          <w:rFonts w:hint="eastAsia" w:ascii="Times New Roman" w:hAnsi="Times New Roman" w:eastAsia="宋体" w:cs="Times New Roman"/>
          <w:b/>
          <w:color w:val="auto"/>
          <w:sz w:val="30"/>
          <w:szCs w:val="30"/>
          <w:lang w:val="en-US" w:eastAsia="zh-CN"/>
        </w:rPr>
        <w:t>甘肃卉昕朋环保科技有限公司</w:t>
      </w:r>
    </w:p>
    <w:p w14:paraId="02276A03">
      <w:pPr>
        <w:spacing w:line="360" w:lineRule="auto"/>
        <w:rPr>
          <w:rFonts w:hint="eastAsia" w:ascii="Times New Roman" w:hAnsi="Times New Roman" w:eastAsia="宋体" w:cs="Times New Roman"/>
          <w:b/>
          <w:color w:val="auto"/>
          <w:sz w:val="30"/>
          <w:szCs w:val="30"/>
          <w:lang w:eastAsia="zh-CN"/>
        </w:rPr>
      </w:pPr>
      <w:r>
        <w:rPr>
          <w:rFonts w:hint="eastAsia" w:ascii="Times New Roman" w:hAnsi="Times New Roman" w:eastAsia="宋体" w:cs="Times New Roman"/>
          <w:b/>
          <w:color w:val="auto"/>
          <w:sz w:val="30"/>
          <w:szCs w:val="30"/>
          <w:lang w:eastAsia="zh-CN"/>
        </w:rPr>
        <w:t>法定代表人</w:t>
      </w:r>
      <w:r>
        <w:rPr>
          <w:rFonts w:hint="default" w:ascii="Times New Roman" w:hAnsi="Times New Roman" w:eastAsia="宋体" w:cs="Times New Roman"/>
          <w:b/>
          <w:color w:val="auto"/>
          <w:sz w:val="30"/>
          <w:szCs w:val="30"/>
        </w:rPr>
        <w:t>：</w:t>
      </w:r>
      <w:r>
        <w:rPr>
          <w:rFonts w:hint="eastAsia" w:ascii="Times New Roman" w:hAnsi="Times New Roman" w:eastAsia="宋体" w:cs="Times New Roman"/>
          <w:b/>
          <w:color w:val="auto"/>
          <w:sz w:val="30"/>
          <w:szCs w:val="30"/>
          <w:lang w:eastAsia="zh-CN"/>
        </w:rPr>
        <w:t>李保权</w:t>
      </w:r>
    </w:p>
    <w:p w14:paraId="60FE1AAA">
      <w:pPr>
        <w:spacing w:line="360" w:lineRule="auto"/>
        <w:rPr>
          <w:rFonts w:hint="eastAsia"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技术负责人：</w:t>
      </w:r>
      <w:r>
        <w:rPr>
          <w:rFonts w:hint="eastAsia" w:ascii="Times New Roman" w:hAnsi="Times New Roman" w:eastAsia="宋体" w:cs="Times New Roman"/>
          <w:b/>
          <w:color w:val="auto"/>
          <w:sz w:val="30"/>
          <w:szCs w:val="30"/>
          <w:lang w:val="en-US" w:eastAsia="zh-CN"/>
        </w:rPr>
        <w:t>李婉君</w:t>
      </w:r>
    </w:p>
    <w:p w14:paraId="04F9FF25">
      <w:pPr>
        <w:spacing w:line="360" w:lineRule="auto"/>
        <w:rPr>
          <w:rFonts w:hint="default"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项目负责人：</w:t>
      </w:r>
      <w:r>
        <w:rPr>
          <w:rFonts w:hint="eastAsia" w:ascii="Times New Roman" w:hAnsi="Times New Roman" w:eastAsia="宋体" w:cs="Times New Roman"/>
          <w:b/>
          <w:color w:val="auto"/>
          <w:sz w:val="30"/>
          <w:szCs w:val="30"/>
          <w:lang w:val="en-US" w:eastAsia="zh-CN"/>
        </w:rPr>
        <w:t>李婉君</w:t>
      </w:r>
    </w:p>
    <w:p w14:paraId="46F5CB51">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编制人员</w:t>
      </w:r>
      <w:r>
        <w:rPr>
          <w:rFonts w:hint="eastAsia" w:ascii="Times New Roman" w:hAnsi="Times New Roman" w:eastAsia="宋体" w:cs="Times New Roman"/>
          <w:b/>
          <w:color w:val="auto"/>
          <w:sz w:val="30"/>
          <w:szCs w:val="30"/>
          <w:lang w:eastAsia="zh-CN"/>
        </w:rPr>
        <w:t>：</w:t>
      </w:r>
      <w:r>
        <w:rPr>
          <w:rFonts w:hint="eastAsia" w:ascii="Times New Roman" w:hAnsi="Times New Roman" w:eastAsia="宋体" w:cs="Times New Roman"/>
          <w:b/>
          <w:color w:val="auto"/>
          <w:sz w:val="30"/>
          <w:szCs w:val="30"/>
          <w:lang w:val="en-US" w:eastAsia="zh-CN"/>
        </w:rPr>
        <w:t>周振昕</w:t>
      </w:r>
    </w:p>
    <w:p w14:paraId="53F1F63A">
      <w:pPr>
        <w:spacing w:line="360" w:lineRule="auto"/>
        <w:rPr>
          <w:rFonts w:hint="default" w:ascii="Times New Roman" w:hAnsi="Times New Roman" w:eastAsia="宋体" w:cs="Times New Roman"/>
          <w:b/>
          <w:color w:val="auto"/>
          <w:sz w:val="30"/>
          <w:szCs w:val="30"/>
        </w:rPr>
      </w:pPr>
    </w:p>
    <w:p w14:paraId="6E02460B">
      <w:pPr>
        <w:spacing w:line="360" w:lineRule="auto"/>
        <w:rPr>
          <w:rFonts w:hint="default" w:ascii="Times New Roman" w:hAnsi="Times New Roman" w:eastAsia="宋体" w:cs="Times New Roman"/>
          <w:b/>
          <w:color w:val="auto"/>
          <w:sz w:val="30"/>
          <w:szCs w:val="30"/>
        </w:rPr>
      </w:pPr>
    </w:p>
    <w:p w14:paraId="3F2F987C">
      <w:pPr>
        <w:spacing w:line="360" w:lineRule="auto"/>
        <w:rPr>
          <w:rFonts w:hint="eastAsia"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监测单位：</w:t>
      </w:r>
      <w:r>
        <w:rPr>
          <w:rFonts w:hint="eastAsia" w:ascii="Times New Roman" w:hAnsi="Times New Roman" w:eastAsia="宋体" w:cs="Times New Roman"/>
          <w:b/>
          <w:color w:val="auto"/>
          <w:sz w:val="30"/>
          <w:szCs w:val="30"/>
          <w:lang w:eastAsia="zh-CN"/>
        </w:rPr>
        <w:t>山东新航工程项目咨询有限公司</w:t>
      </w:r>
    </w:p>
    <w:p w14:paraId="572FA204">
      <w:pPr>
        <w:spacing w:line="360" w:lineRule="auto"/>
        <w:rPr>
          <w:rFonts w:hint="eastAsia"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参加人员：</w:t>
      </w:r>
      <w:r>
        <w:rPr>
          <w:rFonts w:hint="eastAsia" w:ascii="Times New Roman" w:hAnsi="Times New Roman" w:eastAsia="宋体" w:cs="Times New Roman"/>
          <w:b/>
          <w:color w:val="auto"/>
          <w:sz w:val="30"/>
          <w:szCs w:val="30"/>
          <w:lang w:val="en-US" w:eastAsia="zh-CN"/>
        </w:rPr>
        <w:t>张彤18893820154</w:t>
      </w:r>
    </w:p>
    <w:p w14:paraId="46E49ED7">
      <w:pPr>
        <w:spacing w:line="360" w:lineRule="auto"/>
        <w:rPr>
          <w:rFonts w:hint="default" w:ascii="Times New Roman" w:hAnsi="Times New Roman" w:eastAsia="宋体" w:cs="Times New Roman"/>
          <w:b/>
          <w:color w:val="auto"/>
          <w:sz w:val="30"/>
          <w:szCs w:val="30"/>
        </w:rPr>
      </w:pPr>
    </w:p>
    <w:p w14:paraId="2851C3C0">
      <w:pPr>
        <w:spacing w:line="360" w:lineRule="auto"/>
        <w:rPr>
          <w:rFonts w:hint="default" w:ascii="Times New Roman" w:hAnsi="Times New Roman" w:eastAsia="宋体" w:cs="Times New Roman"/>
          <w:b/>
          <w:color w:val="auto"/>
          <w:sz w:val="30"/>
          <w:szCs w:val="30"/>
        </w:rPr>
      </w:pPr>
    </w:p>
    <w:p w14:paraId="78AF03B6">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编制单位联系方式</w:t>
      </w:r>
    </w:p>
    <w:p w14:paraId="4DB4809D">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电话：</w:t>
      </w:r>
      <w:r>
        <w:rPr>
          <w:rFonts w:hint="eastAsia" w:ascii="Times New Roman" w:hAnsi="Times New Roman" w:eastAsia="宋体" w:cs="Times New Roman"/>
          <w:b/>
          <w:color w:val="auto"/>
          <w:sz w:val="30"/>
          <w:szCs w:val="30"/>
          <w:lang w:val="en-US" w:eastAsia="zh-CN"/>
        </w:rPr>
        <w:t>17393473662</w:t>
      </w:r>
    </w:p>
    <w:p w14:paraId="6D34D49A">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传真：/</w:t>
      </w:r>
    </w:p>
    <w:p w14:paraId="677EAF0A">
      <w:pPr>
        <w:spacing w:line="360" w:lineRule="auto"/>
        <w:rPr>
          <w:rFonts w:hint="default" w:ascii="Times New Roman" w:hAnsi="Times New Roman" w:eastAsia="宋体" w:cs="Times New Roman"/>
          <w:b/>
          <w:color w:val="auto"/>
          <w:sz w:val="30"/>
          <w:szCs w:val="30"/>
          <w:lang w:val="en-US"/>
        </w:rPr>
      </w:pPr>
      <w:r>
        <w:rPr>
          <w:rFonts w:hint="default" w:ascii="Times New Roman" w:hAnsi="Times New Roman" w:eastAsia="宋体" w:cs="Times New Roman"/>
          <w:b/>
          <w:color w:val="auto"/>
          <w:sz w:val="30"/>
          <w:szCs w:val="30"/>
        </w:rPr>
        <w:t>地址：</w:t>
      </w:r>
      <w:r>
        <w:rPr>
          <w:rFonts w:hint="default" w:ascii="Times New Roman" w:hAnsi="Times New Roman" w:eastAsia="宋体" w:cs="Times New Roman"/>
          <w:b/>
          <w:color w:val="auto"/>
          <w:sz w:val="30"/>
          <w:szCs w:val="30"/>
          <w:lang w:eastAsia="zh-CN"/>
        </w:rPr>
        <w:t>甘肃省庆阳市西峰区</w:t>
      </w:r>
      <w:r>
        <w:rPr>
          <w:rFonts w:hint="eastAsia" w:ascii="Times New Roman" w:hAnsi="Times New Roman" w:eastAsia="宋体" w:cs="Times New Roman"/>
          <w:b/>
          <w:color w:val="auto"/>
          <w:sz w:val="30"/>
          <w:szCs w:val="30"/>
          <w:lang w:eastAsia="zh-CN"/>
        </w:rPr>
        <w:t>丽晶茂</w:t>
      </w:r>
      <w:r>
        <w:rPr>
          <w:rFonts w:hint="eastAsia" w:ascii="Times New Roman" w:hAnsi="Times New Roman" w:eastAsia="宋体" w:cs="Times New Roman"/>
          <w:b/>
          <w:color w:val="auto"/>
          <w:sz w:val="30"/>
          <w:szCs w:val="30"/>
          <w:lang w:val="en-US" w:eastAsia="zh-CN"/>
        </w:rPr>
        <w:t>A栋1515室</w:t>
      </w:r>
    </w:p>
    <w:p w14:paraId="211D5400">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邮编：745000</w:t>
      </w:r>
    </w:p>
    <w:p w14:paraId="7F7969E5">
      <w:pPr>
        <w:pStyle w:val="5"/>
        <w:rPr>
          <w:rFonts w:hint="default" w:ascii="Times New Roman" w:hAnsi="Times New Roman" w:eastAsia="宋体" w:cs="Times New Roman"/>
          <w:b/>
          <w:color w:val="auto"/>
          <w:sz w:val="30"/>
          <w:szCs w:val="30"/>
        </w:rPr>
        <w:sectPr>
          <w:footerReference r:id="rId4"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14:paraId="3F789504">
      <w:pPr>
        <w:rPr>
          <w:rFonts w:hint="default"/>
          <w:color w:val="auto"/>
        </w:rPr>
      </w:pPr>
    </w:p>
    <w:p w14:paraId="1C702D51">
      <w:pPr>
        <w:rPr>
          <w:rFonts w:hint="default" w:ascii="Times New Roman" w:hAnsi="Times New Roman" w:eastAsia="宋体" w:cs="Times New Roman"/>
          <w:b/>
          <w:color w:val="auto"/>
          <w:sz w:val="30"/>
          <w:szCs w:val="30"/>
        </w:rPr>
      </w:pPr>
    </w:p>
    <w:p w14:paraId="4BD59512">
      <w:pPr>
        <w:widowControl w:val="0"/>
        <w:adjustRightInd/>
        <w:snapToGrid/>
        <w:spacing w:after="0" w:afterLines="-2147483648"/>
        <w:jc w:val="both"/>
        <w:outlineLvl w:val="0"/>
        <w:rPr>
          <w:rFonts w:hint="default" w:ascii="Times New Roman" w:hAnsi="Times New Roman" w:eastAsia="宋体" w:cs="Times New Roman"/>
          <w:b/>
          <w:color w:val="auto"/>
          <w:kern w:val="2"/>
          <w:sz w:val="32"/>
          <w:szCs w:val="24"/>
        </w:rPr>
      </w:pPr>
      <w:bookmarkStart w:id="0" w:name="_Toc17776"/>
      <w:r>
        <w:rPr>
          <w:rFonts w:hint="eastAsia" w:ascii="Times New Roman" w:hAnsi="Times New Roman" w:eastAsia="宋体" w:cs="Times New Roman"/>
          <w:b/>
          <w:color w:val="auto"/>
          <w:kern w:val="2"/>
          <w:sz w:val="32"/>
          <w:szCs w:val="24"/>
          <w:lang w:val="en-US" w:eastAsia="zh-CN"/>
        </w:rPr>
        <w:t>1.</w:t>
      </w:r>
      <w:r>
        <w:rPr>
          <w:rFonts w:hint="default" w:ascii="Times New Roman" w:hAnsi="Times New Roman" w:eastAsia="宋体" w:cs="Times New Roman"/>
          <w:b/>
          <w:color w:val="auto"/>
          <w:kern w:val="2"/>
          <w:sz w:val="32"/>
          <w:szCs w:val="24"/>
        </w:rPr>
        <w:t>项目总体情况</w:t>
      </w:r>
      <w:bookmarkEnd w:id="0"/>
    </w:p>
    <w:tbl>
      <w:tblPr>
        <w:tblStyle w:val="25"/>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825"/>
        <w:gridCol w:w="1512"/>
        <w:gridCol w:w="747"/>
        <w:gridCol w:w="228"/>
        <w:gridCol w:w="392"/>
        <w:gridCol w:w="383"/>
        <w:gridCol w:w="675"/>
        <w:gridCol w:w="123"/>
        <w:gridCol w:w="78"/>
        <w:gridCol w:w="627"/>
        <w:gridCol w:w="561"/>
        <w:gridCol w:w="411"/>
        <w:gridCol w:w="960"/>
      </w:tblGrid>
      <w:tr w14:paraId="0B6C8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558AE0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建设项目名称</w:t>
            </w:r>
          </w:p>
        </w:tc>
        <w:tc>
          <w:tcPr>
            <w:tcW w:w="3928" w:type="pct"/>
            <w:gridSpan w:val="12"/>
            <w:noWrap w:val="0"/>
            <w:vAlign w:val="center"/>
          </w:tcPr>
          <w:p w14:paraId="5143917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eastAsia" w:ascii="Times New Roman" w:hAnsi="Times New Roman" w:eastAsia="宋体" w:cs="Times New Roman"/>
                <w:color w:val="auto"/>
                <w:spacing w:val="0"/>
                <w:w w:val="100"/>
                <w:sz w:val="24"/>
                <w:szCs w:val="24"/>
                <w:highlight w:val="none"/>
                <w:lang w:val="en-US" w:eastAsia="zh-CN"/>
              </w:rPr>
              <w:t>华北油气分公司采油一厂宫河1H等11宗勘探井建设项目（JH2P42、长探105、JH2P44、良平101H）</w:t>
            </w:r>
          </w:p>
        </w:tc>
      </w:tr>
      <w:tr w14:paraId="4B8BB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1E0D7CC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建设单位</w:t>
            </w:r>
          </w:p>
        </w:tc>
        <w:tc>
          <w:tcPr>
            <w:tcW w:w="3928" w:type="pct"/>
            <w:gridSpan w:val="12"/>
            <w:noWrap w:val="0"/>
            <w:vAlign w:val="center"/>
          </w:tcPr>
          <w:p w14:paraId="24C9ABD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p>
        </w:tc>
      </w:tr>
      <w:tr w14:paraId="5C75D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5CDA570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法人代表</w:t>
            </w:r>
          </w:p>
        </w:tc>
        <w:tc>
          <w:tcPr>
            <w:tcW w:w="1325" w:type="pct"/>
            <w:gridSpan w:val="2"/>
            <w:noWrap w:val="0"/>
            <w:vAlign w:val="center"/>
          </w:tcPr>
          <w:p w14:paraId="0FFD76A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梁承春</w:t>
            </w:r>
          </w:p>
        </w:tc>
        <w:tc>
          <w:tcPr>
            <w:tcW w:w="1103" w:type="pct"/>
            <w:gridSpan w:val="6"/>
            <w:noWrap w:val="0"/>
            <w:vAlign w:val="center"/>
          </w:tcPr>
          <w:p w14:paraId="26B030C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kern w:val="0"/>
                <w:sz w:val="24"/>
                <w:szCs w:val="24"/>
                <w:highlight w:val="none"/>
              </w:rPr>
              <w:t>联系人</w:t>
            </w:r>
          </w:p>
        </w:tc>
        <w:tc>
          <w:tcPr>
            <w:tcW w:w="1499" w:type="pct"/>
            <w:gridSpan w:val="4"/>
            <w:noWrap w:val="0"/>
            <w:vAlign w:val="center"/>
          </w:tcPr>
          <w:p w14:paraId="6064BD1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王晓婷</w:t>
            </w:r>
          </w:p>
        </w:tc>
      </w:tr>
      <w:tr w14:paraId="4F1CB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255806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通信地址</w:t>
            </w:r>
          </w:p>
        </w:tc>
        <w:tc>
          <w:tcPr>
            <w:tcW w:w="3928" w:type="pct"/>
            <w:gridSpan w:val="12"/>
            <w:noWrap w:val="0"/>
            <w:vAlign w:val="center"/>
          </w:tcPr>
          <w:p w14:paraId="2BDA525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eastAsia="zh-CN"/>
              </w:rPr>
              <w:t>陕西省咸阳市渭城区周陵镇天工一路与周康路十字采</w:t>
            </w:r>
            <w:r>
              <w:rPr>
                <w:rFonts w:hint="eastAsia" w:ascii="Times New Roman" w:hAnsi="Times New Roman" w:eastAsia="宋体" w:cs="Times New Roman"/>
                <w:color w:val="auto"/>
                <w:spacing w:val="0"/>
                <w:w w:val="100"/>
                <w:sz w:val="24"/>
                <w:szCs w:val="24"/>
                <w:highlight w:val="none"/>
                <w:lang w:val="en-US" w:eastAsia="zh-CN"/>
              </w:rPr>
              <w:t>油一厂806室</w:t>
            </w:r>
          </w:p>
        </w:tc>
      </w:tr>
      <w:tr w14:paraId="6DC1FE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56A23C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联系电话</w:t>
            </w:r>
          </w:p>
        </w:tc>
        <w:tc>
          <w:tcPr>
            <w:tcW w:w="1325" w:type="pct"/>
            <w:gridSpan w:val="2"/>
            <w:noWrap w:val="0"/>
            <w:vAlign w:val="center"/>
          </w:tcPr>
          <w:p w14:paraId="7086885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18182501906</w:t>
            </w:r>
          </w:p>
        </w:tc>
        <w:tc>
          <w:tcPr>
            <w:tcW w:w="589" w:type="pct"/>
            <w:gridSpan w:val="3"/>
            <w:noWrap w:val="0"/>
            <w:vAlign w:val="center"/>
          </w:tcPr>
          <w:p w14:paraId="382299D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传真</w:t>
            </w:r>
          </w:p>
        </w:tc>
        <w:tc>
          <w:tcPr>
            <w:tcW w:w="468" w:type="pct"/>
            <w:gridSpan w:val="2"/>
            <w:noWrap w:val="0"/>
            <w:vAlign w:val="center"/>
          </w:tcPr>
          <w:p w14:paraId="317C7CD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742" w:type="pct"/>
            <w:gridSpan w:val="3"/>
            <w:noWrap w:val="0"/>
            <w:vAlign w:val="center"/>
          </w:tcPr>
          <w:p w14:paraId="016A20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邮编</w:t>
            </w:r>
          </w:p>
        </w:tc>
        <w:tc>
          <w:tcPr>
            <w:tcW w:w="802" w:type="pct"/>
            <w:gridSpan w:val="2"/>
            <w:noWrap w:val="0"/>
            <w:vAlign w:val="center"/>
          </w:tcPr>
          <w:p w14:paraId="17907B5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712000</w:t>
            </w:r>
          </w:p>
        </w:tc>
      </w:tr>
      <w:tr w14:paraId="2DD233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12AF728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建设地点</w:t>
            </w:r>
          </w:p>
        </w:tc>
        <w:tc>
          <w:tcPr>
            <w:tcW w:w="3928" w:type="pct"/>
            <w:gridSpan w:val="12"/>
            <w:noWrap w:val="0"/>
            <w:vAlign w:val="center"/>
          </w:tcPr>
          <w:tbl>
            <w:tblPr>
              <w:tblStyle w:val="26"/>
              <w:tblpPr w:leftFromText="180" w:rightFromText="180" w:vertAnchor="text" w:horzAnchor="page" w:tblpX="2840" w:tblpY="-959"/>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2595"/>
              <w:gridCol w:w="2359"/>
            </w:tblGrid>
            <w:tr w14:paraId="61AA4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pct"/>
                  <w:noWrap w:val="0"/>
                  <w:vAlign w:val="center"/>
                </w:tcPr>
                <w:p w14:paraId="3906D11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井场名称</w:t>
                  </w:r>
                </w:p>
              </w:tc>
              <w:tc>
                <w:tcPr>
                  <w:tcW w:w="2004" w:type="pct"/>
                  <w:noWrap w:val="0"/>
                  <w:vAlign w:val="center"/>
                </w:tcPr>
                <w:p w14:paraId="7434285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建设地点</w:t>
                  </w:r>
                </w:p>
              </w:tc>
              <w:tc>
                <w:tcPr>
                  <w:tcW w:w="1822" w:type="pct"/>
                  <w:noWrap w:val="0"/>
                  <w:vAlign w:val="center"/>
                </w:tcPr>
                <w:p w14:paraId="61941CC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中心点坐标</w:t>
                  </w:r>
                </w:p>
              </w:tc>
            </w:tr>
            <w:tr w14:paraId="587AD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pct"/>
                  <w:noWrap w:val="0"/>
                  <w:vAlign w:val="center"/>
                </w:tcPr>
                <w:p w14:paraId="487DA8B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JH2P42</w:t>
                  </w:r>
                </w:p>
              </w:tc>
              <w:tc>
                <w:tcPr>
                  <w:tcW w:w="2004" w:type="pct"/>
                  <w:noWrap w:val="0"/>
                  <w:vAlign w:val="center"/>
                </w:tcPr>
                <w:p w14:paraId="7344480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宁县早胜镇西头村</w:t>
                  </w:r>
                </w:p>
              </w:tc>
              <w:tc>
                <w:tcPr>
                  <w:tcW w:w="1822" w:type="pct"/>
                  <w:noWrap w:val="0"/>
                  <w:vAlign w:val="center"/>
                </w:tcPr>
                <w:p w14:paraId="21F6BA0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E 108°11′30.507″，N 35°20′20.726″</w:t>
                  </w:r>
                </w:p>
              </w:tc>
            </w:tr>
            <w:tr w14:paraId="1F48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pct"/>
                  <w:noWrap w:val="0"/>
                  <w:vAlign w:val="center"/>
                </w:tcPr>
                <w:p w14:paraId="010B145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长探105</w:t>
                  </w:r>
                </w:p>
              </w:tc>
              <w:tc>
                <w:tcPr>
                  <w:tcW w:w="2004" w:type="pct"/>
                  <w:noWrap w:val="0"/>
                  <w:vAlign w:val="center"/>
                </w:tcPr>
                <w:p w14:paraId="5BD88D8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宁县焦村镇朱家塬村</w:t>
                  </w:r>
                </w:p>
              </w:tc>
              <w:tc>
                <w:tcPr>
                  <w:tcW w:w="1822" w:type="pct"/>
                  <w:noWrap w:val="0"/>
                  <w:vAlign w:val="center"/>
                </w:tcPr>
                <w:p w14:paraId="5535372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E107°51′55.158″，N35°25′44.878″</w:t>
                  </w:r>
                </w:p>
              </w:tc>
            </w:tr>
            <w:tr w14:paraId="04CE8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pct"/>
                  <w:noWrap w:val="0"/>
                  <w:vAlign w:val="center"/>
                </w:tcPr>
                <w:p w14:paraId="5EF16BC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JH2P44</w:t>
                  </w:r>
                </w:p>
              </w:tc>
              <w:tc>
                <w:tcPr>
                  <w:tcW w:w="2004" w:type="pct"/>
                  <w:noWrap w:val="0"/>
                  <w:vAlign w:val="center"/>
                </w:tcPr>
                <w:p w14:paraId="2BD9118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宁县中村镇平定村</w:t>
                  </w:r>
                </w:p>
              </w:tc>
              <w:tc>
                <w:tcPr>
                  <w:tcW w:w="1822" w:type="pct"/>
                  <w:noWrap w:val="0"/>
                  <w:vAlign w:val="center"/>
                </w:tcPr>
                <w:p w14:paraId="589977A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E107°57′10.798″，N35°23′33.248″</w:t>
                  </w:r>
                </w:p>
              </w:tc>
            </w:tr>
            <w:tr w14:paraId="4A80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pct"/>
                  <w:noWrap w:val="0"/>
                  <w:vAlign w:val="center"/>
                </w:tcPr>
                <w:p w14:paraId="02B5CAB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良平101H</w:t>
                  </w:r>
                </w:p>
              </w:tc>
              <w:tc>
                <w:tcPr>
                  <w:tcW w:w="2004" w:type="pct"/>
                  <w:noWrap w:val="0"/>
                  <w:vAlign w:val="center"/>
                </w:tcPr>
                <w:p w14:paraId="55E02E9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宁县早胜镇院子村</w:t>
                  </w:r>
                </w:p>
              </w:tc>
              <w:tc>
                <w:tcPr>
                  <w:tcW w:w="1822" w:type="pct"/>
                  <w:noWrap w:val="0"/>
                  <w:vAlign w:val="center"/>
                </w:tcPr>
                <w:p w14:paraId="31240FE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E107°57′00.415″，N35°25′43.619″</w:t>
                  </w:r>
                </w:p>
              </w:tc>
            </w:tr>
          </w:tbl>
          <w:p w14:paraId="13FD298A">
            <w:pPr>
              <w:pStyle w:val="3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both"/>
              <w:textAlignment w:val="auto"/>
              <w:rPr>
                <w:rFonts w:hint="default" w:cs="Times New Roman"/>
                <w:color w:val="auto"/>
                <w:spacing w:val="0"/>
                <w:w w:val="100"/>
                <w:sz w:val="24"/>
                <w:szCs w:val="24"/>
                <w:highlight w:val="none"/>
                <w:lang w:val="en-US" w:eastAsia="zh-CN"/>
              </w:rPr>
            </w:pPr>
          </w:p>
        </w:tc>
      </w:tr>
      <w:tr w14:paraId="61909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7E9C5CF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项目性质</w:t>
            </w:r>
          </w:p>
        </w:tc>
        <w:tc>
          <w:tcPr>
            <w:tcW w:w="1459" w:type="pct"/>
            <w:gridSpan w:val="3"/>
            <w:noWrap w:val="0"/>
            <w:vAlign w:val="center"/>
          </w:tcPr>
          <w:p w14:paraId="1B963F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sz w:val="24"/>
                <w:szCs w:val="24"/>
                <w:highlight w:val="none"/>
              </w:rPr>
              <w:sym w:font="Wingdings 2" w:char="0052"/>
            </w:r>
            <w:r>
              <w:rPr>
                <w:rFonts w:hint="default" w:ascii="Times New Roman" w:hAnsi="Times New Roman" w:eastAsia="宋体" w:cs="Times New Roman"/>
                <w:color w:val="auto"/>
                <w:spacing w:val="0"/>
                <w:w w:val="100"/>
                <w:sz w:val="24"/>
                <w:szCs w:val="24"/>
                <w:highlight w:val="none"/>
              </w:rPr>
              <w:t>新建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改扩建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技改</w:t>
            </w:r>
          </w:p>
        </w:tc>
        <w:tc>
          <w:tcPr>
            <w:tcW w:w="851" w:type="pct"/>
            <w:gridSpan w:val="3"/>
            <w:noWrap w:val="0"/>
            <w:vAlign w:val="center"/>
          </w:tcPr>
          <w:p w14:paraId="180433E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行业类别</w:t>
            </w:r>
          </w:p>
        </w:tc>
        <w:tc>
          <w:tcPr>
            <w:tcW w:w="1616" w:type="pct"/>
            <w:gridSpan w:val="6"/>
            <w:noWrap w:val="0"/>
            <w:vAlign w:val="center"/>
          </w:tcPr>
          <w:p w14:paraId="41F8CB7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eastAsia="zh-CN"/>
              </w:rPr>
            </w:pPr>
            <w:r>
              <w:rPr>
                <w:rFonts w:hint="eastAsia" w:ascii="Times New Roman" w:hAnsi="Times New Roman" w:eastAsia="宋体" w:cs="Times New Roman"/>
                <w:color w:val="auto"/>
                <w:spacing w:val="0"/>
                <w:w w:val="100"/>
                <w:kern w:val="0"/>
                <w:sz w:val="24"/>
                <w:szCs w:val="24"/>
                <w:highlight w:val="none"/>
                <w:lang w:eastAsia="zh-CN"/>
              </w:rPr>
              <w:t>能源矿产地质勘查（M7471）</w:t>
            </w:r>
          </w:p>
        </w:tc>
      </w:tr>
      <w:tr w14:paraId="661A0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4FE2A23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环境影响报告表名称</w:t>
            </w:r>
          </w:p>
        </w:tc>
        <w:tc>
          <w:tcPr>
            <w:tcW w:w="3928" w:type="pct"/>
            <w:gridSpan w:val="12"/>
            <w:noWrap w:val="0"/>
            <w:vAlign w:val="center"/>
          </w:tcPr>
          <w:p w14:paraId="7BDA0D0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华北油气分公司采油一厂宫河1H等11宗勘探井建设项目</w:t>
            </w:r>
          </w:p>
        </w:tc>
      </w:tr>
      <w:tr w14:paraId="34B875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071" w:type="pct"/>
            <w:noWrap w:val="0"/>
            <w:vAlign w:val="center"/>
          </w:tcPr>
          <w:p w14:paraId="6C95929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环境影响评价单位</w:t>
            </w:r>
          </w:p>
        </w:tc>
        <w:tc>
          <w:tcPr>
            <w:tcW w:w="3928" w:type="pct"/>
            <w:gridSpan w:val="12"/>
            <w:noWrap w:val="0"/>
            <w:vAlign w:val="center"/>
          </w:tcPr>
          <w:p w14:paraId="60A179F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甘肃卉昕朋环保科技有限公司</w:t>
            </w:r>
          </w:p>
        </w:tc>
      </w:tr>
      <w:tr w14:paraId="10EBC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071" w:type="pct"/>
            <w:noWrap w:val="0"/>
            <w:vAlign w:val="center"/>
          </w:tcPr>
          <w:p w14:paraId="73C6FC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初步设计单位</w:t>
            </w:r>
          </w:p>
        </w:tc>
        <w:tc>
          <w:tcPr>
            <w:tcW w:w="3928" w:type="pct"/>
            <w:gridSpan w:val="12"/>
            <w:noWrap w:val="0"/>
            <w:vAlign w:val="center"/>
          </w:tcPr>
          <w:p w14:paraId="6C2A1C2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w:t>
            </w:r>
          </w:p>
        </w:tc>
      </w:tr>
      <w:tr w14:paraId="4560A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09E890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环境影响评价审批部门</w:t>
            </w:r>
          </w:p>
        </w:tc>
        <w:tc>
          <w:tcPr>
            <w:tcW w:w="1459" w:type="pct"/>
            <w:gridSpan w:val="3"/>
            <w:noWrap w:val="0"/>
            <w:vAlign w:val="center"/>
          </w:tcPr>
          <w:p w14:paraId="6450DBB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庆阳市生态环境局</w:t>
            </w:r>
          </w:p>
        </w:tc>
        <w:tc>
          <w:tcPr>
            <w:tcW w:w="455" w:type="pct"/>
            <w:gridSpan w:val="2"/>
            <w:noWrap w:val="0"/>
            <w:vAlign w:val="center"/>
          </w:tcPr>
          <w:p w14:paraId="23EC18C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881" w:type="pct"/>
            <w:gridSpan w:val="4"/>
            <w:noWrap w:val="0"/>
            <w:vAlign w:val="center"/>
          </w:tcPr>
          <w:p w14:paraId="63E73D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庆环评表字〔2024〕22号</w:t>
            </w:r>
          </w:p>
        </w:tc>
        <w:tc>
          <w:tcPr>
            <w:tcW w:w="570" w:type="pct"/>
            <w:gridSpan w:val="2"/>
            <w:noWrap w:val="0"/>
            <w:vAlign w:val="center"/>
          </w:tcPr>
          <w:p w14:paraId="5B6F69A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61" w:type="pct"/>
            <w:noWrap w:val="0"/>
            <w:vAlign w:val="center"/>
          </w:tcPr>
          <w:p w14:paraId="737A2E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2024年5月8日</w:t>
            </w:r>
          </w:p>
        </w:tc>
      </w:tr>
      <w:tr w14:paraId="09463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32CDFB0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初步设计审批部门</w:t>
            </w:r>
          </w:p>
        </w:tc>
        <w:tc>
          <w:tcPr>
            <w:tcW w:w="1459" w:type="pct"/>
            <w:gridSpan w:val="3"/>
            <w:noWrap w:val="0"/>
            <w:vAlign w:val="center"/>
          </w:tcPr>
          <w:p w14:paraId="6C0F0B4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w:t>
            </w:r>
          </w:p>
        </w:tc>
        <w:tc>
          <w:tcPr>
            <w:tcW w:w="455" w:type="pct"/>
            <w:gridSpan w:val="2"/>
            <w:noWrap w:val="0"/>
            <w:vAlign w:val="center"/>
          </w:tcPr>
          <w:p w14:paraId="5CED0F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881" w:type="pct"/>
            <w:gridSpan w:val="4"/>
            <w:noWrap w:val="0"/>
            <w:vAlign w:val="center"/>
          </w:tcPr>
          <w:p w14:paraId="7AB033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570" w:type="pct"/>
            <w:gridSpan w:val="2"/>
            <w:noWrap w:val="0"/>
            <w:vAlign w:val="center"/>
          </w:tcPr>
          <w:p w14:paraId="6C5443D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61" w:type="pct"/>
            <w:noWrap w:val="0"/>
            <w:vAlign w:val="center"/>
          </w:tcPr>
          <w:p w14:paraId="2DA4EB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29FC64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799DDD0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环境保护设施设计单位</w:t>
            </w:r>
          </w:p>
        </w:tc>
        <w:tc>
          <w:tcPr>
            <w:tcW w:w="3928" w:type="pct"/>
            <w:gridSpan w:val="12"/>
            <w:noWrap w:val="0"/>
            <w:vAlign w:val="center"/>
          </w:tcPr>
          <w:p w14:paraId="14A5E72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70EC18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590D6E7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环境保护设施施工单位</w:t>
            </w:r>
          </w:p>
        </w:tc>
        <w:tc>
          <w:tcPr>
            <w:tcW w:w="3928" w:type="pct"/>
            <w:gridSpan w:val="12"/>
            <w:noWrap w:val="0"/>
            <w:vAlign w:val="center"/>
          </w:tcPr>
          <w:p w14:paraId="72E9194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4D47A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73D54B2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环境保护设施监测单位</w:t>
            </w:r>
          </w:p>
        </w:tc>
        <w:tc>
          <w:tcPr>
            <w:tcW w:w="3928" w:type="pct"/>
            <w:gridSpan w:val="12"/>
            <w:noWrap w:val="0"/>
            <w:vAlign w:val="center"/>
          </w:tcPr>
          <w:p w14:paraId="62DE656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山东新航工程项目咨询有限公司</w:t>
            </w:r>
          </w:p>
        </w:tc>
      </w:tr>
      <w:tr w14:paraId="451AA7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74F667C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lang w:eastAsia="zh-CN"/>
              </w:rPr>
              <w:t>投资总概算（</w:t>
            </w:r>
            <w:r>
              <w:rPr>
                <w:rFonts w:hint="default" w:ascii="Times New Roman" w:hAnsi="Times New Roman" w:eastAsia="宋体" w:cs="Times New Roman"/>
                <w:b/>
                <w:bCs/>
                <w:color w:val="auto"/>
                <w:spacing w:val="0"/>
                <w:w w:val="100"/>
                <w:kern w:val="0"/>
                <w:sz w:val="24"/>
                <w:szCs w:val="24"/>
                <w:highlight w:val="none"/>
                <w:lang w:val="en-US" w:eastAsia="zh-CN"/>
              </w:rPr>
              <w:t>万元</w:t>
            </w:r>
            <w:r>
              <w:rPr>
                <w:rFonts w:hint="default" w:ascii="Times New Roman" w:hAnsi="Times New Roman" w:eastAsia="宋体" w:cs="Times New Roman"/>
                <w:b/>
                <w:bCs/>
                <w:color w:val="auto"/>
                <w:spacing w:val="0"/>
                <w:w w:val="100"/>
                <w:kern w:val="0"/>
                <w:sz w:val="24"/>
                <w:szCs w:val="24"/>
                <w:highlight w:val="none"/>
                <w:lang w:eastAsia="zh-CN"/>
              </w:rPr>
              <w:t>）</w:t>
            </w:r>
          </w:p>
        </w:tc>
        <w:tc>
          <w:tcPr>
            <w:tcW w:w="887" w:type="pct"/>
            <w:noWrap w:val="0"/>
            <w:vAlign w:val="center"/>
          </w:tcPr>
          <w:p w14:paraId="1471DC6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11000</w:t>
            </w:r>
          </w:p>
        </w:tc>
        <w:tc>
          <w:tcPr>
            <w:tcW w:w="1027" w:type="pct"/>
            <w:gridSpan w:val="4"/>
            <w:noWrap w:val="0"/>
            <w:vAlign w:val="center"/>
          </w:tcPr>
          <w:p w14:paraId="176C6DF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eastAsia="zh-CN"/>
              </w:rPr>
            </w:pPr>
            <w:r>
              <w:rPr>
                <w:rFonts w:hint="eastAsia" w:ascii="Times New Roman" w:hAnsi="Times New Roman" w:eastAsia="宋体" w:cs="Times New Roman"/>
                <w:color w:val="auto"/>
                <w:spacing w:val="0"/>
                <w:w w:val="100"/>
                <w:kern w:val="0"/>
                <w:sz w:val="24"/>
                <w:szCs w:val="24"/>
                <w:highlight w:val="none"/>
                <w:lang w:eastAsia="zh-CN"/>
              </w:rPr>
              <w:t>其中：环境保护</w:t>
            </w:r>
          </w:p>
          <w:p w14:paraId="76C5E59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eastAsia" w:ascii="Times New Roman" w:hAnsi="Times New Roman" w:eastAsia="宋体" w:cs="Times New Roman"/>
                <w:color w:val="auto"/>
                <w:spacing w:val="0"/>
                <w:w w:val="100"/>
                <w:kern w:val="0"/>
                <w:sz w:val="24"/>
                <w:szCs w:val="24"/>
                <w:highlight w:val="none"/>
                <w:lang w:eastAsia="zh-CN"/>
              </w:rPr>
              <w:t>投资</w:t>
            </w:r>
            <w:r>
              <w:rPr>
                <w:rFonts w:hint="default" w:ascii="Times New Roman" w:hAnsi="Times New Roman" w:eastAsia="宋体" w:cs="Times New Roman"/>
                <w:color w:val="auto"/>
                <w:spacing w:val="0"/>
                <w:w w:val="100"/>
                <w:kern w:val="0"/>
                <w:sz w:val="24"/>
                <w:szCs w:val="24"/>
                <w:highlight w:val="none"/>
                <w:lang w:eastAsia="zh-CN"/>
              </w:rPr>
              <w:t>（</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513" w:type="pct"/>
            <w:gridSpan w:val="3"/>
            <w:noWrap w:val="0"/>
            <w:vAlign w:val="center"/>
          </w:tcPr>
          <w:p w14:paraId="644F615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695.6</w:t>
            </w:r>
          </w:p>
        </w:tc>
        <w:tc>
          <w:tcPr>
            <w:tcW w:w="938" w:type="pct"/>
            <w:gridSpan w:val="3"/>
            <w:vMerge w:val="restart"/>
            <w:noWrap w:val="0"/>
            <w:vAlign w:val="center"/>
          </w:tcPr>
          <w:p w14:paraId="40B1269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eastAsia="zh-CN"/>
              </w:rPr>
              <w:t>实际环境保护投资占总投资</w:t>
            </w:r>
            <w:r>
              <w:rPr>
                <w:rFonts w:hint="default" w:ascii="Times New Roman" w:hAnsi="Times New Roman" w:eastAsia="宋体" w:cs="Times New Roman"/>
                <w:color w:val="auto"/>
                <w:spacing w:val="0"/>
                <w:w w:val="100"/>
                <w:sz w:val="24"/>
                <w:szCs w:val="24"/>
                <w:highlight w:val="none"/>
              </w:rPr>
              <w:t>比例</w:t>
            </w:r>
          </w:p>
        </w:tc>
        <w:tc>
          <w:tcPr>
            <w:tcW w:w="561" w:type="pct"/>
            <w:noWrap w:val="0"/>
            <w:vAlign w:val="center"/>
          </w:tcPr>
          <w:p w14:paraId="797B74C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sz w:val="24"/>
                <w:szCs w:val="24"/>
                <w:highlight w:val="none"/>
                <w:lang w:val="en-US" w:eastAsia="zh-CN"/>
              </w:rPr>
              <w:t>6.32</w:t>
            </w:r>
            <w:r>
              <w:rPr>
                <w:rFonts w:hint="default" w:ascii="Times New Roman" w:hAnsi="Times New Roman" w:eastAsia="宋体" w:cs="Times New Roman"/>
                <w:color w:val="auto"/>
                <w:spacing w:val="0"/>
                <w:w w:val="100"/>
                <w:sz w:val="24"/>
                <w:szCs w:val="24"/>
                <w:highlight w:val="none"/>
              </w:rPr>
              <w:t>%</w:t>
            </w:r>
          </w:p>
        </w:tc>
      </w:tr>
      <w:tr w14:paraId="461B4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4734E59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lang w:val="en-US" w:eastAsia="zh-CN"/>
              </w:rPr>
              <w:t>实际总投资（万元）</w:t>
            </w:r>
          </w:p>
        </w:tc>
        <w:tc>
          <w:tcPr>
            <w:tcW w:w="887" w:type="pct"/>
            <w:noWrap w:val="0"/>
            <w:vAlign w:val="center"/>
          </w:tcPr>
          <w:p w14:paraId="48AFCEF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1500</w:t>
            </w:r>
          </w:p>
        </w:tc>
        <w:tc>
          <w:tcPr>
            <w:tcW w:w="1027" w:type="pct"/>
            <w:gridSpan w:val="4"/>
            <w:noWrap w:val="0"/>
            <w:vAlign w:val="center"/>
          </w:tcPr>
          <w:p w14:paraId="7A1F7D4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eastAsia" w:ascii="Times New Roman" w:hAnsi="Times New Roman" w:eastAsia="宋体" w:cs="Times New Roman"/>
                <w:color w:val="auto"/>
                <w:spacing w:val="0"/>
                <w:w w:val="100"/>
                <w:kern w:val="0"/>
                <w:sz w:val="24"/>
                <w:szCs w:val="24"/>
                <w:highlight w:val="none"/>
                <w:lang w:eastAsia="zh-CN"/>
              </w:rPr>
              <w:t>其中：环境保护</w:t>
            </w:r>
            <w:r>
              <w:rPr>
                <w:rFonts w:hint="default" w:ascii="Times New Roman" w:hAnsi="Times New Roman" w:eastAsia="宋体" w:cs="Times New Roman"/>
                <w:color w:val="auto"/>
                <w:spacing w:val="0"/>
                <w:w w:val="100"/>
                <w:kern w:val="0"/>
                <w:sz w:val="24"/>
                <w:szCs w:val="24"/>
                <w:highlight w:val="none"/>
              </w:rPr>
              <w:t>投资</w:t>
            </w:r>
            <w:r>
              <w:rPr>
                <w:rFonts w:hint="default" w:ascii="Times New Roman" w:hAnsi="Times New Roman" w:eastAsia="宋体" w:cs="Times New Roman"/>
                <w:color w:val="auto"/>
                <w:spacing w:val="0"/>
                <w:w w:val="100"/>
                <w:kern w:val="0"/>
                <w:sz w:val="24"/>
                <w:szCs w:val="24"/>
                <w:highlight w:val="none"/>
                <w:lang w:eastAsia="zh-CN"/>
              </w:rPr>
              <w:t>（</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513" w:type="pct"/>
            <w:gridSpan w:val="3"/>
            <w:noWrap w:val="0"/>
            <w:vAlign w:val="center"/>
          </w:tcPr>
          <w:p w14:paraId="797A665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199.35</w:t>
            </w:r>
          </w:p>
        </w:tc>
        <w:tc>
          <w:tcPr>
            <w:tcW w:w="938" w:type="pct"/>
            <w:gridSpan w:val="3"/>
            <w:vMerge w:val="continue"/>
            <w:noWrap w:val="0"/>
            <w:vAlign w:val="center"/>
          </w:tcPr>
          <w:p w14:paraId="0E2A794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p>
        </w:tc>
        <w:tc>
          <w:tcPr>
            <w:tcW w:w="561" w:type="pct"/>
            <w:noWrap w:val="0"/>
            <w:vAlign w:val="center"/>
          </w:tcPr>
          <w:p w14:paraId="45FC068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13.29%</w:t>
            </w:r>
          </w:p>
        </w:tc>
      </w:tr>
      <w:tr w14:paraId="185C24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1" w:type="pct"/>
            <w:noWrap w:val="0"/>
            <w:vAlign w:val="center"/>
          </w:tcPr>
          <w:p w14:paraId="207EEC7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设计生产能力</w:t>
            </w:r>
          </w:p>
        </w:tc>
        <w:tc>
          <w:tcPr>
            <w:tcW w:w="1689" w:type="pct"/>
            <w:gridSpan w:val="4"/>
            <w:noWrap w:val="0"/>
            <w:vAlign w:val="center"/>
          </w:tcPr>
          <w:tbl>
            <w:tblPr>
              <w:tblStyle w:val="26"/>
              <w:tblW w:w="44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1248"/>
            </w:tblGrid>
            <w:tr w14:paraId="22F2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0" w:type="pct"/>
                  <w:noWrap w:val="0"/>
                  <w:vAlign w:val="center"/>
                </w:tcPr>
                <w:p w14:paraId="7EFCE0D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井场名称</w:t>
                  </w:r>
                </w:p>
              </w:tc>
              <w:tc>
                <w:tcPr>
                  <w:tcW w:w="2629" w:type="pct"/>
                  <w:noWrap w:val="0"/>
                  <w:vAlign w:val="center"/>
                </w:tcPr>
                <w:p w14:paraId="6156BFE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钻井深度</w:t>
                  </w:r>
                </w:p>
              </w:tc>
            </w:tr>
            <w:tr w14:paraId="686B8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70" w:type="pct"/>
                  <w:shd w:val="clear" w:color="auto" w:fill="auto"/>
                  <w:noWrap w:val="0"/>
                  <w:vAlign w:val="center"/>
                </w:tcPr>
                <w:p w14:paraId="6B5129E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JH2P42</w:t>
                  </w:r>
                </w:p>
              </w:tc>
              <w:tc>
                <w:tcPr>
                  <w:tcW w:w="2629" w:type="pct"/>
                  <w:noWrap w:val="0"/>
                  <w:vAlign w:val="center"/>
                </w:tcPr>
                <w:p w14:paraId="1FC6498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2290m</w:t>
                  </w:r>
                </w:p>
              </w:tc>
            </w:tr>
            <w:tr w14:paraId="7C84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70" w:type="pct"/>
                  <w:shd w:val="clear" w:color="auto" w:fill="auto"/>
                  <w:vAlign w:val="center"/>
                </w:tcPr>
                <w:p w14:paraId="75AE950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长探105</w:t>
                  </w:r>
                </w:p>
              </w:tc>
              <w:tc>
                <w:tcPr>
                  <w:tcW w:w="2629" w:type="pct"/>
                  <w:vAlign w:val="center"/>
                </w:tcPr>
                <w:p w14:paraId="354F852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4100m</w:t>
                  </w:r>
                </w:p>
              </w:tc>
            </w:tr>
            <w:tr w14:paraId="05D77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70" w:type="pct"/>
                  <w:shd w:val="clear" w:color="auto" w:fill="auto"/>
                  <w:vAlign w:val="center"/>
                </w:tcPr>
                <w:p w14:paraId="7CC5AC0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JH2P44</w:t>
                  </w:r>
                </w:p>
              </w:tc>
              <w:tc>
                <w:tcPr>
                  <w:tcW w:w="2629" w:type="pct"/>
                  <w:vAlign w:val="center"/>
                </w:tcPr>
                <w:p w14:paraId="0EA06B4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2100m</w:t>
                  </w:r>
                </w:p>
              </w:tc>
            </w:tr>
            <w:tr w14:paraId="605C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70" w:type="pct"/>
                  <w:shd w:val="clear" w:color="auto" w:fill="auto"/>
                  <w:vAlign w:val="center"/>
                </w:tcPr>
                <w:p w14:paraId="14407A9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良平101H</w:t>
                  </w:r>
                </w:p>
              </w:tc>
              <w:tc>
                <w:tcPr>
                  <w:tcW w:w="2629" w:type="pct"/>
                  <w:vAlign w:val="center"/>
                </w:tcPr>
                <w:p w14:paraId="7886DE5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2320</w:t>
                  </w:r>
                  <w:r>
                    <w:rPr>
                      <w:rFonts w:hint="eastAsia" w:ascii="Times New Roman" w:hAnsi="Times New Roman" w:eastAsia="宋体" w:cs="Times New Roman"/>
                      <w:color w:val="auto"/>
                      <w:spacing w:val="0"/>
                      <w:w w:val="100"/>
                      <w:sz w:val="24"/>
                      <w:szCs w:val="24"/>
                      <w:highlight w:val="none"/>
                      <w:lang w:val="en-US" w:eastAsia="zh-CN" w:bidi="ar-SA"/>
                    </w:rPr>
                    <w:t>m</w:t>
                  </w:r>
                </w:p>
              </w:tc>
            </w:tr>
          </w:tbl>
          <w:p w14:paraId="4571256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textAlignment w:val="auto"/>
              <w:rPr>
                <w:rFonts w:hint="default"/>
                <w:color w:val="auto"/>
                <w:lang w:val="en-US" w:eastAsia="zh-CN"/>
              </w:rPr>
            </w:pPr>
          </w:p>
        </w:tc>
        <w:tc>
          <w:tcPr>
            <w:tcW w:w="739" w:type="pct"/>
            <w:gridSpan w:val="4"/>
            <w:noWrap w:val="0"/>
            <w:vAlign w:val="center"/>
          </w:tcPr>
          <w:p w14:paraId="3E563E0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建设项目开工日期</w:t>
            </w:r>
          </w:p>
        </w:tc>
        <w:tc>
          <w:tcPr>
            <w:tcW w:w="1499" w:type="pct"/>
            <w:gridSpan w:val="4"/>
            <w:noWrap w:val="0"/>
            <w:vAlign w:val="center"/>
          </w:tcPr>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1348"/>
            </w:tblGrid>
            <w:tr w14:paraId="151D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pct"/>
                  <w:noWrap w:val="0"/>
                  <w:vAlign w:val="top"/>
                </w:tcPr>
                <w:p w14:paraId="2E96B3B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井场名称</w:t>
                  </w:r>
                </w:p>
              </w:tc>
              <w:tc>
                <w:tcPr>
                  <w:tcW w:w="2888" w:type="pct"/>
                  <w:noWrap w:val="0"/>
                  <w:vAlign w:val="top"/>
                </w:tcPr>
                <w:p w14:paraId="6EA5309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开工日期</w:t>
                  </w:r>
                </w:p>
              </w:tc>
            </w:tr>
            <w:tr w14:paraId="192E2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pct"/>
                  <w:shd w:val="clear" w:color="auto" w:fill="auto"/>
                  <w:noWrap w:val="0"/>
                  <w:vAlign w:val="center"/>
                </w:tcPr>
                <w:p w14:paraId="64A9D2D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JH2P42</w:t>
                  </w:r>
                </w:p>
              </w:tc>
              <w:tc>
                <w:tcPr>
                  <w:tcW w:w="2888" w:type="pct"/>
                  <w:shd w:val="clear" w:color="auto" w:fill="auto"/>
                  <w:noWrap w:val="0"/>
                  <w:vAlign w:val="center"/>
                </w:tcPr>
                <w:p w14:paraId="2212C8A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2024-08-09</w:t>
                  </w:r>
                </w:p>
              </w:tc>
            </w:tr>
            <w:tr w14:paraId="70257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1" w:type="pct"/>
                  <w:shd w:val="clear" w:color="auto" w:fill="auto"/>
                  <w:vAlign w:val="center"/>
                </w:tcPr>
                <w:p w14:paraId="7706A8A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长探105</w:t>
                  </w:r>
                </w:p>
              </w:tc>
              <w:tc>
                <w:tcPr>
                  <w:tcW w:w="2888" w:type="pct"/>
                  <w:shd w:val="clear" w:color="auto" w:fill="auto"/>
                  <w:vAlign w:val="top"/>
                </w:tcPr>
                <w:p w14:paraId="1C9AE56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2024</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08</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31</w:t>
                  </w:r>
                </w:p>
              </w:tc>
            </w:tr>
            <w:tr w14:paraId="0525B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14:paraId="766E281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JH2P44</w:t>
                  </w:r>
                </w:p>
              </w:tc>
              <w:tc>
                <w:tcPr>
                  <w:tcW w:w="0" w:type="auto"/>
                  <w:shd w:val="clear" w:color="auto" w:fill="auto"/>
                  <w:vAlign w:val="center"/>
                </w:tcPr>
                <w:p w14:paraId="097FBFA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2024</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06</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2</w:t>
                  </w:r>
                  <w:r>
                    <w:rPr>
                      <w:rFonts w:hint="eastAsia" w:ascii="Times New Roman" w:hAnsi="Times New Roman" w:eastAsia="宋体" w:cs="Times New Roman"/>
                      <w:color w:val="auto"/>
                      <w:spacing w:val="0"/>
                      <w:w w:val="100"/>
                      <w:sz w:val="24"/>
                      <w:szCs w:val="24"/>
                      <w:highlight w:val="none"/>
                      <w:lang w:val="en-US" w:eastAsia="zh-CN"/>
                    </w:rPr>
                    <w:t>7</w:t>
                  </w:r>
                </w:p>
              </w:tc>
            </w:tr>
            <w:tr w14:paraId="7816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14:paraId="5F150C4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良平101H</w:t>
                  </w:r>
                </w:p>
              </w:tc>
              <w:tc>
                <w:tcPr>
                  <w:tcW w:w="0" w:type="auto"/>
                  <w:shd w:val="clear" w:color="auto" w:fill="auto"/>
                  <w:vAlign w:val="center"/>
                </w:tcPr>
                <w:p w14:paraId="28AC789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2024</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06</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2</w:t>
                  </w:r>
                  <w:r>
                    <w:rPr>
                      <w:rFonts w:hint="eastAsia" w:ascii="Times New Roman" w:hAnsi="Times New Roman" w:eastAsia="宋体" w:cs="Times New Roman"/>
                      <w:color w:val="auto"/>
                      <w:spacing w:val="0"/>
                      <w:w w:val="100"/>
                      <w:sz w:val="24"/>
                      <w:szCs w:val="24"/>
                      <w:highlight w:val="none"/>
                      <w:lang w:val="en-US" w:eastAsia="zh-CN"/>
                    </w:rPr>
                    <w:t>0</w:t>
                  </w:r>
                </w:p>
              </w:tc>
            </w:tr>
          </w:tbl>
          <w:p w14:paraId="6BCA3D6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color w:val="auto"/>
                <w:lang w:val="en-US" w:eastAsia="zh-CN"/>
              </w:rPr>
            </w:pPr>
          </w:p>
        </w:tc>
      </w:tr>
      <w:tr w14:paraId="60CFC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3E7B7F1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实际生产能力</w:t>
            </w:r>
          </w:p>
        </w:tc>
        <w:tc>
          <w:tcPr>
            <w:tcW w:w="1689" w:type="pct"/>
            <w:gridSpan w:val="4"/>
            <w:noWrap w:val="0"/>
            <w:vAlign w:val="center"/>
          </w:tcPr>
          <w:tbl>
            <w:tblPr>
              <w:tblStyle w:val="26"/>
              <w:tblW w:w="44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1248"/>
            </w:tblGrid>
            <w:tr w14:paraId="3552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0" w:type="pct"/>
                  <w:noWrap w:val="0"/>
                  <w:vAlign w:val="center"/>
                </w:tcPr>
                <w:p w14:paraId="18EDE5C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井场名称</w:t>
                  </w:r>
                </w:p>
              </w:tc>
              <w:tc>
                <w:tcPr>
                  <w:tcW w:w="2629" w:type="pct"/>
                  <w:noWrap w:val="0"/>
                  <w:vAlign w:val="center"/>
                </w:tcPr>
                <w:p w14:paraId="17FE7F0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钻井深度</w:t>
                  </w:r>
                </w:p>
              </w:tc>
            </w:tr>
            <w:tr w14:paraId="611A0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0" w:type="pct"/>
                  <w:shd w:val="clear" w:color="auto" w:fill="auto"/>
                  <w:noWrap w:val="0"/>
                  <w:vAlign w:val="center"/>
                </w:tcPr>
                <w:p w14:paraId="77B833A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JH2P42</w:t>
                  </w:r>
                </w:p>
              </w:tc>
              <w:tc>
                <w:tcPr>
                  <w:tcW w:w="2629" w:type="pct"/>
                  <w:shd w:val="clear" w:color="auto" w:fill="auto"/>
                  <w:noWrap w:val="0"/>
                  <w:vAlign w:val="center"/>
                </w:tcPr>
                <w:p w14:paraId="2FA28C1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2164m</w:t>
                  </w:r>
                </w:p>
              </w:tc>
            </w:tr>
            <w:tr w14:paraId="4747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70" w:type="pct"/>
                  <w:shd w:val="clear" w:color="auto" w:fill="auto"/>
                  <w:vAlign w:val="center"/>
                </w:tcPr>
                <w:p w14:paraId="18F4810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长探105</w:t>
                  </w:r>
                </w:p>
              </w:tc>
              <w:tc>
                <w:tcPr>
                  <w:tcW w:w="2629" w:type="pct"/>
                  <w:shd w:val="clear" w:color="auto" w:fill="auto"/>
                  <w:vAlign w:val="center"/>
                </w:tcPr>
                <w:p w14:paraId="25C6383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4030m</w:t>
                  </w:r>
                </w:p>
              </w:tc>
            </w:tr>
            <w:tr w14:paraId="42E5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14:paraId="5D756A4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JH2P44</w:t>
                  </w:r>
                </w:p>
              </w:tc>
              <w:tc>
                <w:tcPr>
                  <w:tcW w:w="0" w:type="auto"/>
                  <w:vAlign w:val="center"/>
                </w:tcPr>
                <w:p w14:paraId="70CD769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2222</w:t>
                  </w:r>
                  <w:r>
                    <w:rPr>
                      <w:rFonts w:hint="eastAsia" w:ascii="Times New Roman" w:hAnsi="Times New Roman" w:eastAsia="宋体" w:cs="Times New Roman"/>
                      <w:color w:val="auto"/>
                      <w:spacing w:val="0"/>
                      <w:w w:val="100"/>
                      <w:sz w:val="24"/>
                      <w:szCs w:val="24"/>
                      <w:highlight w:val="none"/>
                      <w:lang w:val="en-US" w:eastAsia="zh-CN"/>
                    </w:rPr>
                    <w:t>m</w:t>
                  </w:r>
                </w:p>
              </w:tc>
            </w:tr>
            <w:tr w14:paraId="29D4E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14:paraId="61763CF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良平101H</w:t>
                  </w:r>
                </w:p>
              </w:tc>
              <w:tc>
                <w:tcPr>
                  <w:tcW w:w="0" w:type="auto"/>
                  <w:vAlign w:val="center"/>
                </w:tcPr>
                <w:p w14:paraId="2CF2854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2039m</w:t>
                  </w:r>
                </w:p>
              </w:tc>
            </w:tr>
          </w:tbl>
          <w:p w14:paraId="5863F22E">
            <w:pPr>
              <w:pStyle w:val="5"/>
              <w:widowControl/>
              <w:suppressLineNumbers w:val="0"/>
              <w:spacing w:before="0"/>
              <w:ind w:left="0" w:right="0"/>
              <w:rPr>
                <w:rFonts w:hint="default"/>
                <w:color w:val="auto"/>
                <w:lang w:val="en-US" w:eastAsia="zh-CN"/>
              </w:rPr>
            </w:pPr>
          </w:p>
        </w:tc>
        <w:tc>
          <w:tcPr>
            <w:tcW w:w="739" w:type="pct"/>
            <w:gridSpan w:val="4"/>
            <w:noWrap w:val="0"/>
            <w:vAlign w:val="center"/>
          </w:tcPr>
          <w:p w14:paraId="065EA27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投入试运行日期</w:t>
            </w:r>
          </w:p>
        </w:tc>
        <w:tc>
          <w:tcPr>
            <w:tcW w:w="1499" w:type="pct"/>
            <w:gridSpan w:val="4"/>
            <w:noWrap w:val="0"/>
            <w:vAlign w:val="center"/>
          </w:tcPr>
          <w:p w14:paraId="01099A6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3A8E3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5C05952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调查经费</w:t>
            </w:r>
          </w:p>
        </w:tc>
        <w:tc>
          <w:tcPr>
            <w:tcW w:w="3928" w:type="pct"/>
            <w:gridSpan w:val="12"/>
            <w:noWrap w:val="0"/>
            <w:vAlign w:val="center"/>
          </w:tcPr>
          <w:p w14:paraId="1BF0C6F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259E0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71" w:type="pct"/>
            <w:noWrap w:val="0"/>
            <w:vAlign w:val="center"/>
          </w:tcPr>
          <w:p w14:paraId="3FB39E7D">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highlight w:val="none"/>
              </w:rPr>
            </w:pPr>
            <w:r>
              <w:rPr>
                <w:rFonts w:hint="default" w:ascii="Times New Roman" w:hAnsi="Times New Roman" w:eastAsia="宋体" w:cs="Times New Roman"/>
                <w:b/>
                <w:bCs/>
                <w:color w:val="auto"/>
                <w:spacing w:val="0"/>
                <w:w w:val="100"/>
                <w:kern w:val="0"/>
                <w:sz w:val="24"/>
                <w:highlight w:val="none"/>
              </w:rPr>
              <w:t>项目建设过程简述</w:t>
            </w:r>
          </w:p>
          <w:p w14:paraId="4C1B5937">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highlight w:val="none"/>
              </w:rPr>
            </w:pPr>
            <w:r>
              <w:rPr>
                <w:rFonts w:hint="default" w:ascii="Times New Roman" w:hAnsi="Times New Roman" w:eastAsia="宋体" w:cs="Times New Roman"/>
                <w:b/>
                <w:bCs/>
                <w:color w:val="auto"/>
                <w:spacing w:val="0"/>
                <w:w w:val="100"/>
                <w:kern w:val="0"/>
                <w:sz w:val="24"/>
                <w:highlight w:val="none"/>
              </w:rPr>
              <w:t>（项目立项~试运行）</w:t>
            </w:r>
          </w:p>
        </w:tc>
        <w:tc>
          <w:tcPr>
            <w:tcW w:w="3928" w:type="pct"/>
            <w:gridSpan w:val="12"/>
            <w:noWrap w:val="0"/>
            <w:vAlign w:val="center"/>
          </w:tcPr>
          <w:p w14:paraId="18BE25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0" w:firstLineChars="0"/>
              <w:jc w:val="left"/>
              <w:textAlignment w:val="auto"/>
              <w:rPr>
                <w:rFonts w:hint="eastAsia"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rPr>
              <w:t>一、</w:t>
            </w:r>
            <w:r>
              <w:rPr>
                <w:rFonts w:hint="eastAsia" w:ascii="Times New Roman" w:hAnsi="Times New Roman" w:eastAsia="宋体" w:cs="Times New Roman"/>
                <w:b/>
                <w:bCs/>
                <w:color w:val="auto"/>
                <w:spacing w:val="0"/>
                <w:w w:val="100"/>
                <w:sz w:val="24"/>
                <w:szCs w:val="24"/>
                <w:highlight w:val="none"/>
                <w:lang w:eastAsia="zh-CN"/>
              </w:rPr>
              <w:t>项目立项</w:t>
            </w:r>
          </w:p>
          <w:p w14:paraId="26A472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石油、天然气</w:t>
            </w:r>
            <w:r>
              <w:rPr>
                <w:rFonts w:hint="eastAsia" w:ascii="Times New Roman" w:hAnsi="Times New Roman" w:eastAsia="宋体" w:cs="Times New Roman"/>
                <w:color w:val="auto"/>
                <w:spacing w:val="0"/>
                <w:w w:val="100"/>
                <w:sz w:val="24"/>
                <w:szCs w:val="24"/>
                <w:highlight w:val="none"/>
                <w:lang w:eastAsia="zh-CN"/>
              </w:rPr>
              <w:t>勘探是</w:t>
            </w:r>
            <w:r>
              <w:rPr>
                <w:rFonts w:hint="eastAsia" w:ascii="Times New Roman" w:hAnsi="Times New Roman" w:eastAsia="宋体" w:cs="Times New Roman"/>
                <w:color w:val="auto"/>
                <w:spacing w:val="0"/>
                <w:w w:val="100"/>
                <w:sz w:val="24"/>
                <w:szCs w:val="24"/>
                <w:highlight w:val="none"/>
                <w:lang w:val="en-US" w:eastAsia="zh-CN"/>
              </w:rPr>
              <w:t>油田</w:t>
            </w:r>
            <w:r>
              <w:rPr>
                <w:rFonts w:hint="eastAsia" w:ascii="Times New Roman" w:hAnsi="Times New Roman" w:eastAsia="宋体" w:cs="Times New Roman"/>
                <w:color w:val="auto"/>
                <w:spacing w:val="0"/>
                <w:w w:val="100"/>
                <w:sz w:val="24"/>
                <w:szCs w:val="24"/>
                <w:highlight w:val="none"/>
                <w:lang w:eastAsia="zh-CN"/>
              </w:rPr>
              <w:t>合理开发利用的基础工程，为确保</w:t>
            </w:r>
            <w:r>
              <w:rPr>
                <w:rFonts w:hint="eastAsia" w:ascii="Times New Roman" w:hAnsi="Times New Roman" w:eastAsia="宋体" w:cs="Times New Roman"/>
                <w:color w:val="auto"/>
                <w:spacing w:val="0"/>
                <w:w w:val="100"/>
                <w:sz w:val="24"/>
                <w:szCs w:val="24"/>
                <w:highlight w:val="none"/>
                <w:lang w:val="en-US" w:eastAsia="zh-CN"/>
              </w:rPr>
              <w:t>石油、天然气</w:t>
            </w:r>
            <w:r>
              <w:rPr>
                <w:rFonts w:hint="eastAsia" w:ascii="Times New Roman" w:hAnsi="Times New Roman" w:eastAsia="宋体" w:cs="Times New Roman"/>
                <w:color w:val="auto"/>
                <w:spacing w:val="0"/>
                <w:w w:val="100"/>
                <w:sz w:val="24"/>
                <w:szCs w:val="24"/>
                <w:highlight w:val="none"/>
                <w:lang w:eastAsia="zh-CN"/>
              </w:rPr>
              <w:t>勘探工作的顺利进展，中国石油化工股份有限公司华北油气分公司采油一厂在</w:t>
            </w:r>
            <w:r>
              <w:rPr>
                <w:rFonts w:hint="default" w:ascii="Times New Roman" w:hAnsi="Times New Roman" w:eastAsia="宋体" w:cs="Times New Roman"/>
                <w:color w:val="auto"/>
                <w:spacing w:val="0"/>
                <w:w w:val="100"/>
                <w:sz w:val="24"/>
                <w:szCs w:val="24"/>
                <w:highlight w:val="none"/>
                <w:lang w:val="en-US" w:eastAsia="zh-CN"/>
              </w:rPr>
              <w:t>宁县早胜镇西头村</w:t>
            </w:r>
            <w:r>
              <w:rPr>
                <w:rFonts w:hint="eastAsia" w:ascii="Times New Roman" w:hAnsi="Times New Roman" w:eastAsia="宋体" w:cs="Times New Roman"/>
                <w:color w:val="auto"/>
                <w:spacing w:val="0"/>
                <w:w w:val="100"/>
                <w:sz w:val="24"/>
                <w:szCs w:val="24"/>
                <w:highlight w:val="none"/>
                <w:lang w:val="en-US" w:eastAsia="zh-CN"/>
              </w:rPr>
              <w:t>、焦村镇朱家塬村、</w:t>
            </w:r>
            <w:r>
              <w:rPr>
                <w:rFonts w:hint="default" w:ascii="Times New Roman" w:hAnsi="Times New Roman" w:eastAsia="宋体" w:cs="Times New Roman"/>
                <w:color w:val="auto"/>
                <w:spacing w:val="0"/>
                <w:w w:val="100"/>
                <w:sz w:val="24"/>
                <w:szCs w:val="24"/>
                <w:highlight w:val="none"/>
                <w:lang w:val="en-US" w:eastAsia="zh-CN"/>
              </w:rPr>
              <w:t>中村镇平定村</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早胜镇院子村</w:t>
            </w:r>
            <w:r>
              <w:rPr>
                <w:rFonts w:hint="eastAsia" w:ascii="Times New Roman" w:hAnsi="Times New Roman" w:eastAsia="宋体" w:cs="Times New Roman"/>
                <w:color w:val="auto"/>
                <w:spacing w:val="0"/>
                <w:w w:val="100"/>
                <w:sz w:val="24"/>
                <w:szCs w:val="24"/>
                <w:highlight w:val="none"/>
                <w:lang w:val="en-US" w:eastAsia="zh-CN"/>
              </w:rPr>
              <w:t>分别</w:t>
            </w:r>
            <w:r>
              <w:rPr>
                <w:rFonts w:hint="eastAsia" w:ascii="Times New Roman" w:hAnsi="Times New Roman" w:eastAsia="宋体" w:cs="Times New Roman"/>
                <w:color w:val="auto"/>
                <w:spacing w:val="0"/>
                <w:w w:val="100"/>
                <w:sz w:val="24"/>
                <w:szCs w:val="24"/>
                <w:highlight w:val="none"/>
                <w:lang w:eastAsia="zh-CN"/>
              </w:rPr>
              <w:t>建设</w:t>
            </w:r>
            <w:r>
              <w:rPr>
                <w:rFonts w:hint="eastAsia" w:ascii="Times New Roman" w:hAnsi="Times New Roman" w:eastAsia="宋体" w:cs="Times New Roman"/>
                <w:color w:val="auto"/>
                <w:spacing w:val="0"/>
                <w:w w:val="100"/>
                <w:sz w:val="24"/>
                <w:szCs w:val="24"/>
                <w:highlight w:val="none"/>
                <w:lang w:val="en-US" w:eastAsia="zh-CN"/>
              </w:rPr>
              <w:t>JH2P42、长探105、JH2P44、良平101H井场</w:t>
            </w:r>
            <w:r>
              <w:rPr>
                <w:rFonts w:hint="eastAsia" w:ascii="Times New Roman" w:hAnsi="Times New Roman" w:eastAsia="宋体" w:cs="Times New Roman"/>
                <w:color w:val="auto"/>
                <w:spacing w:val="0"/>
                <w:w w:val="100"/>
                <w:sz w:val="24"/>
                <w:szCs w:val="24"/>
                <w:highlight w:val="none"/>
                <w:lang w:eastAsia="zh-CN"/>
              </w:rPr>
              <w:t>，目的在于勘测</w:t>
            </w:r>
            <w:r>
              <w:rPr>
                <w:rFonts w:hint="eastAsia" w:ascii="Times New Roman" w:hAnsi="Times New Roman" w:eastAsia="宋体" w:cs="Times New Roman"/>
                <w:color w:val="auto"/>
                <w:spacing w:val="0"/>
                <w:w w:val="100"/>
                <w:sz w:val="24"/>
                <w:szCs w:val="24"/>
                <w:highlight w:val="none"/>
                <w:lang w:val="en-US" w:eastAsia="zh-CN"/>
              </w:rPr>
              <w:t>项目</w:t>
            </w:r>
            <w:r>
              <w:rPr>
                <w:rFonts w:hint="eastAsia" w:ascii="Times New Roman" w:hAnsi="Times New Roman" w:eastAsia="宋体" w:cs="Times New Roman"/>
                <w:color w:val="auto"/>
                <w:spacing w:val="0"/>
                <w:w w:val="100"/>
                <w:sz w:val="24"/>
                <w:szCs w:val="24"/>
                <w:highlight w:val="none"/>
                <w:lang w:eastAsia="zh-CN"/>
              </w:rPr>
              <w:t>地下资源储藏情</w:t>
            </w:r>
            <w:r>
              <w:rPr>
                <w:rFonts w:hint="eastAsia" w:ascii="Times New Roman" w:hAnsi="Times New Roman" w:eastAsia="宋体" w:cs="Times New Roman"/>
                <w:color w:val="auto"/>
                <w:spacing w:val="0"/>
                <w:w w:val="100"/>
                <w:sz w:val="24"/>
                <w:szCs w:val="24"/>
                <w:highlight w:val="none"/>
                <w:lang w:val="en-US" w:eastAsia="zh-CN"/>
              </w:rPr>
              <w:t>况，通过完井测试评价油（气）藏情况，若测试具有工业产能，后期进行井场建设和采油（气）生产；若勘探未见石油（天然气）或石油（天然气）不具有工业开采价值，则进行弃井作业并进行生态恢复。</w:t>
            </w:r>
          </w:p>
          <w:p w14:paraId="7435D0E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FF0000"/>
                <w:spacing w:val="0"/>
                <w:w w:val="100"/>
                <w:sz w:val="24"/>
                <w:szCs w:val="24"/>
                <w:highlight w:val="none"/>
                <w:lang w:val="en-US" w:eastAsia="zh-CN"/>
              </w:rPr>
              <w:t>2024年4月</w:t>
            </w: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，中国石油化工股份有限公司华北油气分公司采油一厂委托甘肃卉昕朋环保科技有限公司编制完成了《华北油气分公司采油一厂宫河1H等11宗勘探井建设项目环境影响报告表》；</w:t>
            </w:r>
          </w:p>
          <w:p w14:paraId="0BAF0C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2024年5月8日，庆阳市生态环境局以庆环评表字〔2024〕22号对本项目的环境影响报告表做出批复。</w:t>
            </w:r>
          </w:p>
          <w:p w14:paraId="05F738AF">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cs="Times New Roman" w:eastAsiaTheme="minorEastAsia"/>
                <w:color w:val="auto"/>
                <w:spacing w:val="-2"/>
                <w:sz w:val="24"/>
              </w:rPr>
            </w:pPr>
            <w:r>
              <w:rPr>
                <w:rFonts w:hint="eastAsia" w:ascii="Times New Roman" w:hAnsi="Times New Roman" w:eastAsia="宋体" w:cs="Times New Roman"/>
                <w:color w:val="auto"/>
                <w:spacing w:val="0"/>
                <w:w w:val="100"/>
                <w:sz w:val="24"/>
                <w:szCs w:val="24"/>
                <w:highlight w:val="none"/>
                <w:lang w:val="en-US" w:eastAsia="zh-CN"/>
              </w:rPr>
              <w:t>《华北油气分公司采油一厂宫河1H等11宗勘探井建设项目》环境影响报告表中包括</w:t>
            </w:r>
            <w:r>
              <w:rPr>
                <w:rFonts w:hint="eastAsia" w:eastAsia="宋体" w:cs="Times New Roman"/>
                <w:color w:val="auto"/>
                <w:spacing w:val="0"/>
                <w:w w:val="100"/>
                <w:sz w:val="24"/>
                <w:szCs w:val="24"/>
                <w:highlight w:val="none"/>
                <w:lang w:val="en-US" w:eastAsia="zh-CN"/>
              </w:rPr>
              <w:t>11</w:t>
            </w:r>
            <w:r>
              <w:rPr>
                <w:rFonts w:hint="eastAsia" w:ascii="Times New Roman" w:hAnsi="Times New Roman" w:eastAsia="宋体" w:cs="Times New Roman"/>
                <w:color w:val="auto"/>
                <w:spacing w:val="0"/>
                <w:w w:val="100"/>
                <w:sz w:val="24"/>
                <w:szCs w:val="24"/>
                <w:highlight w:val="none"/>
                <w:lang w:val="en-US" w:eastAsia="zh-CN"/>
              </w:rPr>
              <w:t>座井场（</w:t>
            </w:r>
            <w:r>
              <w:rPr>
                <w:rFonts w:hint="eastAsia" w:ascii="Times New Roman" w:hAnsi="Times New Roman" w:eastAsia="宋体" w:cs="Times New Roman"/>
                <w:color w:val="auto"/>
                <w:sz w:val="24"/>
                <w:lang w:val="en-US" w:eastAsia="zh-CN"/>
              </w:rPr>
              <w:t>JH2P11、JH2P42、JH2P44、良平101H、</w:t>
            </w:r>
            <w:r>
              <w:rPr>
                <w:rFonts w:hint="eastAsia" w:cs="Times New Roman"/>
                <w:color w:val="auto"/>
                <w:sz w:val="24"/>
                <w:lang w:val="en-US" w:eastAsia="zh-CN"/>
              </w:rPr>
              <w:t>长探105</w:t>
            </w:r>
            <w:r>
              <w:rPr>
                <w:rFonts w:hint="eastAsia" w:ascii="Times New Roman" w:hAnsi="Times New Roman" w:eastAsia="宋体" w:cs="Times New Roman"/>
                <w:color w:val="auto"/>
                <w:sz w:val="24"/>
                <w:lang w:val="en-US" w:eastAsia="zh-CN"/>
              </w:rPr>
              <w:t>、</w:t>
            </w:r>
            <w:r>
              <w:rPr>
                <w:rFonts w:hint="eastAsia"/>
                <w:color w:val="auto"/>
                <w:sz w:val="24"/>
                <w:lang w:val="en-US" w:eastAsia="zh-CN"/>
              </w:rPr>
              <w:t>JH2P42</w:t>
            </w:r>
            <w:r>
              <w:rPr>
                <w:rFonts w:hint="eastAsia" w:ascii="Times New Roman"/>
                <w:color w:val="auto"/>
                <w:sz w:val="24"/>
                <w:lang w:val="en-US" w:eastAsia="zh-CN"/>
              </w:rPr>
              <w:t>、</w:t>
            </w:r>
            <w:r>
              <w:rPr>
                <w:rFonts w:hint="eastAsia" w:ascii="Times New Roman" w:hAnsi="Times New Roman" w:eastAsia="宋体" w:cs="Times New Roman"/>
                <w:color w:val="auto"/>
                <w:sz w:val="24"/>
                <w:lang w:val="en-US" w:eastAsia="zh-CN"/>
              </w:rPr>
              <w:t>宫河1H、宫河101H、长探105、长探106、彬6</w:t>
            </w:r>
            <w:r>
              <w:rPr>
                <w:rFonts w:hint="eastAsia" w:ascii="Times New Roman" w:hAnsi="Times New Roman" w:eastAsia="宋体" w:cs="Times New Roman"/>
                <w:color w:val="auto"/>
                <w:spacing w:val="0"/>
                <w:w w:val="100"/>
                <w:sz w:val="24"/>
                <w:szCs w:val="24"/>
                <w:highlight w:val="none"/>
                <w:lang w:val="en-US" w:eastAsia="zh-CN"/>
              </w:rPr>
              <w:t>），</w:t>
            </w:r>
            <w:r>
              <w:rPr>
                <w:rFonts w:hint="eastAsia" w:cs="Times New Roman"/>
                <w:color w:val="auto"/>
                <w:spacing w:val="0"/>
                <w:w w:val="100"/>
                <w:sz w:val="24"/>
                <w:szCs w:val="24"/>
                <w:highlight w:val="none"/>
                <w:lang w:val="en-US" w:eastAsia="zh-CN"/>
              </w:rPr>
              <w:t>其中，</w:t>
            </w:r>
            <w:r>
              <w:rPr>
                <w:rFonts w:hint="eastAsia" w:ascii="Times New Roman" w:hAnsi="Times New Roman" w:eastAsia="宋体" w:cs="Times New Roman"/>
                <w:color w:val="auto"/>
                <w:spacing w:val="0"/>
                <w:w w:val="100"/>
                <w:sz w:val="24"/>
                <w:szCs w:val="24"/>
                <w:highlight w:val="none"/>
                <w:lang w:val="en-US" w:eastAsia="zh-CN"/>
              </w:rPr>
              <w:t>JH2P42、长探105、JH2P44、良平101H</w:t>
            </w:r>
            <w:r>
              <w:rPr>
                <w:rFonts w:hint="eastAsia" w:ascii="Times New Roman" w:hAnsi="Times New Roman" w:eastAsia="宋体" w:cs="Times New Roman"/>
                <w:color w:val="auto"/>
                <w:sz w:val="24"/>
                <w:lang w:val="en-US" w:eastAsia="zh-CN"/>
              </w:rPr>
              <w:t>属于该项目内容</w:t>
            </w:r>
            <w:r>
              <w:rPr>
                <w:rFonts w:hint="eastAsia" w:cs="Times New Roman"/>
                <w:color w:val="auto"/>
                <w:sz w:val="24"/>
                <w:szCs w:val="24"/>
                <w:lang w:val="en-US" w:eastAsia="zh-CN"/>
              </w:rPr>
              <w:t>。</w:t>
            </w:r>
            <w:r>
              <w:rPr>
                <w:rFonts w:hint="eastAsia" w:ascii="Times New Roman" w:hAnsi="Times New Roman" w:eastAsia="宋体" w:cs="Times New Roman"/>
                <w:color w:val="auto"/>
                <w:spacing w:val="0"/>
                <w:w w:val="100"/>
                <w:sz w:val="24"/>
                <w:szCs w:val="24"/>
                <w:highlight w:val="none"/>
                <w:lang w:val="en-US" w:eastAsia="zh-CN"/>
              </w:rPr>
              <w:t>本次验收只针对JH2P42、长探105、JH2P44、良平101H</w:t>
            </w:r>
            <w:r>
              <w:rPr>
                <w:rFonts w:hint="eastAsia" w:ascii="Times New Roman" w:hAnsi="Times New Roman" w:cs="Times New Roman" w:eastAsiaTheme="minorEastAsia"/>
                <w:color w:val="auto"/>
                <w:spacing w:val="-2"/>
                <w:sz w:val="24"/>
                <w:lang w:val="en-US" w:eastAsia="zh-CN"/>
              </w:rPr>
              <w:t>进行</w:t>
            </w:r>
            <w:r>
              <w:rPr>
                <w:rFonts w:hint="default" w:ascii="Times New Roman" w:hAnsi="Times New Roman" w:cs="Times New Roman" w:eastAsiaTheme="minorEastAsia"/>
                <w:color w:val="auto"/>
                <w:spacing w:val="-2"/>
                <w:sz w:val="24"/>
                <w:lang w:val="en-US" w:eastAsia="zh-CN"/>
              </w:rPr>
              <w:t>，验收为阶段性验收。</w:t>
            </w:r>
          </w:p>
          <w:p w14:paraId="5B120C2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本项目涉及井场钻探、试油（气）情况见下表：</w:t>
            </w:r>
          </w:p>
          <w:tbl>
            <w:tblPr>
              <w:tblStyle w:val="25"/>
              <w:tblW w:w="4996"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12"/>
              <w:gridCol w:w="1354"/>
              <w:gridCol w:w="1182"/>
              <w:gridCol w:w="1300"/>
              <w:gridCol w:w="1308"/>
            </w:tblGrid>
            <w:tr w14:paraId="618F5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6" w:type="pct"/>
                  <w:noWrap w:val="0"/>
                  <w:vAlign w:val="center"/>
                </w:tcPr>
                <w:p w14:paraId="43BAF6B0">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1048" w:type="pct"/>
                  <w:noWrap w:val="0"/>
                  <w:vAlign w:val="center"/>
                </w:tcPr>
                <w:p w14:paraId="463B4850">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开钻时间</w:t>
                  </w:r>
                </w:p>
              </w:tc>
              <w:tc>
                <w:tcPr>
                  <w:tcW w:w="915" w:type="pct"/>
                  <w:noWrap w:val="0"/>
                  <w:vAlign w:val="center"/>
                </w:tcPr>
                <w:p w14:paraId="6E33FDCC">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完钻时间</w:t>
                  </w:r>
                </w:p>
              </w:tc>
              <w:tc>
                <w:tcPr>
                  <w:tcW w:w="1006" w:type="pct"/>
                  <w:noWrap w:val="0"/>
                  <w:vAlign w:val="center"/>
                </w:tcPr>
                <w:p w14:paraId="1861F081">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试油（气）开始时间</w:t>
                  </w:r>
                </w:p>
              </w:tc>
              <w:tc>
                <w:tcPr>
                  <w:tcW w:w="1012" w:type="pct"/>
                  <w:noWrap w:val="0"/>
                  <w:vAlign w:val="center"/>
                </w:tcPr>
                <w:p w14:paraId="0333457C">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试油（气）结束时间</w:t>
                  </w:r>
                </w:p>
              </w:tc>
            </w:tr>
            <w:tr w14:paraId="2B9AD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6" w:type="pct"/>
                  <w:shd w:val="clear" w:color="auto" w:fill="auto"/>
                  <w:noWrap w:val="0"/>
                  <w:vAlign w:val="center"/>
                </w:tcPr>
                <w:p w14:paraId="3BEE7E6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JH2P42</w:t>
                  </w:r>
                </w:p>
              </w:tc>
              <w:tc>
                <w:tcPr>
                  <w:tcW w:w="1048" w:type="pct"/>
                  <w:shd w:val="clear" w:color="auto" w:fill="auto"/>
                  <w:noWrap w:val="0"/>
                  <w:vAlign w:val="center"/>
                </w:tcPr>
                <w:p w14:paraId="6B32E5F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2024-08-09</w:t>
                  </w:r>
                </w:p>
              </w:tc>
              <w:tc>
                <w:tcPr>
                  <w:tcW w:w="915" w:type="pct"/>
                  <w:shd w:val="clear" w:color="auto" w:fill="auto"/>
                  <w:noWrap w:val="0"/>
                  <w:vAlign w:val="center"/>
                </w:tcPr>
                <w:p w14:paraId="07BBBD6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2024-09-07</w:t>
                  </w:r>
                </w:p>
              </w:tc>
              <w:tc>
                <w:tcPr>
                  <w:tcW w:w="1006" w:type="pct"/>
                  <w:shd w:val="clear" w:color="auto" w:fill="auto"/>
                  <w:noWrap w:val="0"/>
                  <w:vAlign w:val="center"/>
                </w:tcPr>
                <w:p w14:paraId="2957D53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2024-11-04</w:t>
                  </w:r>
                </w:p>
              </w:tc>
              <w:tc>
                <w:tcPr>
                  <w:tcW w:w="1012" w:type="pct"/>
                  <w:shd w:val="clear" w:color="auto" w:fill="auto"/>
                  <w:noWrap w:val="0"/>
                  <w:vAlign w:val="center"/>
                </w:tcPr>
                <w:p w14:paraId="1823F2E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2024-12-02</w:t>
                  </w:r>
                </w:p>
              </w:tc>
            </w:tr>
            <w:tr w14:paraId="617C7F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6" w:type="pct"/>
                  <w:shd w:val="clear" w:color="auto" w:fill="auto"/>
                  <w:noWrap w:val="0"/>
                  <w:vAlign w:val="center"/>
                </w:tcPr>
                <w:p w14:paraId="67211A5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长探105</w:t>
                  </w:r>
                </w:p>
              </w:tc>
              <w:tc>
                <w:tcPr>
                  <w:tcW w:w="1048" w:type="pct"/>
                  <w:shd w:val="clear" w:color="auto" w:fill="auto"/>
                  <w:noWrap w:val="0"/>
                  <w:vAlign w:val="center"/>
                </w:tcPr>
                <w:p w14:paraId="33E8CFD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2024</w:t>
                  </w:r>
                  <w:r>
                    <w:rPr>
                      <w:rFonts w:hint="eastAsia" w:ascii="Times New Roman" w:hAnsi="Times New Roman" w:eastAsia="宋体" w:cs="Times New Roman"/>
                      <w:color w:val="auto"/>
                      <w:spacing w:val="0"/>
                      <w:w w:val="100"/>
                      <w:sz w:val="21"/>
                      <w:szCs w:val="21"/>
                      <w:highlight w:val="none"/>
                      <w:lang w:val="en-US" w:eastAsia="zh-CN" w:bidi="ar-SA"/>
                    </w:rPr>
                    <w:t>-</w:t>
                  </w:r>
                  <w:r>
                    <w:rPr>
                      <w:rFonts w:hint="default" w:ascii="Times New Roman" w:hAnsi="Times New Roman" w:eastAsia="宋体" w:cs="Times New Roman"/>
                      <w:color w:val="auto"/>
                      <w:spacing w:val="0"/>
                      <w:w w:val="100"/>
                      <w:sz w:val="21"/>
                      <w:szCs w:val="21"/>
                      <w:highlight w:val="none"/>
                      <w:lang w:val="en-US" w:eastAsia="zh-CN" w:bidi="ar-SA"/>
                    </w:rPr>
                    <w:t>08</w:t>
                  </w:r>
                  <w:r>
                    <w:rPr>
                      <w:rFonts w:hint="eastAsia" w:ascii="Times New Roman" w:hAnsi="Times New Roman" w:eastAsia="宋体" w:cs="Times New Roman"/>
                      <w:color w:val="auto"/>
                      <w:spacing w:val="0"/>
                      <w:w w:val="100"/>
                      <w:sz w:val="21"/>
                      <w:szCs w:val="21"/>
                      <w:highlight w:val="none"/>
                      <w:lang w:val="en-US" w:eastAsia="zh-CN" w:bidi="ar-SA"/>
                    </w:rPr>
                    <w:t>-</w:t>
                  </w:r>
                  <w:r>
                    <w:rPr>
                      <w:rFonts w:hint="default" w:ascii="Times New Roman" w:hAnsi="Times New Roman" w:eastAsia="宋体" w:cs="Times New Roman"/>
                      <w:color w:val="auto"/>
                      <w:spacing w:val="0"/>
                      <w:w w:val="100"/>
                      <w:sz w:val="21"/>
                      <w:szCs w:val="21"/>
                      <w:highlight w:val="none"/>
                      <w:lang w:val="en-US" w:eastAsia="zh-CN" w:bidi="ar-SA"/>
                    </w:rPr>
                    <w:t>31</w:t>
                  </w:r>
                </w:p>
              </w:tc>
              <w:tc>
                <w:tcPr>
                  <w:tcW w:w="915" w:type="pct"/>
                  <w:shd w:val="clear" w:color="auto" w:fill="auto"/>
                  <w:noWrap w:val="0"/>
                  <w:vAlign w:val="center"/>
                </w:tcPr>
                <w:p w14:paraId="6D0E59C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2024-10-09</w:t>
                  </w:r>
                </w:p>
              </w:tc>
              <w:tc>
                <w:tcPr>
                  <w:tcW w:w="1006" w:type="pct"/>
                  <w:shd w:val="clear" w:color="auto" w:fill="auto"/>
                  <w:noWrap w:val="0"/>
                  <w:vAlign w:val="center"/>
                </w:tcPr>
                <w:p w14:paraId="674D33E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2024-11-18</w:t>
                  </w:r>
                </w:p>
              </w:tc>
              <w:tc>
                <w:tcPr>
                  <w:tcW w:w="1012" w:type="pct"/>
                  <w:shd w:val="clear" w:color="auto" w:fill="auto"/>
                  <w:noWrap w:val="0"/>
                  <w:vAlign w:val="center"/>
                </w:tcPr>
                <w:p w14:paraId="588EB3A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2025-02-22</w:t>
                  </w:r>
                </w:p>
              </w:tc>
            </w:tr>
            <w:tr w14:paraId="1AF082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7CE04E9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JH2P44</w:t>
                  </w:r>
                </w:p>
              </w:tc>
              <w:tc>
                <w:tcPr>
                  <w:tcW w:w="0" w:type="auto"/>
                  <w:shd w:val="clear" w:color="auto" w:fill="auto"/>
                  <w:vAlign w:val="center"/>
                </w:tcPr>
                <w:p w14:paraId="6818214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2024</w:t>
                  </w:r>
                  <w:r>
                    <w:rPr>
                      <w:rFonts w:hint="eastAsia" w:ascii="Times New Roman" w:hAnsi="Times New Roman" w:eastAsia="宋体" w:cs="Times New Roman"/>
                      <w:color w:val="auto"/>
                      <w:spacing w:val="0"/>
                      <w:w w:val="100"/>
                      <w:sz w:val="21"/>
                      <w:szCs w:val="21"/>
                      <w:highlight w:val="none"/>
                      <w:lang w:val="en-US" w:eastAsia="zh-CN" w:bidi="ar-SA"/>
                    </w:rPr>
                    <w:t>-</w:t>
                  </w:r>
                  <w:r>
                    <w:rPr>
                      <w:rFonts w:hint="default" w:ascii="Times New Roman" w:hAnsi="Times New Roman" w:eastAsia="宋体" w:cs="Times New Roman"/>
                      <w:color w:val="auto"/>
                      <w:spacing w:val="0"/>
                      <w:w w:val="100"/>
                      <w:sz w:val="21"/>
                      <w:szCs w:val="21"/>
                      <w:highlight w:val="none"/>
                      <w:lang w:val="en-US" w:eastAsia="zh-CN" w:bidi="ar-SA"/>
                    </w:rPr>
                    <w:t>06</w:t>
                  </w:r>
                  <w:r>
                    <w:rPr>
                      <w:rFonts w:hint="eastAsia" w:ascii="Times New Roman" w:hAnsi="Times New Roman" w:eastAsia="宋体" w:cs="Times New Roman"/>
                      <w:color w:val="auto"/>
                      <w:spacing w:val="0"/>
                      <w:w w:val="100"/>
                      <w:sz w:val="21"/>
                      <w:szCs w:val="21"/>
                      <w:highlight w:val="none"/>
                      <w:lang w:val="en-US" w:eastAsia="zh-CN" w:bidi="ar-SA"/>
                    </w:rPr>
                    <w:t>-</w:t>
                  </w:r>
                  <w:r>
                    <w:rPr>
                      <w:rFonts w:hint="default" w:ascii="Times New Roman" w:hAnsi="Times New Roman" w:eastAsia="宋体" w:cs="Times New Roman"/>
                      <w:color w:val="auto"/>
                      <w:spacing w:val="0"/>
                      <w:w w:val="100"/>
                      <w:sz w:val="21"/>
                      <w:szCs w:val="21"/>
                      <w:highlight w:val="none"/>
                      <w:lang w:val="en-US" w:eastAsia="zh-CN" w:bidi="ar-SA"/>
                    </w:rPr>
                    <w:t>2</w:t>
                  </w:r>
                  <w:r>
                    <w:rPr>
                      <w:rFonts w:hint="eastAsia" w:ascii="Times New Roman" w:hAnsi="Times New Roman" w:eastAsia="宋体" w:cs="Times New Roman"/>
                      <w:color w:val="auto"/>
                      <w:spacing w:val="0"/>
                      <w:w w:val="100"/>
                      <w:sz w:val="21"/>
                      <w:szCs w:val="21"/>
                      <w:highlight w:val="none"/>
                      <w:lang w:val="en-US" w:eastAsia="zh-CN" w:bidi="ar-SA"/>
                    </w:rPr>
                    <w:t>7</w:t>
                  </w:r>
                </w:p>
              </w:tc>
              <w:tc>
                <w:tcPr>
                  <w:tcW w:w="915" w:type="pct"/>
                  <w:shd w:val="clear" w:color="auto" w:fill="auto"/>
                  <w:vAlign w:val="center"/>
                </w:tcPr>
                <w:p w14:paraId="4C4792F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2024-07-08</w:t>
                  </w:r>
                </w:p>
              </w:tc>
              <w:tc>
                <w:tcPr>
                  <w:tcW w:w="1299" w:type="dxa"/>
                  <w:vAlign w:val="center"/>
                </w:tcPr>
                <w:p w14:paraId="4049C05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FF0000"/>
                      <w:spacing w:val="0"/>
                      <w:w w:val="100"/>
                      <w:sz w:val="21"/>
                      <w:szCs w:val="21"/>
                      <w:highlight w:val="none"/>
                      <w:lang w:val="en-US" w:eastAsia="zh-CN" w:bidi="ar-SA"/>
                    </w:rPr>
                  </w:pPr>
                  <w:r>
                    <w:rPr>
                      <w:rFonts w:hint="eastAsia" w:ascii="Times New Roman" w:hAnsi="Times New Roman" w:eastAsia="宋体" w:cs="Times New Roman"/>
                      <w:color w:val="FF0000"/>
                      <w:spacing w:val="0"/>
                      <w:w w:val="100"/>
                      <w:sz w:val="21"/>
                      <w:szCs w:val="21"/>
                      <w:highlight w:val="none"/>
                      <w:lang w:val="en-US" w:eastAsia="zh-CN" w:bidi="ar-SA"/>
                    </w:rPr>
                    <w:t>2025-1-13</w:t>
                  </w:r>
                </w:p>
              </w:tc>
              <w:tc>
                <w:tcPr>
                  <w:tcW w:w="1307" w:type="dxa"/>
                  <w:shd w:val="clear" w:color="auto" w:fill="auto"/>
                  <w:vAlign w:val="center"/>
                </w:tcPr>
                <w:p w14:paraId="13A355E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FF0000"/>
                      <w:spacing w:val="0"/>
                      <w:w w:val="100"/>
                      <w:sz w:val="21"/>
                      <w:szCs w:val="21"/>
                      <w:highlight w:val="none"/>
                      <w:lang w:val="en-US" w:eastAsia="zh-CN" w:bidi="ar-SA"/>
                    </w:rPr>
                  </w:pPr>
                  <w:r>
                    <w:rPr>
                      <w:rFonts w:hint="eastAsia" w:ascii="Times New Roman" w:hAnsi="Times New Roman" w:eastAsia="宋体" w:cs="Times New Roman"/>
                      <w:color w:val="FF0000"/>
                      <w:spacing w:val="0"/>
                      <w:w w:val="100"/>
                      <w:sz w:val="21"/>
                      <w:szCs w:val="21"/>
                      <w:highlight w:val="none"/>
                      <w:lang w:val="en-US" w:eastAsia="zh-CN" w:bidi="ar-SA"/>
                    </w:rPr>
                    <w:t>2025-2-20</w:t>
                  </w:r>
                </w:p>
              </w:tc>
            </w:tr>
            <w:tr w14:paraId="222F8B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490B448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良平101H</w:t>
                  </w:r>
                </w:p>
              </w:tc>
              <w:tc>
                <w:tcPr>
                  <w:tcW w:w="0" w:type="auto"/>
                  <w:shd w:val="clear" w:color="auto" w:fill="auto"/>
                  <w:vAlign w:val="center"/>
                </w:tcPr>
                <w:p w14:paraId="750481F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2024</w:t>
                  </w:r>
                  <w:r>
                    <w:rPr>
                      <w:rFonts w:hint="eastAsia" w:ascii="Times New Roman" w:hAnsi="Times New Roman" w:eastAsia="宋体" w:cs="Times New Roman"/>
                      <w:color w:val="auto"/>
                      <w:spacing w:val="0"/>
                      <w:w w:val="100"/>
                      <w:sz w:val="21"/>
                      <w:szCs w:val="21"/>
                      <w:highlight w:val="none"/>
                      <w:lang w:val="en-US" w:eastAsia="zh-CN" w:bidi="ar-SA"/>
                    </w:rPr>
                    <w:t>-</w:t>
                  </w:r>
                  <w:r>
                    <w:rPr>
                      <w:rFonts w:hint="default" w:ascii="Times New Roman" w:hAnsi="Times New Roman" w:eastAsia="宋体" w:cs="Times New Roman"/>
                      <w:color w:val="auto"/>
                      <w:spacing w:val="0"/>
                      <w:w w:val="100"/>
                      <w:sz w:val="21"/>
                      <w:szCs w:val="21"/>
                      <w:highlight w:val="none"/>
                      <w:lang w:val="en-US" w:eastAsia="zh-CN" w:bidi="ar-SA"/>
                    </w:rPr>
                    <w:t>06</w:t>
                  </w:r>
                  <w:r>
                    <w:rPr>
                      <w:rFonts w:hint="eastAsia" w:ascii="Times New Roman" w:hAnsi="Times New Roman" w:eastAsia="宋体" w:cs="Times New Roman"/>
                      <w:color w:val="auto"/>
                      <w:spacing w:val="0"/>
                      <w:w w:val="100"/>
                      <w:sz w:val="21"/>
                      <w:szCs w:val="21"/>
                      <w:highlight w:val="none"/>
                      <w:lang w:val="en-US" w:eastAsia="zh-CN" w:bidi="ar-SA"/>
                    </w:rPr>
                    <w:t>-</w:t>
                  </w:r>
                  <w:r>
                    <w:rPr>
                      <w:rFonts w:hint="default" w:ascii="Times New Roman" w:hAnsi="Times New Roman" w:eastAsia="宋体" w:cs="Times New Roman"/>
                      <w:color w:val="auto"/>
                      <w:spacing w:val="0"/>
                      <w:w w:val="100"/>
                      <w:sz w:val="21"/>
                      <w:szCs w:val="21"/>
                      <w:highlight w:val="none"/>
                      <w:lang w:val="en-US" w:eastAsia="zh-CN" w:bidi="ar-SA"/>
                    </w:rPr>
                    <w:t>2</w:t>
                  </w:r>
                  <w:r>
                    <w:rPr>
                      <w:rFonts w:hint="eastAsia" w:ascii="Times New Roman" w:hAnsi="Times New Roman" w:eastAsia="宋体" w:cs="Times New Roman"/>
                      <w:color w:val="auto"/>
                      <w:spacing w:val="0"/>
                      <w:w w:val="100"/>
                      <w:sz w:val="21"/>
                      <w:szCs w:val="21"/>
                      <w:highlight w:val="none"/>
                      <w:lang w:val="en-US" w:eastAsia="zh-CN" w:bidi="ar-SA"/>
                    </w:rPr>
                    <w:t>0</w:t>
                  </w:r>
                </w:p>
              </w:tc>
              <w:tc>
                <w:tcPr>
                  <w:tcW w:w="915" w:type="pct"/>
                  <w:shd w:val="clear" w:color="auto" w:fill="auto"/>
                  <w:vAlign w:val="center"/>
                </w:tcPr>
                <w:p w14:paraId="1B20302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2024-07-08</w:t>
                  </w:r>
                </w:p>
              </w:tc>
              <w:tc>
                <w:tcPr>
                  <w:tcW w:w="0" w:type="auto"/>
                  <w:vAlign w:val="center"/>
                </w:tcPr>
                <w:p w14:paraId="2344D97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2024-08-22</w:t>
                  </w:r>
                </w:p>
              </w:tc>
              <w:tc>
                <w:tcPr>
                  <w:tcW w:w="0" w:type="auto"/>
                  <w:shd w:val="clear" w:color="auto" w:fill="auto"/>
                  <w:vAlign w:val="center"/>
                </w:tcPr>
                <w:p w14:paraId="5C93B13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2024-09-26</w:t>
                  </w:r>
                </w:p>
              </w:tc>
            </w:tr>
          </w:tbl>
          <w:p w14:paraId="066CE954">
            <w:pPr>
              <w:pStyle w:val="3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2025年2月23日，中国石油化工股份有限公司华北油气分公司采油一厂委托甘肃卉昕朋环保科技有限公司对该项目进行竣工环境保护验收调查工作，根据现场踏勘情况，JH2P42、JH2P44、良平101H井场有经济利用价值，临时关井，待转产，临时占地现已恢复平整并                                                                                                                                                                                                                                                                                                                                                                                                                                          进行了植被恢复。长探105不有经济利用价值，已永久封井，现已恢复平整并进行了植被恢复。</w:t>
            </w:r>
            <w:r>
              <w:rPr>
                <w:rFonts w:hint="default" w:ascii="Times New Roman" w:hAnsi="Times New Roman" w:eastAsia="宋体" w:cs="Times New Roman"/>
                <w:color w:val="auto"/>
                <w:spacing w:val="0"/>
                <w:w w:val="100"/>
                <w:sz w:val="24"/>
                <w:szCs w:val="24"/>
                <w:highlight w:val="none"/>
                <w:lang w:val="en-US" w:eastAsia="zh-CN"/>
              </w:rPr>
              <w:t>具备验收、调查条件</w:t>
            </w:r>
            <w:r>
              <w:rPr>
                <w:rFonts w:hint="eastAsia" w:ascii="Times New Roman" w:hAnsi="Times New Roman" w:eastAsia="宋体" w:cs="Times New Roman"/>
                <w:color w:val="auto"/>
                <w:spacing w:val="0"/>
                <w:w w:val="100"/>
                <w:sz w:val="24"/>
                <w:szCs w:val="24"/>
                <w:highlight w:val="none"/>
                <w:lang w:val="en-US" w:eastAsia="zh-CN"/>
              </w:rPr>
              <w:t>。</w:t>
            </w:r>
          </w:p>
          <w:p w14:paraId="0C0B32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default" w:ascii="Times New Roman" w:hAnsi="Times New Roman" w:eastAsia="宋体" w:cs="Times New Roman"/>
                <w:color w:val="auto"/>
                <w:spacing w:val="0"/>
                <w:w w:val="100"/>
                <w:sz w:val="21"/>
                <w:szCs w:val="21"/>
                <w:highlight w:val="none"/>
              </w:rPr>
            </w:pPr>
            <w:r>
              <w:rPr>
                <w:rFonts w:hint="eastAsia" w:ascii="Times New Roman" w:hAnsi="Times New Roman" w:eastAsia="宋体" w:cs="Times New Roman"/>
                <w:color w:val="auto"/>
                <w:spacing w:val="0"/>
                <w:w w:val="100"/>
                <w:sz w:val="24"/>
                <w:szCs w:val="24"/>
                <w:highlight w:val="none"/>
                <w:lang w:val="en-US" w:eastAsia="zh-CN"/>
              </w:rPr>
              <w:t>2025年3月10日，甘肃卉昕朋环保科技有限公司</w:t>
            </w:r>
            <w:r>
              <w:rPr>
                <w:rFonts w:hint="eastAsia" w:ascii="Times New Roman" w:hAnsi="Times New Roman" w:eastAsia="宋体" w:cs="Times New Roman"/>
                <w:b w:val="0"/>
                <w:color w:val="auto"/>
                <w:spacing w:val="0"/>
                <w:w w:val="100"/>
                <w:sz w:val="24"/>
                <w:szCs w:val="24"/>
                <w:highlight w:val="none"/>
                <w:lang w:val="en-US" w:eastAsia="zh-CN" w:bidi="ar-SA"/>
              </w:rPr>
              <w:t>对该项目所在区域的环境影响状况进行了实地调查，对区域内主要的环境敏感点、生态恢复状况、水土保持情况等进行了重点调查；并对施工期废水、固废收集处理情况进行了调查，对井场内、外土壤环境进行了调查与监测。在此基础上</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编写完成了《</w:t>
            </w:r>
            <w:r>
              <w:rPr>
                <w:rFonts w:hint="eastAsia" w:ascii="Times New Roman" w:hAnsi="Times New Roman" w:eastAsia="宋体" w:cs="Times New Roman"/>
                <w:color w:val="auto"/>
                <w:spacing w:val="0"/>
                <w:w w:val="100"/>
                <w:sz w:val="24"/>
                <w:szCs w:val="24"/>
                <w:highlight w:val="none"/>
                <w:lang w:val="en-US" w:eastAsia="zh-CN"/>
              </w:rPr>
              <w:t>华北油气分公司采油一厂宫河1H等11宗勘探井建设项目（JH2P42、长探105、JH2P44、良平101H）</w:t>
            </w:r>
            <w:r>
              <w:rPr>
                <w:rFonts w:hint="eastAsia" w:ascii="Times New Roman" w:hAnsi="Times New Roman" w:eastAsia="宋体" w:cs="Times New Roman"/>
                <w:color w:val="auto"/>
                <w:spacing w:val="0"/>
                <w:w w:val="100"/>
                <w:sz w:val="24"/>
                <w:szCs w:val="24"/>
                <w:highlight w:val="none"/>
                <w:lang w:eastAsia="zh-CN"/>
              </w:rPr>
              <w:t>竣工环境保护验收调查表</w:t>
            </w: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eastAsia="宋体" w:cs="Times New Roman"/>
                <w:color w:val="auto"/>
                <w:spacing w:val="0"/>
                <w:w w:val="100"/>
                <w:sz w:val="24"/>
                <w:szCs w:val="24"/>
                <w:highlight w:val="none"/>
                <w:lang w:val="en-US" w:eastAsia="zh-CN"/>
              </w:rPr>
              <w:t>。</w:t>
            </w:r>
          </w:p>
        </w:tc>
      </w:tr>
      <w:tr w14:paraId="150803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71" w:type="pct"/>
            <w:noWrap w:val="0"/>
            <w:vAlign w:val="center"/>
          </w:tcPr>
          <w:p w14:paraId="57A642E4">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highlight w:val="none"/>
              </w:rPr>
            </w:pPr>
            <w:r>
              <w:rPr>
                <w:rFonts w:hint="eastAsia" w:cs="Times New Roman"/>
                <w:b/>
                <w:bCs/>
                <w:color w:val="auto"/>
                <w:spacing w:val="0"/>
                <w:w w:val="100"/>
                <w:kern w:val="0"/>
                <w:sz w:val="24"/>
                <w:highlight w:val="none"/>
                <w:lang w:val="en-US" w:eastAsia="zh-CN"/>
              </w:rPr>
              <w:t>调查依据</w:t>
            </w:r>
          </w:p>
        </w:tc>
        <w:tc>
          <w:tcPr>
            <w:tcW w:w="3928" w:type="pct"/>
            <w:gridSpan w:val="12"/>
            <w:noWrap w:val="0"/>
            <w:vAlign w:val="center"/>
          </w:tcPr>
          <w:p w14:paraId="15E4A8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）《中华人民共和国环境保护法》，</w:t>
            </w:r>
            <w:r>
              <w:rPr>
                <w:rFonts w:hint="default" w:ascii="Times New Roman" w:hAnsi="Times New Roman" w:eastAsia="宋体" w:cs="Times New Roman"/>
                <w:color w:val="auto"/>
                <w:kern w:val="0"/>
                <w:sz w:val="24"/>
                <w:szCs w:val="24"/>
                <w:lang w:val="en-US" w:eastAsia="zh-CN" w:bidi="ar"/>
              </w:rPr>
              <w:t>2015</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 xml:space="preserve">日； </w:t>
            </w:r>
          </w:p>
          <w:p w14:paraId="51E4D4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2</w:t>
            </w:r>
            <w:r>
              <w:rPr>
                <w:rFonts w:hint="eastAsia" w:ascii="宋体" w:hAnsi="宋体" w:eastAsia="宋体" w:cs="宋体"/>
                <w:color w:val="auto"/>
                <w:kern w:val="0"/>
                <w:sz w:val="24"/>
                <w:szCs w:val="24"/>
                <w:lang w:val="en-US" w:eastAsia="zh-CN" w:bidi="ar"/>
              </w:rPr>
              <w:t>）《中华人民共和国环境影响评价法》，</w:t>
            </w:r>
            <w:r>
              <w:rPr>
                <w:rFonts w:hint="default" w:ascii="Times New Roman" w:hAnsi="Times New Roman" w:eastAsia="宋体" w:cs="Times New Roman"/>
                <w:color w:val="auto"/>
                <w:kern w:val="0"/>
                <w:sz w:val="24"/>
                <w:szCs w:val="24"/>
                <w:lang w:val="en-US" w:eastAsia="zh-CN" w:bidi="ar"/>
              </w:rPr>
              <w:t>2018</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12</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29</w:t>
            </w:r>
            <w:r>
              <w:rPr>
                <w:rFonts w:hint="eastAsia" w:ascii="宋体" w:hAnsi="宋体" w:eastAsia="宋体" w:cs="宋体"/>
                <w:color w:val="auto"/>
                <w:kern w:val="0"/>
                <w:sz w:val="24"/>
                <w:szCs w:val="24"/>
                <w:lang w:val="en-US" w:eastAsia="zh-CN" w:bidi="ar"/>
              </w:rPr>
              <w:t xml:space="preserve">日； </w:t>
            </w:r>
          </w:p>
          <w:p w14:paraId="10BB46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3</w:t>
            </w:r>
            <w:r>
              <w:rPr>
                <w:rFonts w:hint="eastAsia" w:ascii="宋体" w:hAnsi="宋体" w:eastAsia="宋体" w:cs="宋体"/>
                <w:color w:val="auto"/>
                <w:kern w:val="0"/>
                <w:sz w:val="24"/>
                <w:szCs w:val="24"/>
                <w:lang w:val="en-US" w:eastAsia="zh-CN" w:bidi="ar"/>
              </w:rPr>
              <w:t>）《中华人民共和国大气污染防治法》，</w:t>
            </w:r>
            <w:r>
              <w:rPr>
                <w:rFonts w:hint="default" w:ascii="Times New Roman" w:hAnsi="Times New Roman" w:eastAsia="宋体" w:cs="Times New Roman"/>
                <w:color w:val="auto"/>
                <w:kern w:val="0"/>
                <w:sz w:val="24"/>
                <w:szCs w:val="24"/>
                <w:lang w:val="en-US" w:eastAsia="zh-CN" w:bidi="ar"/>
              </w:rPr>
              <w:t>2018</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10</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26</w:t>
            </w:r>
            <w:r>
              <w:rPr>
                <w:rFonts w:hint="eastAsia" w:ascii="宋体" w:hAnsi="宋体" w:eastAsia="宋体" w:cs="宋体"/>
                <w:color w:val="auto"/>
                <w:kern w:val="0"/>
                <w:sz w:val="24"/>
                <w:szCs w:val="24"/>
                <w:lang w:val="en-US" w:eastAsia="zh-CN" w:bidi="ar"/>
              </w:rPr>
              <w:t xml:space="preserve">日； </w:t>
            </w:r>
          </w:p>
          <w:p w14:paraId="4EBC65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4</w:t>
            </w:r>
            <w:r>
              <w:rPr>
                <w:rFonts w:hint="eastAsia" w:ascii="宋体" w:hAnsi="宋体" w:eastAsia="宋体" w:cs="宋体"/>
                <w:color w:val="auto"/>
                <w:kern w:val="0"/>
                <w:sz w:val="24"/>
                <w:szCs w:val="24"/>
                <w:lang w:val="en-US" w:eastAsia="zh-CN" w:bidi="ar"/>
              </w:rPr>
              <w:t>）《中华人民共和国水污染防治法》，</w:t>
            </w:r>
            <w:r>
              <w:rPr>
                <w:rFonts w:hint="default" w:ascii="Times New Roman" w:hAnsi="Times New Roman" w:eastAsia="宋体" w:cs="Times New Roman"/>
                <w:color w:val="auto"/>
                <w:kern w:val="0"/>
                <w:sz w:val="24"/>
                <w:szCs w:val="24"/>
                <w:lang w:val="en-US" w:eastAsia="zh-CN" w:bidi="ar"/>
              </w:rPr>
              <w:t>2018</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 xml:space="preserve">日； </w:t>
            </w:r>
          </w:p>
          <w:p w14:paraId="14FA3A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5</w:t>
            </w:r>
            <w:r>
              <w:rPr>
                <w:rFonts w:hint="eastAsia" w:ascii="宋体" w:hAnsi="宋体" w:eastAsia="宋体" w:cs="宋体"/>
                <w:color w:val="auto"/>
                <w:kern w:val="0"/>
                <w:sz w:val="24"/>
                <w:szCs w:val="24"/>
                <w:lang w:val="en-US" w:eastAsia="zh-CN" w:bidi="ar"/>
              </w:rPr>
              <w:t>）《中华人民共和国噪声污染防治法》，</w:t>
            </w:r>
            <w:r>
              <w:rPr>
                <w:rFonts w:hint="default" w:ascii="Times New Roman" w:hAnsi="Times New Roman" w:eastAsia="宋体" w:cs="Times New Roman"/>
                <w:color w:val="auto"/>
                <w:kern w:val="0"/>
                <w:sz w:val="24"/>
                <w:szCs w:val="24"/>
                <w:lang w:val="en-US" w:eastAsia="zh-CN" w:bidi="ar"/>
              </w:rPr>
              <w:t>2022</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6</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5</w:t>
            </w:r>
            <w:r>
              <w:rPr>
                <w:rFonts w:hint="eastAsia" w:ascii="宋体" w:hAnsi="宋体" w:eastAsia="宋体" w:cs="宋体"/>
                <w:color w:val="auto"/>
                <w:kern w:val="0"/>
                <w:sz w:val="24"/>
                <w:szCs w:val="24"/>
                <w:lang w:val="en-US" w:eastAsia="zh-CN" w:bidi="ar"/>
              </w:rPr>
              <w:t xml:space="preserve">日； </w:t>
            </w:r>
          </w:p>
          <w:p w14:paraId="7049F8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6</w:t>
            </w:r>
            <w:r>
              <w:rPr>
                <w:rFonts w:hint="eastAsia" w:ascii="宋体" w:hAnsi="宋体" w:eastAsia="宋体" w:cs="宋体"/>
                <w:color w:val="auto"/>
                <w:kern w:val="0"/>
                <w:sz w:val="24"/>
                <w:szCs w:val="24"/>
                <w:lang w:val="en-US" w:eastAsia="zh-CN" w:bidi="ar"/>
              </w:rPr>
              <w:t>）《中华人民共和国固体废物污染环境防治法》，</w:t>
            </w:r>
            <w:r>
              <w:rPr>
                <w:rFonts w:hint="default" w:ascii="Times New Roman" w:hAnsi="Times New Roman" w:eastAsia="宋体" w:cs="Times New Roman"/>
                <w:color w:val="auto"/>
                <w:kern w:val="0"/>
                <w:sz w:val="24"/>
                <w:szCs w:val="24"/>
                <w:lang w:val="en-US" w:eastAsia="zh-CN" w:bidi="ar"/>
              </w:rPr>
              <w:t>2020</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 xml:space="preserve">9 </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 xml:space="preserve">日； </w:t>
            </w:r>
          </w:p>
          <w:p w14:paraId="4B0EE4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7</w:t>
            </w:r>
            <w:r>
              <w:rPr>
                <w:rFonts w:hint="eastAsia" w:ascii="宋体" w:hAnsi="宋体" w:eastAsia="宋体" w:cs="宋体"/>
                <w:color w:val="auto"/>
                <w:kern w:val="0"/>
                <w:sz w:val="24"/>
                <w:szCs w:val="24"/>
                <w:lang w:val="en-US" w:eastAsia="zh-CN" w:bidi="ar"/>
              </w:rPr>
              <w:t>）《中华人民共和国土壤污染防治法》，</w:t>
            </w:r>
            <w:r>
              <w:rPr>
                <w:rFonts w:hint="default" w:ascii="Times New Roman" w:hAnsi="Times New Roman" w:eastAsia="宋体" w:cs="Times New Roman"/>
                <w:color w:val="auto"/>
                <w:kern w:val="0"/>
                <w:sz w:val="24"/>
                <w:szCs w:val="24"/>
                <w:lang w:val="en-US" w:eastAsia="zh-CN" w:bidi="ar"/>
              </w:rPr>
              <w:t>2019</w:t>
            </w:r>
            <w:r>
              <w:rPr>
                <w:rFonts w:hint="eastAsia" w:ascii="宋体" w:hAnsi="宋体" w:eastAsia="宋体" w:cs="宋体"/>
                <w:color w:val="auto"/>
                <w:kern w:val="0"/>
                <w:sz w:val="24"/>
                <w:szCs w:val="24"/>
                <w:lang w:val="en-US" w:eastAsia="zh-CN" w:bidi="ar"/>
              </w:rPr>
              <w:t>年</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 xml:space="preserve">日； </w:t>
            </w:r>
          </w:p>
          <w:p w14:paraId="57117A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8</w:t>
            </w:r>
            <w:r>
              <w:rPr>
                <w:rFonts w:hint="eastAsia" w:ascii="宋体" w:hAnsi="宋体" w:eastAsia="宋体" w:cs="宋体"/>
                <w:color w:val="auto"/>
                <w:kern w:val="0"/>
                <w:sz w:val="24"/>
                <w:szCs w:val="24"/>
                <w:lang w:val="en-US" w:eastAsia="zh-CN" w:bidi="ar"/>
              </w:rPr>
              <w:t>）《建设项目竣工环境保护验收暂行办法》，国环规环评〔</w:t>
            </w:r>
            <w:r>
              <w:rPr>
                <w:rFonts w:hint="default" w:ascii="Times New Roman" w:hAnsi="Times New Roman" w:eastAsia="宋体" w:cs="Times New Roman"/>
                <w:color w:val="auto"/>
                <w:kern w:val="0"/>
                <w:sz w:val="24"/>
                <w:szCs w:val="24"/>
                <w:lang w:val="en-US" w:eastAsia="zh-CN" w:bidi="ar"/>
              </w:rPr>
              <w:t>2017</w:t>
            </w: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4</w:t>
            </w:r>
            <w:r>
              <w:rPr>
                <w:rFonts w:hint="eastAsia" w:ascii="宋体" w:hAnsi="宋体" w:eastAsia="宋体" w:cs="宋体"/>
                <w:color w:val="auto"/>
                <w:kern w:val="0"/>
                <w:sz w:val="24"/>
                <w:szCs w:val="24"/>
                <w:lang w:val="en-US" w:eastAsia="zh-CN" w:bidi="ar"/>
              </w:rPr>
              <w:t xml:space="preserve">号， </w:t>
            </w:r>
            <w:r>
              <w:rPr>
                <w:rFonts w:hint="default" w:ascii="Times New Roman" w:hAnsi="Times New Roman" w:eastAsia="宋体" w:cs="Times New Roman"/>
                <w:color w:val="auto"/>
                <w:kern w:val="0"/>
                <w:sz w:val="24"/>
                <w:szCs w:val="24"/>
                <w:lang w:val="en-US" w:eastAsia="zh-CN" w:bidi="ar"/>
              </w:rPr>
              <w:t>2017</w:t>
            </w:r>
            <w:r>
              <w:rPr>
                <w:rFonts w:hint="eastAsia" w:ascii="宋体" w:hAnsi="宋体" w:eastAsia="宋体" w:cs="宋体"/>
                <w:color w:val="auto"/>
                <w:kern w:val="0"/>
                <w:sz w:val="24"/>
                <w:szCs w:val="24"/>
                <w:lang w:val="en-US" w:eastAsia="zh-CN" w:bidi="ar"/>
              </w:rPr>
              <w:t xml:space="preserve">年 </w:t>
            </w:r>
            <w:r>
              <w:rPr>
                <w:rFonts w:hint="default" w:ascii="Times New Roman" w:hAnsi="Times New Roman" w:eastAsia="宋体" w:cs="Times New Roman"/>
                <w:color w:val="auto"/>
                <w:kern w:val="0"/>
                <w:sz w:val="24"/>
                <w:szCs w:val="24"/>
                <w:lang w:val="en-US" w:eastAsia="zh-CN" w:bidi="ar"/>
              </w:rPr>
              <w:t>11</w:t>
            </w:r>
            <w:r>
              <w:rPr>
                <w:rFonts w:hint="eastAsia" w:ascii="宋体" w:hAnsi="宋体" w:eastAsia="宋体" w:cs="宋体"/>
                <w:color w:val="auto"/>
                <w:kern w:val="0"/>
                <w:sz w:val="24"/>
                <w:szCs w:val="24"/>
                <w:lang w:val="en-US" w:eastAsia="zh-CN" w:bidi="ar"/>
              </w:rPr>
              <w:t>月</w:t>
            </w:r>
            <w:r>
              <w:rPr>
                <w:rFonts w:hint="default" w:ascii="Times New Roman" w:hAnsi="Times New Roman" w:eastAsia="宋体" w:cs="Times New Roman"/>
                <w:color w:val="auto"/>
                <w:kern w:val="0"/>
                <w:sz w:val="24"/>
                <w:szCs w:val="24"/>
                <w:lang w:val="en-US" w:eastAsia="zh-CN" w:bidi="ar"/>
              </w:rPr>
              <w:t>22</w:t>
            </w:r>
            <w:r>
              <w:rPr>
                <w:rFonts w:hint="eastAsia" w:ascii="宋体" w:hAnsi="宋体" w:eastAsia="宋体" w:cs="宋体"/>
                <w:color w:val="auto"/>
                <w:kern w:val="0"/>
                <w:sz w:val="24"/>
                <w:szCs w:val="24"/>
                <w:lang w:val="en-US" w:eastAsia="zh-CN" w:bidi="ar"/>
              </w:rPr>
              <w:t xml:space="preserve">日； </w:t>
            </w:r>
          </w:p>
          <w:p w14:paraId="063DA9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9</w:t>
            </w:r>
            <w:r>
              <w:rPr>
                <w:rFonts w:hint="eastAsia" w:ascii="宋体" w:hAnsi="宋体" w:eastAsia="宋体" w:cs="宋体"/>
                <w:color w:val="auto"/>
                <w:kern w:val="0"/>
                <w:sz w:val="24"/>
                <w:szCs w:val="24"/>
                <w:lang w:val="en-US" w:eastAsia="zh-CN" w:bidi="ar"/>
              </w:rPr>
              <w:t>）《建设项目竣工环境保护验收技术规范</w:t>
            </w:r>
            <w:r>
              <w:rPr>
                <w:rFonts w:hint="default" w:ascii="Times New Roman" w:hAnsi="Times New Roman" w:eastAsia="宋体" w:cs="Times New Roman"/>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生态影响类》（</w:t>
            </w:r>
            <w:r>
              <w:rPr>
                <w:rFonts w:hint="default" w:ascii="Times New Roman" w:hAnsi="Times New Roman" w:eastAsia="宋体" w:cs="Times New Roman"/>
                <w:color w:val="auto"/>
                <w:kern w:val="0"/>
                <w:sz w:val="24"/>
                <w:szCs w:val="24"/>
                <w:lang w:val="en-US" w:eastAsia="zh-CN" w:bidi="ar"/>
              </w:rPr>
              <w:t>HJ/T 394-2007</w:t>
            </w:r>
            <w:r>
              <w:rPr>
                <w:rFonts w:hint="eastAsia" w:ascii="宋体" w:hAnsi="宋体" w:eastAsia="宋体" w:cs="宋体"/>
                <w:color w:val="auto"/>
                <w:kern w:val="0"/>
                <w:sz w:val="24"/>
                <w:szCs w:val="24"/>
                <w:lang w:val="en-US" w:eastAsia="zh-CN" w:bidi="ar"/>
              </w:rPr>
              <w:t xml:space="preserve">）； </w:t>
            </w:r>
          </w:p>
          <w:p w14:paraId="2BF8DD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10</w:t>
            </w:r>
            <w:r>
              <w:rPr>
                <w:rFonts w:hint="eastAsia" w:ascii="宋体" w:hAnsi="宋体" w:eastAsia="宋体" w:cs="宋体"/>
                <w:color w:val="auto"/>
                <w:kern w:val="0"/>
                <w:sz w:val="24"/>
                <w:szCs w:val="24"/>
                <w:lang w:val="en-US" w:eastAsia="zh-CN" w:bidi="ar"/>
              </w:rPr>
              <w:t>）《建设项目竣工环境保护验收技术规范</w:t>
            </w:r>
            <w:r>
              <w:rPr>
                <w:rFonts w:hint="default" w:ascii="Times New Roman" w:hAnsi="Times New Roman" w:eastAsia="宋体" w:cs="Times New Roman"/>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 xml:space="preserve">石油天然气开采》 </w:t>
            </w:r>
          </w:p>
          <w:p w14:paraId="3BB849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default" w:ascii="Times New Roman" w:hAnsi="Times New Roman" w:eastAsia="宋体" w:cs="Times New Roman"/>
                <w:color w:val="auto"/>
                <w:kern w:val="0"/>
                <w:sz w:val="24"/>
                <w:szCs w:val="24"/>
                <w:lang w:val="en-US" w:eastAsia="zh-CN" w:bidi="ar"/>
              </w:rPr>
              <w:t>HJ612-2011</w:t>
            </w:r>
            <w:r>
              <w:rPr>
                <w:rFonts w:hint="eastAsia" w:ascii="宋体" w:hAnsi="宋体" w:eastAsia="宋体" w:cs="宋体"/>
                <w:color w:val="auto"/>
                <w:kern w:val="0"/>
                <w:sz w:val="24"/>
                <w:szCs w:val="24"/>
                <w:lang w:val="en-US" w:eastAsia="zh-CN" w:bidi="ar"/>
              </w:rPr>
              <w:t xml:space="preserve">； </w:t>
            </w:r>
          </w:p>
          <w:p w14:paraId="6D8AA4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11</w:t>
            </w:r>
            <w:r>
              <w:rPr>
                <w:rFonts w:hint="eastAsia" w:ascii="宋体" w:hAnsi="宋体" w:eastAsia="宋体" w:cs="宋体"/>
                <w:color w:val="auto"/>
                <w:kern w:val="0"/>
                <w:sz w:val="24"/>
                <w:szCs w:val="24"/>
                <w:lang w:val="en-US" w:eastAsia="zh-CN" w:bidi="ar"/>
              </w:rPr>
              <w:t>）《关于印发环评管理中部分行业建设项目重大变动清单的通知》环境保护部办公厅文件（环办〔</w:t>
            </w:r>
            <w:r>
              <w:rPr>
                <w:rFonts w:hint="default" w:ascii="Times New Roman" w:hAnsi="Times New Roman" w:eastAsia="宋体" w:cs="Times New Roman"/>
                <w:color w:val="auto"/>
                <w:kern w:val="0"/>
                <w:sz w:val="24"/>
                <w:szCs w:val="24"/>
                <w:lang w:val="en-US" w:eastAsia="zh-CN" w:bidi="ar"/>
              </w:rPr>
              <w:t>2015</w:t>
            </w: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 xml:space="preserve">52 </w:t>
            </w:r>
            <w:r>
              <w:rPr>
                <w:rFonts w:hint="eastAsia" w:ascii="宋体" w:hAnsi="宋体" w:eastAsia="宋体" w:cs="宋体"/>
                <w:color w:val="auto"/>
                <w:kern w:val="0"/>
                <w:sz w:val="24"/>
                <w:szCs w:val="24"/>
                <w:lang w:val="en-US" w:eastAsia="zh-CN" w:bidi="ar"/>
              </w:rPr>
              <w:t xml:space="preserve">号）； </w:t>
            </w:r>
          </w:p>
          <w:p w14:paraId="045CD3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12</w:t>
            </w:r>
            <w:r>
              <w:rPr>
                <w:rFonts w:hint="eastAsia" w:ascii="宋体" w:hAnsi="宋体" w:eastAsia="宋体" w:cs="宋体"/>
                <w:color w:val="auto"/>
                <w:kern w:val="0"/>
                <w:sz w:val="24"/>
                <w:szCs w:val="24"/>
                <w:lang w:val="en-US" w:eastAsia="zh-CN" w:bidi="ar"/>
              </w:rPr>
              <w:t>）《生态环境部办公厅关于印发〈污染影响类建设项目重大变动清单（试行）〉的通知》环办环评函〔</w:t>
            </w:r>
            <w:r>
              <w:rPr>
                <w:rFonts w:hint="default" w:ascii="Times New Roman" w:hAnsi="Times New Roman" w:eastAsia="宋体" w:cs="Times New Roman"/>
                <w:color w:val="auto"/>
                <w:kern w:val="0"/>
                <w:sz w:val="24"/>
                <w:szCs w:val="24"/>
                <w:lang w:val="en-US" w:eastAsia="zh-CN" w:bidi="ar"/>
              </w:rPr>
              <w:t>2020</w:t>
            </w: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 xml:space="preserve">688 </w:t>
            </w:r>
            <w:r>
              <w:rPr>
                <w:rFonts w:hint="eastAsia" w:ascii="宋体" w:hAnsi="宋体" w:eastAsia="宋体" w:cs="宋体"/>
                <w:color w:val="auto"/>
                <w:kern w:val="0"/>
                <w:sz w:val="24"/>
                <w:szCs w:val="24"/>
                <w:lang w:val="en-US" w:eastAsia="zh-CN" w:bidi="ar"/>
              </w:rPr>
              <w:t xml:space="preserve">号； </w:t>
            </w:r>
          </w:p>
          <w:p w14:paraId="7B195A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13</w:t>
            </w:r>
            <w:r>
              <w:rPr>
                <w:rFonts w:hint="eastAsia" w:ascii="宋体" w:hAnsi="宋体" w:eastAsia="宋体" w:cs="宋体"/>
                <w:color w:val="auto"/>
                <w:kern w:val="0"/>
                <w:sz w:val="24"/>
                <w:szCs w:val="24"/>
                <w:lang w:val="en-US" w:eastAsia="zh-CN" w:bidi="ar"/>
              </w:rPr>
              <w:t>）《关于进一步加强石油天然气行业环境影响评价管理的通知》（环办环评函〔</w:t>
            </w:r>
            <w:r>
              <w:rPr>
                <w:rFonts w:hint="default" w:ascii="Times New Roman" w:hAnsi="Times New Roman" w:eastAsia="宋体" w:cs="Times New Roman"/>
                <w:color w:val="auto"/>
                <w:kern w:val="0"/>
                <w:sz w:val="24"/>
                <w:szCs w:val="24"/>
                <w:lang w:val="en-US" w:eastAsia="zh-CN" w:bidi="ar"/>
              </w:rPr>
              <w:t>2019</w:t>
            </w: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910</w:t>
            </w:r>
            <w:r>
              <w:rPr>
                <w:rFonts w:hint="eastAsia" w:ascii="宋体" w:hAnsi="宋体" w:eastAsia="宋体" w:cs="宋体"/>
                <w:color w:val="auto"/>
                <w:kern w:val="0"/>
                <w:sz w:val="24"/>
                <w:szCs w:val="24"/>
                <w:lang w:val="en-US" w:eastAsia="zh-CN" w:bidi="ar"/>
              </w:rPr>
              <w:t>号）；</w:t>
            </w:r>
          </w:p>
          <w:p w14:paraId="0A4058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（14）《华北油气分公司采油一厂宫河1H等11宗勘探井建设项目环境影响报告表》（甘肃卉昕朋环保科技有限公司，2024年4月）；</w:t>
            </w:r>
          </w:p>
          <w:p w14:paraId="2D548D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（15）《关于&lt;华北油气分公司采油一厂宫河1H等11宗勘探井建设项目环境影响报告表&gt;的审批意见》（庆环评表字〔2024〕22号）（庆阳市生态环境局，2024年5月8日）。</w:t>
            </w:r>
          </w:p>
          <w:p w14:paraId="13787A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212E17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0A549E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64D304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16218A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51E67B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240" w:lineRule="auto"/>
              <w:ind w:left="0" w:leftChars="0" w:right="0" w:firstLine="0" w:firstLineChars="0"/>
              <w:jc w:val="left"/>
              <w:textAlignment w:val="auto"/>
              <w:rPr>
                <w:rFonts w:hint="default" w:ascii="Times New Roman" w:hAnsi="Times New Roman" w:eastAsia="宋体" w:cs="Times New Roman"/>
                <w:color w:val="auto"/>
                <w:spacing w:val="0"/>
                <w:w w:val="100"/>
                <w:sz w:val="21"/>
                <w:szCs w:val="21"/>
                <w:highlight w:val="none"/>
              </w:rPr>
            </w:pPr>
          </w:p>
        </w:tc>
      </w:tr>
    </w:tbl>
    <w:p w14:paraId="674AB753">
      <w:pPr>
        <w:spacing w:after="0" w:afterLines="0" w:line="360" w:lineRule="auto"/>
        <w:rPr>
          <w:rFonts w:hint="default" w:ascii="Times New Roman" w:hAnsi="Times New Roman" w:eastAsia="宋体" w:cs="Times New Roman"/>
          <w:color w:val="auto"/>
          <w:spacing w:val="0"/>
          <w:w w:val="100"/>
          <w:sz w:val="21"/>
          <w:szCs w:val="21"/>
          <w:highlight w:val="none"/>
        </w:rPr>
        <w:sectPr>
          <w:footerReference r:id="rId5"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14:paraId="0CB5A2EC">
      <w:pPr>
        <w:widowControl w:val="0"/>
        <w:adjustRightInd/>
        <w:snapToGrid/>
        <w:spacing w:after="0" w:afterLines="-2147483648"/>
        <w:jc w:val="both"/>
        <w:outlineLvl w:val="0"/>
        <w:rPr>
          <w:rFonts w:hint="default" w:ascii="Times New Roman" w:hAnsi="Times New Roman" w:eastAsia="宋体" w:cs="Times New Roman"/>
          <w:b/>
          <w:color w:val="auto"/>
          <w:kern w:val="2"/>
          <w:sz w:val="32"/>
          <w:szCs w:val="24"/>
          <w:lang w:val="en-US" w:eastAsia="zh-CN"/>
        </w:rPr>
      </w:pPr>
      <w:bookmarkStart w:id="1" w:name="_Toc20993"/>
      <w:r>
        <w:rPr>
          <w:rFonts w:hint="eastAsia" w:ascii="Times New Roman" w:hAnsi="Times New Roman" w:eastAsia="宋体" w:cs="Times New Roman"/>
          <w:b/>
          <w:color w:val="auto"/>
          <w:kern w:val="2"/>
          <w:sz w:val="32"/>
          <w:szCs w:val="24"/>
          <w:lang w:val="en-US" w:eastAsia="zh-CN"/>
        </w:rPr>
        <w:t>2.</w:t>
      </w:r>
      <w:r>
        <w:rPr>
          <w:rFonts w:hint="default" w:ascii="Times New Roman" w:hAnsi="Times New Roman" w:eastAsia="宋体" w:cs="Times New Roman"/>
          <w:b/>
          <w:color w:val="auto"/>
          <w:kern w:val="2"/>
          <w:sz w:val="32"/>
          <w:szCs w:val="24"/>
          <w:lang w:val="en-US" w:eastAsia="zh-CN"/>
        </w:rPr>
        <w:t>调查范围、因子、目标、重点</w:t>
      </w:r>
      <w:bookmarkEnd w:id="1"/>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8054"/>
      </w:tblGrid>
      <w:tr w14:paraId="3F02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68" w:type="dxa"/>
            <w:vAlign w:val="center"/>
          </w:tcPr>
          <w:p w14:paraId="5A30D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r>
              <w:rPr>
                <w:rFonts w:hint="default" w:ascii="Times New Roman" w:hAnsi="Times New Roman" w:eastAsia="宋体" w:cs="Times New Roman"/>
                <w:color w:val="auto"/>
                <w:spacing w:val="0"/>
                <w:w w:val="100"/>
                <w:kern w:val="0"/>
                <w:sz w:val="24"/>
                <w:highlight w:val="none"/>
              </w:rPr>
              <w:t>调查范围</w:t>
            </w:r>
          </w:p>
        </w:tc>
        <w:tc>
          <w:tcPr>
            <w:tcW w:w="8054" w:type="dxa"/>
          </w:tcPr>
          <w:p w14:paraId="64E5A40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cs="Times New Roman" w:eastAsiaTheme="minorEastAsia"/>
                <w:color w:val="auto"/>
                <w:spacing w:val="-2"/>
                <w:sz w:val="24"/>
                <w:lang w:val="en-US" w:eastAsia="zh-CN"/>
              </w:rPr>
            </w:pPr>
            <w:r>
              <w:rPr>
                <w:rFonts w:hint="default" w:ascii="Times New Roman" w:hAnsi="Times New Roman" w:cs="Times New Roman" w:eastAsiaTheme="minorEastAsia"/>
                <w:color w:val="auto"/>
                <w:spacing w:val="-2"/>
                <w:sz w:val="24"/>
                <w:lang w:val="en-US" w:eastAsia="zh-CN"/>
              </w:rPr>
              <w:t>因《环境影响评价技术导则 陆地石油天然气开发建设项目》由（HJ/T 349-2007）更新为（HJ/T 349-2023），井场调查范围更改为场界周围50米范围。同时根据</w:t>
            </w:r>
            <w:r>
              <w:rPr>
                <w:rFonts w:hint="default" w:ascii="Times New Roman" w:hAnsi="Times New Roman" w:cs="Times New Roman" w:eastAsiaTheme="minorEastAsia"/>
                <w:color w:val="auto"/>
                <w:spacing w:val="-2"/>
                <w:sz w:val="24"/>
              </w:rPr>
              <w:t>《建设项目竣工环境保护验收技术规范 生态影响类》（HJ/T 394-2007）和《建设项目竣工环境保护验收技术规范 石油天然气开采》（HJ 612-2011）中规定“验收调查范围原则上与环境影响评价文件的评价范围一致；当工程实际建设内容发生变更或环境影响评价文件未能全面反映出项目建设的实际生态影响和其他环境影响时，根据工程实际变更和实际环境影响情况，结合现场踏勘对调查范围进行适当调整”。</w:t>
            </w:r>
            <w:r>
              <w:rPr>
                <w:rFonts w:hint="eastAsia" w:ascii="Times New Roman" w:hAnsi="Times New Roman" w:cs="Times New Roman" w:eastAsiaTheme="minorEastAsia"/>
                <w:color w:val="auto"/>
                <w:spacing w:val="-2"/>
                <w:sz w:val="24"/>
                <w:lang w:val="en-US" w:eastAsia="zh-CN"/>
              </w:rPr>
              <w:t>本项目调查范围与环评保持一致。</w:t>
            </w:r>
          </w:p>
          <w:p w14:paraId="1E4F297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cs="Times New Roman" w:eastAsiaTheme="minorEastAsia"/>
                <w:color w:val="auto"/>
                <w:spacing w:val="-2"/>
                <w:sz w:val="24"/>
              </w:rPr>
              <w:t>本次验收包括项目施工建设过程中全部工程（井场、进场道路及其它临时占地）及涉及配套的废气、废水、固废、噪声和其它部分。</w:t>
            </w:r>
            <w:r>
              <w:rPr>
                <w:rFonts w:hint="default" w:ascii="Times New Roman" w:hAnsi="Times New Roman" w:eastAsia="宋体" w:cs="Times New Roman"/>
                <w:color w:val="auto"/>
                <w:spacing w:val="0"/>
                <w:w w:val="100"/>
                <w:sz w:val="24"/>
                <w:szCs w:val="24"/>
                <w:highlight w:val="none"/>
                <w:vertAlign w:val="baseline"/>
              </w:rPr>
              <w:t>具体见表</w:t>
            </w:r>
            <w:r>
              <w:rPr>
                <w:rFonts w:hint="default" w:ascii="Times New Roman" w:hAnsi="Times New Roman" w:eastAsia="宋体" w:cs="Times New Roman"/>
                <w:color w:val="auto"/>
                <w:spacing w:val="0"/>
                <w:w w:val="100"/>
                <w:sz w:val="24"/>
                <w:szCs w:val="24"/>
                <w:highlight w:val="none"/>
                <w:vertAlign w:val="baseline"/>
                <w:lang w:val="en-US" w:eastAsia="zh-CN"/>
              </w:rPr>
              <w:t>2-</w:t>
            </w:r>
            <w:r>
              <w:rPr>
                <w:rFonts w:hint="default" w:ascii="Times New Roman" w:hAnsi="Times New Roman" w:eastAsia="宋体" w:cs="Times New Roman"/>
                <w:color w:val="auto"/>
                <w:spacing w:val="0"/>
                <w:w w:val="100"/>
                <w:sz w:val="24"/>
                <w:szCs w:val="24"/>
                <w:highlight w:val="none"/>
                <w:vertAlign w:val="baseline"/>
              </w:rPr>
              <w:t>1。</w:t>
            </w:r>
          </w:p>
          <w:p w14:paraId="13CE7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表2-1    本次验收调查范围一览表</w:t>
            </w:r>
          </w:p>
          <w:tbl>
            <w:tblPr>
              <w:tblStyle w:val="25"/>
              <w:tblW w:w="78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6"/>
              <w:gridCol w:w="967"/>
              <w:gridCol w:w="2000"/>
              <w:gridCol w:w="2164"/>
              <w:gridCol w:w="2163"/>
            </w:tblGrid>
            <w:tr w14:paraId="2324E6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76C4DE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序号</w:t>
                  </w:r>
                </w:p>
              </w:tc>
              <w:tc>
                <w:tcPr>
                  <w:tcW w:w="618" w:type="pct"/>
                  <w:tcBorders>
                    <w:tl2br w:val="nil"/>
                    <w:tr2bl w:val="nil"/>
                  </w:tcBorders>
                  <w:noWrap w:val="0"/>
                  <w:vAlign w:val="center"/>
                </w:tcPr>
                <w:p w14:paraId="478DC4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1278" w:type="pct"/>
                  <w:tcBorders>
                    <w:tl2br w:val="nil"/>
                    <w:tr2bl w:val="nil"/>
                  </w:tcBorders>
                  <w:noWrap w:val="0"/>
                  <w:vAlign w:val="center"/>
                </w:tcPr>
                <w:p w14:paraId="1051EF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环评阶段评价范围</w:t>
                  </w:r>
                </w:p>
              </w:tc>
              <w:tc>
                <w:tcPr>
                  <w:tcW w:w="1383" w:type="pct"/>
                  <w:tcBorders>
                    <w:tl2br w:val="nil"/>
                    <w:tr2bl w:val="nil"/>
                  </w:tcBorders>
                  <w:noWrap w:val="0"/>
                  <w:vAlign w:val="center"/>
                </w:tcPr>
                <w:p w14:paraId="23329F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本次验收调查范围</w:t>
                  </w:r>
                </w:p>
              </w:tc>
              <w:tc>
                <w:tcPr>
                  <w:tcW w:w="1382" w:type="pct"/>
                  <w:tcBorders>
                    <w:tl2br w:val="nil"/>
                    <w:tr2bl w:val="nil"/>
                  </w:tcBorders>
                  <w:shd w:val="clear" w:color="auto" w:fill="auto"/>
                  <w:noWrap w:val="0"/>
                  <w:vAlign w:val="center"/>
                </w:tcPr>
                <w:p w14:paraId="3D531E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是否一致</w:t>
                  </w:r>
                </w:p>
              </w:tc>
            </w:tr>
            <w:tr w14:paraId="18B413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6" w:type="pct"/>
                  <w:tcBorders>
                    <w:tl2br w:val="nil"/>
                    <w:tr2bl w:val="nil"/>
                  </w:tcBorders>
                  <w:noWrap w:val="0"/>
                  <w:vAlign w:val="center"/>
                </w:tcPr>
                <w:p w14:paraId="6AC7329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1</w:t>
                  </w:r>
                </w:p>
              </w:tc>
              <w:tc>
                <w:tcPr>
                  <w:tcW w:w="618" w:type="pct"/>
                  <w:tcBorders>
                    <w:tl2br w:val="nil"/>
                    <w:tr2bl w:val="nil"/>
                  </w:tcBorders>
                  <w:noWrap w:val="0"/>
                  <w:vAlign w:val="center"/>
                </w:tcPr>
                <w:p w14:paraId="7C3264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1278" w:type="pct"/>
                  <w:tcBorders>
                    <w:tl2br w:val="nil"/>
                    <w:tr2bl w:val="nil"/>
                  </w:tcBorders>
                  <w:noWrap w:val="0"/>
                  <w:vAlign w:val="center"/>
                </w:tcPr>
                <w:p w14:paraId="691988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井场周围1</w:t>
                  </w:r>
                  <w:r>
                    <w:rPr>
                      <w:rFonts w:hint="default" w:ascii="Times New Roman" w:hAnsi="Times New Roman" w:eastAsia="宋体" w:cs="Times New Roman"/>
                      <w:color w:val="auto"/>
                      <w:spacing w:val="0"/>
                      <w:w w:val="100"/>
                      <w:sz w:val="21"/>
                      <w:szCs w:val="21"/>
                      <w:highlight w:val="none"/>
                      <w:lang w:val="en-US" w:eastAsia="zh-CN"/>
                    </w:rPr>
                    <w:t>k</w:t>
                  </w:r>
                  <w:r>
                    <w:rPr>
                      <w:rFonts w:hint="default" w:ascii="Times New Roman" w:hAnsi="Times New Roman" w:eastAsia="宋体" w:cs="Times New Roman"/>
                      <w:color w:val="auto"/>
                      <w:spacing w:val="0"/>
                      <w:w w:val="100"/>
                      <w:sz w:val="21"/>
                      <w:szCs w:val="21"/>
                      <w:highlight w:val="none"/>
                      <w:lang w:eastAsia="zh-CN"/>
                    </w:rPr>
                    <w:t>m以内、道路两侧</w:t>
                  </w:r>
                  <w:r>
                    <w:rPr>
                      <w:rFonts w:hint="default" w:ascii="Times New Roman" w:hAnsi="Times New Roman" w:eastAsia="宋体" w:cs="Times New Roman"/>
                      <w:color w:val="auto"/>
                      <w:spacing w:val="0"/>
                      <w:w w:val="100"/>
                      <w:sz w:val="21"/>
                      <w:szCs w:val="21"/>
                      <w:highlight w:val="none"/>
                      <w:lang w:val="en-US" w:eastAsia="zh-CN"/>
                    </w:rPr>
                    <w:t>300m范围</w:t>
                  </w:r>
                </w:p>
              </w:tc>
              <w:tc>
                <w:tcPr>
                  <w:tcW w:w="2164" w:type="dxa"/>
                  <w:tcBorders>
                    <w:tl2br w:val="nil"/>
                    <w:tr2bl w:val="nil"/>
                  </w:tcBorders>
                  <w:noWrap w:val="0"/>
                  <w:vAlign w:val="center"/>
                </w:tcPr>
                <w:p w14:paraId="4F80102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井场周围1</w:t>
                  </w:r>
                  <w:r>
                    <w:rPr>
                      <w:rFonts w:hint="default" w:ascii="Times New Roman" w:hAnsi="Times New Roman" w:eastAsia="宋体" w:cs="Times New Roman"/>
                      <w:color w:val="auto"/>
                      <w:spacing w:val="0"/>
                      <w:w w:val="100"/>
                      <w:sz w:val="21"/>
                      <w:szCs w:val="21"/>
                      <w:highlight w:val="none"/>
                      <w:lang w:val="en-US" w:eastAsia="zh-CN"/>
                    </w:rPr>
                    <w:t>k</w:t>
                  </w:r>
                  <w:r>
                    <w:rPr>
                      <w:rFonts w:hint="default" w:ascii="Times New Roman" w:hAnsi="Times New Roman" w:eastAsia="宋体" w:cs="Times New Roman"/>
                      <w:color w:val="auto"/>
                      <w:spacing w:val="0"/>
                      <w:w w:val="100"/>
                      <w:sz w:val="21"/>
                      <w:szCs w:val="21"/>
                      <w:highlight w:val="none"/>
                      <w:lang w:eastAsia="zh-CN"/>
                    </w:rPr>
                    <w:t>m以内、道路两侧</w:t>
                  </w:r>
                  <w:r>
                    <w:rPr>
                      <w:rFonts w:hint="default" w:ascii="Times New Roman" w:hAnsi="Times New Roman" w:eastAsia="宋体" w:cs="Times New Roman"/>
                      <w:color w:val="auto"/>
                      <w:spacing w:val="0"/>
                      <w:w w:val="100"/>
                      <w:sz w:val="21"/>
                      <w:szCs w:val="21"/>
                      <w:highlight w:val="none"/>
                      <w:lang w:val="en-US" w:eastAsia="zh-CN"/>
                    </w:rPr>
                    <w:t>300m范围</w:t>
                  </w:r>
                </w:p>
              </w:tc>
              <w:tc>
                <w:tcPr>
                  <w:tcW w:w="2163" w:type="dxa"/>
                  <w:tcBorders>
                    <w:tl2br w:val="nil"/>
                    <w:tr2bl w:val="nil"/>
                  </w:tcBorders>
                  <w:shd w:val="clear" w:color="auto" w:fill="auto"/>
                  <w:noWrap w:val="0"/>
                  <w:vAlign w:val="center"/>
                </w:tcPr>
                <w:p w14:paraId="44B99D8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21EE8C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1CF17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2</w:t>
                  </w:r>
                </w:p>
              </w:tc>
              <w:tc>
                <w:tcPr>
                  <w:tcW w:w="618" w:type="pct"/>
                  <w:tcBorders>
                    <w:tl2br w:val="nil"/>
                    <w:tr2bl w:val="nil"/>
                  </w:tcBorders>
                  <w:noWrap w:val="0"/>
                  <w:vAlign w:val="center"/>
                </w:tcPr>
                <w:p w14:paraId="6ADFD78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1278" w:type="pct"/>
                  <w:tcBorders>
                    <w:tl2br w:val="nil"/>
                    <w:tr2bl w:val="nil"/>
                  </w:tcBorders>
                  <w:noWrap w:val="0"/>
                  <w:vAlign w:val="center"/>
                </w:tcPr>
                <w:p w14:paraId="11E592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2</w:t>
                  </w:r>
                  <w:r>
                    <w:rPr>
                      <w:rFonts w:hint="default" w:ascii="Times New Roman" w:hAnsi="Times New Roman" w:eastAsia="宋体" w:cs="Times New Roman"/>
                      <w:color w:val="auto"/>
                      <w:spacing w:val="0"/>
                      <w:w w:val="100"/>
                      <w:sz w:val="21"/>
                      <w:szCs w:val="21"/>
                      <w:highlight w:val="none"/>
                      <w:lang w:eastAsia="zh-CN"/>
                    </w:rPr>
                    <w:t>00m范围</w:t>
                  </w:r>
                </w:p>
              </w:tc>
              <w:tc>
                <w:tcPr>
                  <w:tcW w:w="1383" w:type="pct"/>
                  <w:tcBorders>
                    <w:tl2br w:val="nil"/>
                    <w:tr2bl w:val="nil"/>
                  </w:tcBorders>
                  <w:noWrap w:val="0"/>
                  <w:vAlign w:val="center"/>
                </w:tcPr>
                <w:p w14:paraId="37D308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2</w:t>
                  </w:r>
                  <w:r>
                    <w:rPr>
                      <w:rFonts w:hint="default" w:ascii="Times New Roman" w:hAnsi="Times New Roman" w:eastAsia="宋体" w:cs="Times New Roman"/>
                      <w:color w:val="auto"/>
                      <w:spacing w:val="0"/>
                      <w:w w:val="100"/>
                      <w:sz w:val="21"/>
                      <w:szCs w:val="21"/>
                      <w:highlight w:val="none"/>
                      <w:lang w:eastAsia="zh-CN"/>
                    </w:rPr>
                    <w:t>00m范围</w:t>
                  </w:r>
                </w:p>
              </w:tc>
              <w:tc>
                <w:tcPr>
                  <w:tcW w:w="1382" w:type="pct"/>
                  <w:tcBorders>
                    <w:tl2br w:val="nil"/>
                    <w:tr2bl w:val="nil"/>
                  </w:tcBorders>
                  <w:shd w:val="clear" w:color="auto" w:fill="auto"/>
                  <w:noWrap w:val="0"/>
                  <w:vAlign w:val="center"/>
                </w:tcPr>
                <w:p w14:paraId="35AACD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34D4E5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96C27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3</w:t>
                  </w:r>
                </w:p>
              </w:tc>
              <w:tc>
                <w:tcPr>
                  <w:tcW w:w="618" w:type="pct"/>
                  <w:tcBorders>
                    <w:tl2br w:val="nil"/>
                    <w:tr2bl w:val="nil"/>
                  </w:tcBorders>
                  <w:noWrap w:val="0"/>
                  <w:vAlign w:val="center"/>
                </w:tcPr>
                <w:p w14:paraId="311AC8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地下水环境</w:t>
                  </w:r>
                </w:p>
              </w:tc>
              <w:tc>
                <w:tcPr>
                  <w:tcW w:w="1278" w:type="pct"/>
                  <w:tcBorders>
                    <w:tl2br w:val="nil"/>
                    <w:tr2bl w:val="nil"/>
                  </w:tcBorders>
                  <w:noWrap w:val="0"/>
                  <w:vAlign w:val="center"/>
                </w:tcPr>
                <w:p w14:paraId="077C4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383" w:type="pct"/>
                  <w:tcBorders>
                    <w:tl2br w:val="nil"/>
                    <w:tr2bl w:val="nil"/>
                  </w:tcBorders>
                  <w:noWrap w:val="0"/>
                  <w:vAlign w:val="center"/>
                </w:tcPr>
                <w:p w14:paraId="0479A3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382" w:type="pct"/>
                  <w:tcBorders>
                    <w:tl2br w:val="nil"/>
                    <w:tr2bl w:val="nil"/>
                  </w:tcBorders>
                  <w:shd w:val="clear" w:color="auto" w:fill="auto"/>
                  <w:noWrap w:val="0"/>
                  <w:vAlign w:val="center"/>
                </w:tcPr>
                <w:p w14:paraId="4763ED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3421C7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2F6814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4</w:t>
                  </w:r>
                </w:p>
              </w:tc>
              <w:tc>
                <w:tcPr>
                  <w:tcW w:w="618" w:type="pct"/>
                  <w:tcBorders>
                    <w:tl2br w:val="nil"/>
                    <w:tr2bl w:val="nil"/>
                  </w:tcBorders>
                  <w:noWrap w:val="0"/>
                  <w:vAlign w:val="center"/>
                </w:tcPr>
                <w:p w14:paraId="7C3847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1278" w:type="pct"/>
                  <w:tcBorders>
                    <w:tl2br w:val="nil"/>
                    <w:tr2bl w:val="nil"/>
                  </w:tcBorders>
                  <w:noWrap w:val="0"/>
                  <w:vAlign w:val="center"/>
                </w:tcPr>
                <w:p w14:paraId="152F80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w:t>
                  </w:r>
                  <w:r>
                    <w:rPr>
                      <w:rFonts w:hint="eastAsia" w:ascii="Times New Roman" w:hAnsi="Times New Roman" w:eastAsia="宋体" w:cs="Times New Roman"/>
                      <w:color w:val="auto"/>
                      <w:spacing w:val="0"/>
                      <w:w w:val="100"/>
                      <w:sz w:val="21"/>
                      <w:szCs w:val="21"/>
                      <w:highlight w:val="none"/>
                      <w:lang w:val="en-US" w:eastAsia="zh-CN"/>
                    </w:rPr>
                    <w:t>20</w:t>
                  </w:r>
                  <w:r>
                    <w:rPr>
                      <w:rFonts w:hint="default" w:ascii="Times New Roman" w:hAnsi="Times New Roman" w:eastAsia="宋体" w:cs="Times New Roman"/>
                      <w:color w:val="auto"/>
                      <w:spacing w:val="0"/>
                      <w:w w:val="100"/>
                      <w:sz w:val="21"/>
                      <w:szCs w:val="21"/>
                      <w:highlight w:val="none"/>
                      <w:lang w:val="en-US" w:eastAsia="zh-CN"/>
                    </w:rPr>
                    <w:t>0</w:t>
                  </w:r>
                  <w:r>
                    <w:rPr>
                      <w:rFonts w:hint="default" w:ascii="Times New Roman" w:hAnsi="Times New Roman" w:eastAsia="宋体" w:cs="Times New Roman"/>
                      <w:color w:val="auto"/>
                      <w:spacing w:val="0"/>
                      <w:w w:val="100"/>
                      <w:sz w:val="21"/>
                      <w:szCs w:val="21"/>
                      <w:highlight w:val="none"/>
                      <w:lang w:eastAsia="zh-CN"/>
                    </w:rPr>
                    <w:t>m范围</w:t>
                  </w:r>
                </w:p>
              </w:tc>
              <w:tc>
                <w:tcPr>
                  <w:tcW w:w="1383" w:type="pct"/>
                  <w:tcBorders>
                    <w:tl2br w:val="nil"/>
                    <w:tr2bl w:val="nil"/>
                  </w:tcBorders>
                  <w:noWrap w:val="0"/>
                  <w:vAlign w:val="center"/>
                </w:tcPr>
                <w:p w14:paraId="7C85B0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w:t>
                  </w:r>
                  <w:r>
                    <w:rPr>
                      <w:rFonts w:hint="eastAsia" w:ascii="Times New Roman" w:hAnsi="Times New Roman" w:eastAsia="宋体" w:cs="Times New Roman"/>
                      <w:color w:val="auto"/>
                      <w:spacing w:val="0"/>
                      <w:w w:val="100"/>
                      <w:sz w:val="21"/>
                      <w:szCs w:val="21"/>
                      <w:highlight w:val="none"/>
                      <w:lang w:val="en-US" w:eastAsia="zh-CN"/>
                    </w:rPr>
                    <w:t>20</w:t>
                  </w:r>
                  <w:r>
                    <w:rPr>
                      <w:rFonts w:hint="default" w:ascii="Times New Roman" w:hAnsi="Times New Roman" w:eastAsia="宋体" w:cs="Times New Roman"/>
                      <w:color w:val="auto"/>
                      <w:spacing w:val="0"/>
                      <w:w w:val="100"/>
                      <w:sz w:val="21"/>
                      <w:szCs w:val="21"/>
                      <w:highlight w:val="none"/>
                      <w:lang w:val="en-US" w:eastAsia="zh-CN"/>
                    </w:rPr>
                    <w:t>0</w:t>
                  </w:r>
                  <w:r>
                    <w:rPr>
                      <w:rFonts w:hint="default" w:ascii="Times New Roman" w:hAnsi="Times New Roman" w:eastAsia="宋体" w:cs="Times New Roman"/>
                      <w:color w:val="auto"/>
                      <w:spacing w:val="0"/>
                      <w:w w:val="100"/>
                      <w:sz w:val="21"/>
                      <w:szCs w:val="21"/>
                      <w:highlight w:val="none"/>
                      <w:lang w:eastAsia="zh-CN"/>
                    </w:rPr>
                    <w:t>m范围</w:t>
                  </w:r>
                </w:p>
              </w:tc>
              <w:tc>
                <w:tcPr>
                  <w:tcW w:w="1382" w:type="pct"/>
                  <w:tcBorders>
                    <w:tl2br w:val="nil"/>
                    <w:tr2bl w:val="nil"/>
                  </w:tcBorders>
                  <w:shd w:val="clear" w:color="auto" w:fill="auto"/>
                  <w:noWrap w:val="0"/>
                  <w:vAlign w:val="center"/>
                </w:tcPr>
                <w:p w14:paraId="18DCC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136523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0F5E1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5</w:t>
                  </w:r>
                </w:p>
              </w:tc>
              <w:tc>
                <w:tcPr>
                  <w:tcW w:w="618" w:type="pct"/>
                  <w:tcBorders>
                    <w:tl2br w:val="nil"/>
                    <w:tr2bl w:val="nil"/>
                  </w:tcBorders>
                  <w:noWrap w:val="0"/>
                  <w:vAlign w:val="center"/>
                </w:tcPr>
                <w:p w14:paraId="24F7BC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1278" w:type="pct"/>
                  <w:tcBorders>
                    <w:tl2br w:val="nil"/>
                    <w:tr2bl w:val="nil"/>
                  </w:tcBorders>
                  <w:noWrap w:val="0"/>
                  <w:vAlign w:val="center"/>
                </w:tcPr>
                <w:p w14:paraId="79719B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1383" w:type="pct"/>
                  <w:tcBorders>
                    <w:tl2br w:val="nil"/>
                    <w:tr2bl w:val="nil"/>
                  </w:tcBorders>
                  <w:noWrap w:val="0"/>
                  <w:vAlign w:val="center"/>
                </w:tcPr>
                <w:p w14:paraId="49479D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1382" w:type="pct"/>
                  <w:tcBorders>
                    <w:tl2br w:val="nil"/>
                    <w:tr2bl w:val="nil"/>
                  </w:tcBorders>
                  <w:shd w:val="clear" w:color="auto" w:fill="auto"/>
                  <w:noWrap w:val="0"/>
                  <w:vAlign w:val="center"/>
                </w:tcPr>
                <w:p w14:paraId="373CBD0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5EBD20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49EF9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6</w:t>
                  </w:r>
                </w:p>
              </w:tc>
              <w:tc>
                <w:tcPr>
                  <w:tcW w:w="618" w:type="pct"/>
                  <w:tcBorders>
                    <w:tl2br w:val="nil"/>
                    <w:tr2bl w:val="nil"/>
                  </w:tcBorders>
                  <w:noWrap w:val="0"/>
                  <w:vAlign w:val="center"/>
                </w:tcPr>
                <w:p w14:paraId="3735E1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1278" w:type="pct"/>
                  <w:tcBorders>
                    <w:tl2br w:val="nil"/>
                    <w:tr2bl w:val="nil"/>
                  </w:tcBorders>
                  <w:noWrap w:val="0"/>
                  <w:vAlign w:val="center"/>
                </w:tcPr>
                <w:p w14:paraId="1EC2BB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w:t>
                  </w:r>
                </w:p>
              </w:tc>
              <w:tc>
                <w:tcPr>
                  <w:tcW w:w="1383" w:type="pct"/>
                  <w:tcBorders>
                    <w:tl2br w:val="nil"/>
                    <w:tr2bl w:val="nil"/>
                  </w:tcBorders>
                  <w:noWrap w:val="0"/>
                  <w:vAlign w:val="center"/>
                </w:tcPr>
                <w:p w14:paraId="578358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固体废物产生及处置情况</w:t>
                  </w:r>
                </w:p>
              </w:tc>
              <w:tc>
                <w:tcPr>
                  <w:tcW w:w="1382" w:type="pct"/>
                  <w:tcBorders>
                    <w:tl2br w:val="nil"/>
                    <w:tr2bl w:val="nil"/>
                  </w:tcBorders>
                  <w:shd w:val="clear" w:color="auto" w:fill="auto"/>
                  <w:noWrap w:val="0"/>
                  <w:vAlign w:val="center"/>
                </w:tcPr>
                <w:p w14:paraId="61D78FC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bl>
          <w:p w14:paraId="69E653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p>
        </w:tc>
      </w:tr>
      <w:tr w14:paraId="065F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8" w:type="dxa"/>
            <w:vAlign w:val="center"/>
          </w:tcPr>
          <w:p w14:paraId="5F57E6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调查因子</w:t>
            </w:r>
          </w:p>
        </w:tc>
        <w:tc>
          <w:tcPr>
            <w:tcW w:w="8054" w:type="dxa"/>
          </w:tcPr>
          <w:p w14:paraId="5F3A8971">
            <w:pPr>
              <w:keepNext w:val="0"/>
              <w:keepLines w:val="0"/>
              <w:widowControl w:val="0"/>
              <w:suppressLineNumbers w:val="0"/>
              <w:spacing w:before="0" w:beforeAutospacing="0" w:afterAutospacing="0" w:line="360" w:lineRule="auto"/>
              <w:ind w:left="0" w:right="0" w:firstLine="480" w:firstLineChars="200"/>
              <w:contextualSpacing/>
              <w:jc w:val="both"/>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z w:val="24"/>
                <w:highlight w:val="none"/>
                <w:lang w:val="en-US" w:eastAsia="zh-CN"/>
              </w:rPr>
              <w:t>根据项目特点，</w:t>
            </w:r>
            <w:r>
              <w:rPr>
                <w:rFonts w:hint="default" w:ascii="Times New Roman" w:hAnsi="Times New Roman" w:eastAsia="宋体" w:cs="Times New Roman"/>
                <w:color w:val="auto"/>
                <w:spacing w:val="0"/>
                <w:w w:val="100"/>
                <w:sz w:val="24"/>
                <w:szCs w:val="24"/>
                <w:highlight w:val="none"/>
              </w:rPr>
              <w:t>本次调查确定的调查</w:t>
            </w:r>
            <w:r>
              <w:rPr>
                <w:rFonts w:hint="default" w:ascii="Times New Roman" w:hAnsi="Times New Roman" w:eastAsia="宋体" w:cs="Times New Roman"/>
                <w:color w:val="auto"/>
                <w:spacing w:val="0"/>
                <w:w w:val="100"/>
                <w:sz w:val="24"/>
                <w:szCs w:val="24"/>
                <w:highlight w:val="none"/>
                <w:lang w:val="en-US" w:eastAsia="zh-CN"/>
              </w:rPr>
              <w:t>内容</w:t>
            </w:r>
            <w:r>
              <w:rPr>
                <w:rFonts w:hint="eastAsia" w:ascii="Times New Roman" w:hAnsi="Times New Roman" w:eastAsia="宋体" w:cs="Times New Roman"/>
                <w:color w:val="auto"/>
                <w:spacing w:val="0"/>
                <w:w w:val="100"/>
                <w:sz w:val="24"/>
                <w:szCs w:val="24"/>
                <w:highlight w:val="none"/>
                <w:lang w:val="en-US" w:eastAsia="zh-CN"/>
              </w:rPr>
              <w:t>及</w:t>
            </w:r>
            <w:r>
              <w:rPr>
                <w:rFonts w:hint="default" w:ascii="Times New Roman" w:hAnsi="Times New Roman" w:eastAsia="宋体" w:cs="Times New Roman"/>
                <w:color w:val="auto"/>
                <w:spacing w:val="0"/>
                <w:w w:val="100"/>
                <w:sz w:val="24"/>
                <w:szCs w:val="24"/>
                <w:highlight w:val="none"/>
              </w:rPr>
              <w:t>因子见表</w:t>
            </w:r>
            <w:r>
              <w:rPr>
                <w:rFonts w:hint="default"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2。</w:t>
            </w:r>
          </w:p>
          <w:p w14:paraId="632D14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表2-2    本次验收调查因子及调查内容一览表</w:t>
            </w:r>
          </w:p>
          <w:tbl>
            <w:tblPr>
              <w:tblStyle w:val="25"/>
              <w:tblW w:w="0" w:type="auto"/>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4113"/>
              <w:gridCol w:w="2418"/>
            </w:tblGrid>
            <w:tr w14:paraId="020CA6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A00A4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4113" w:type="dxa"/>
                  <w:tcBorders>
                    <w:tl2br w:val="nil"/>
                    <w:tr2bl w:val="nil"/>
                  </w:tcBorders>
                  <w:noWrap w:val="0"/>
                  <w:vAlign w:val="center"/>
                </w:tcPr>
                <w:p w14:paraId="6BD1C8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调查内容</w:t>
                  </w:r>
                  <w:r>
                    <w:rPr>
                      <w:rFonts w:hint="default" w:ascii="Times New Roman" w:hAnsi="Times New Roman" w:eastAsia="宋体" w:cs="Times New Roman"/>
                      <w:color w:val="auto"/>
                      <w:spacing w:val="0"/>
                      <w:w w:val="100"/>
                      <w:sz w:val="21"/>
                      <w:szCs w:val="21"/>
                      <w:highlight w:val="none"/>
                      <w:lang w:val="en-US" w:eastAsia="zh-CN"/>
                    </w:rPr>
                    <w:t>/</w:t>
                  </w:r>
                  <w:r>
                    <w:rPr>
                      <w:rFonts w:hint="eastAsia" w:ascii="Times New Roman" w:hAnsi="Times New Roman" w:eastAsia="宋体" w:cs="Times New Roman"/>
                      <w:color w:val="auto"/>
                      <w:spacing w:val="0"/>
                      <w:w w:val="100"/>
                      <w:sz w:val="21"/>
                      <w:szCs w:val="21"/>
                      <w:highlight w:val="none"/>
                      <w:lang w:val="en-US" w:eastAsia="zh-CN"/>
                    </w:rPr>
                    <w:t>因子</w:t>
                  </w:r>
                </w:p>
              </w:tc>
              <w:tc>
                <w:tcPr>
                  <w:tcW w:w="2418" w:type="dxa"/>
                  <w:tcBorders>
                    <w:tl2br w:val="nil"/>
                    <w:tr2bl w:val="nil"/>
                  </w:tcBorders>
                  <w:noWrap w:val="0"/>
                  <w:vAlign w:val="center"/>
                </w:tcPr>
                <w:p w14:paraId="31E1C5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监测因子</w:t>
                  </w:r>
                </w:p>
              </w:tc>
            </w:tr>
            <w:tr w14:paraId="54CEBF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23C2E2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4113" w:type="dxa"/>
                  <w:tcBorders>
                    <w:tl2br w:val="nil"/>
                    <w:tr2bl w:val="nil"/>
                  </w:tcBorders>
                  <w:noWrap w:val="0"/>
                  <w:vAlign w:val="center"/>
                </w:tcPr>
                <w:p w14:paraId="10B335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主要调查项目封井后生态恢复情况，土地类型变化以及植被恢复状况的落实情况</w:t>
                  </w:r>
                </w:p>
              </w:tc>
              <w:tc>
                <w:tcPr>
                  <w:tcW w:w="2418" w:type="dxa"/>
                  <w:tcBorders>
                    <w:tl2br w:val="nil"/>
                    <w:tr2bl w:val="nil"/>
                  </w:tcBorders>
                  <w:noWrap w:val="0"/>
                  <w:vAlign w:val="center"/>
                </w:tcPr>
                <w:p w14:paraId="1DB110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337B8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09DC3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4113" w:type="dxa"/>
                  <w:tcBorders>
                    <w:tl2br w:val="nil"/>
                    <w:tr2bl w:val="nil"/>
                  </w:tcBorders>
                  <w:noWrap w:val="0"/>
                  <w:vAlign w:val="center"/>
                </w:tcPr>
                <w:p w14:paraId="7D13616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项目为勘探井，不涉及运营期，调查施工期环境空气影响</w:t>
                  </w:r>
                </w:p>
              </w:tc>
              <w:tc>
                <w:tcPr>
                  <w:tcW w:w="2418" w:type="dxa"/>
                  <w:tcBorders>
                    <w:tl2br w:val="nil"/>
                    <w:tr2bl w:val="nil"/>
                  </w:tcBorders>
                  <w:noWrap w:val="0"/>
                  <w:vAlign w:val="center"/>
                </w:tcPr>
                <w:p w14:paraId="03458F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49E36F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29212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水环境</w:t>
                  </w:r>
                </w:p>
              </w:tc>
              <w:tc>
                <w:tcPr>
                  <w:tcW w:w="4113" w:type="dxa"/>
                  <w:tcBorders>
                    <w:tl2br w:val="nil"/>
                    <w:tr2bl w:val="nil"/>
                  </w:tcBorders>
                  <w:noWrap w:val="0"/>
                  <w:vAlign w:val="center"/>
                </w:tcPr>
                <w:p w14:paraId="12E4BB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项目为勘探井，不涉及运营期，调查施工期废水排放及处置</w:t>
                  </w:r>
                </w:p>
              </w:tc>
              <w:tc>
                <w:tcPr>
                  <w:tcW w:w="2418" w:type="dxa"/>
                  <w:tcBorders>
                    <w:tl2br w:val="nil"/>
                    <w:tr2bl w:val="nil"/>
                  </w:tcBorders>
                  <w:noWrap w:val="0"/>
                  <w:vAlign w:val="center"/>
                </w:tcPr>
                <w:p w14:paraId="4F8727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5E3EAB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77" w:type="dxa"/>
                  <w:tcBorders>
                    <w:tl2br w:val="nil"/>
                    <w:tr2bl w:val="nil"/>
                  </w:tcBorders>
                  <w:noWrap w:val="0"/>
                  <w:vAlign w:val="center"/>
                </w:tcPr>
                <w:p w14:paraId="4A530D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4113" w:type="dxa"/>
                  <w:tcBorders>
                    <w:tl2br w:val="nil"/>
                    <w:tr2bl w:val="nil"/>
                  </w:tcBorders>
                  <w:noWrap w:val="0"/>
                  <w:vAlign w:val="center"/>
                </w:tcPr>
                <w:p w14:paraId="7F847C9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项目为勘探井，不涉及运营期，调查施工期对土壤环境影响，对井场占地内、外土壤环境进行现状调查</w:t>
                  </w:r>
                </w:p>
              </w:tc>
              <w:tc>
                <w:tcPr>
                  <w:tcW w:w="2418" w:type="dxa"/>
                  <w:tcBorders>
                    <w:tl2br w:val="nil"/>
                    <w:tr2bl w:val="nil"/>
                  </w:tcBorders>
                  <w:noWrap w:val="0"/>
                  <w:vAlign w:val="center"/>
                </w:tcPr>
                <w:p w14:paraId="4094DE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铅、铜、铬(六价)、砷、汞、镍、镉、锌、pH、石油烃（C</w:t>
                  </w:r>
                  <w:r>
                    <w:rPr>
                      <w:rFonts w:hint="default" w:ascii="Times New Roman" w:hAnsi="Times New Roman" w:eastAsia="宋体" w:cs="Times New Roman"/>
                      <w:color w:val="auto"/>
                      <w:spacing w:val="0"/>
                      <w:w w:val="100"/>
                      <w:sz w:val="21"/>
                      <w:szCs w:val="21"/>
                      <w:highlight w:val="none"/>
                      <w:vertAlign w:val="subscript"/>
                      <w:lang w:val="en-US" w:eastAsia="zh-CN"/>
                    </w:rPr>
                    <w:t>6</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9</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10</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40</w:t>
                  </w:r>
                  <w:r>
                    <w:rPr>
                      <w:rFonts w:hint="default" w:ascii="Times New Roman" w:hAnsi="Times New Roman" w:eastAsia="宋体" w:cs="Times New Roman"/>
                      <w:color w:val="auto"/>
                      <w:spacing w:val="0"/>
                      <w:w w:val="100"/>
                      <w:sz w:val="21"/>
                      <w:szCs w:val="21"/>
                      <w:highlight w:val="none"/>
                      <w:lang w:val="en-US" w:eastAsia="zh-CN"/>
                    </w:rPr>
                    <w:t>）</w:t>
                  </w:r>
                </w:p>
              </w:tc>
            </w:tr>
            <w:tr w14:paraId="2D99D9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90DB1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4113" w:type="dxa"/>
                  <w:tcBorders>
                    <w:tl2br w:val="nil"/>
                    <w:tr2bl w:val="nil"/>
                  </w:tcBorders>
                  <w:noWrap w:val="0"/>
                  <w:vAlign w:val="center"/>
                </w:tcPr>
                <w:p w14:paraId="157A19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项目为勘探井，不涉及运营期，调查施工期噪声影响</w:t>
                  </w:r>
                </w:p>
              </w:tc>
              <w:tc>
                <w:tcPr>
                  <w:tcW w:w="2418" w:type="dxa"/>
                  <w:tcBorders>
                    <w:tl2br w:val="nil"/>
                    <w:tr2bl w:val="nil"/>
                  </w:tcBorders>
                  <w:noWrap w:val="0"/>
                  <w:vAlign w:val="center"/>
                </w:tcPr>
                <w:p w14:paraId="11A285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6067E8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63DB7A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4113" w:type="dxa"/>
                  <w:tcBorders>
                    <w:tl2br w:val="nil"/>
                    <w:tr2bl w:val="nil"/>
                  </w:tcBorders>
                  <w:noWrap w:val="0"/>
                  <w:vAlign w:val="center"/>
                </w:tcPr>
                <w:p w14:paraId="36EB88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调查调查钻井过程中一般固废、危险固废和生活垃圾的贮存、处置方式</w:t>
                  </w:r>
                </w:p>
              </w:tc>
              <w:tc>
                <w:tcPr>
                  <w:tcW w:w="2418" w:type="dxa"/>
                  <w:tcBorders>
                    <w:tl2br w:val="nil"/>
                    <w:tr2bl w:val="nil"/>
                  </w:tcBorders>
                  <w:noWrap w:val="0"/>
                  <w:vAlign w:val="center"/>
                </w:tcPr>
                <w:p w14:paraId="07483A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73514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tcBorders>
                    <w:tl2br w:val="nil"/>
                    <w:tr2bl w:val="nil"/>
                  </w:tcBorders>
                  <w:shd w:val="clear" w:color="auto" w:fill="auto"/>
                  <w:noWrap w:val="0"/>
                  <w:vAlign w:val="center"/>
                </w:tcPr>
                <w:p w14:paraId="44686A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eastAsia="zh-CN"/>
                    </w:rPr>
                    <w:t>环境风险</w:t>
                  </w:r>
                </w:p>
                <w:p w14:paraId="72F0D4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p>
              </w:tc>
              <w:tc>
                <w:tcPr>
                  <w:tcW w:w="4113" w:type="dxa"/>
                  <w:tcBorders>
                    <w:tl2br w:val="nil"/>
                    <w:tr2bl w:val="nil"/>
                  </w:tcBorders>
                  <w:shd w:val="clear" w:color="auto" w:fill="auto"/>
                  <w:noWrap w:val="0"/>
                  <w:vAlign w:val="center"/>
                </w:tcPr>
                <w:p w14:paraId="125946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柴油罐泄漏、井喷、放喷等故事环境风险影响， 环境风险防范管理措施；技术防范措施等</w:t>
                  </w:r>
                </w:p>
              </w:tc>
              <w:tc>
                <w:tcPr>
                  <w:tcW w:w="2418" w:type="dxa"/>
                  <w:tcBorders>
                    <w:tl2br w:val="nil"/>
                    <w:tr2bl w:val="nil"/>
                  </w:tcBorders>
                  <w:shd w:val="clear" w:color="auto" w:fill="auto"/>
                  <w:noWrap w:val="0"/>
                  <w:vAlign w:val="center"/>
                </w:tcPr>
                <w:p w14:paraId="644FC8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bl>
          <w:p w14:paraId="257D5A82">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w w:val="100"/>
                <w:highlight w:val="none"/>
              </w:rPr>
            </w:pPr>
          </w:p>
        </w:tc>
      </w:tr>
      <w:tr w14:paraId="1130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0CADF1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环境敏感目标</w:t>
            </w:r>
          </w:p>
        </w:tc>
        <w:tc>
          <w:tcPr>
            <w:tcW w:w="8054" w:type="dxa"/>
          </w:tcPr>
          <w:p w14:paraId="3A2E4A8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本</w:t>
            </w:r>
            <w:r>
              <w:rPr>
                <w:rFonts w:hint="eastAsia" w:ascii="Times New Roman" w:hAnsi="Times New Roman" w:eastAsia="宋体" w:cs="Times New Roman"/>
                <w:color w:val="auto"/>
                <w:spacing w:val="0"/>
                <w:w w:val="100"/>
                <w:sz w:val="24"/>
                <w:szCs w:val="24"/>
                <w:highlight w:val="none"/>
              </w:rPr>
              <w:t>次验收调查以环境影响评价文件</w:t>
            </w:r>
            <w:r>
              <w:rPr>
                <w:rFonts w:hint="eastAsia" w:ascii="Times New Roman" w:hAnsi="Times New Roman" w:eastAsia="宋体" w:cs="Times New Roman"/>
                <w:color w:val="auto"/>
                <w:spacing w:val="0"/>
                <w:w w:val="100"/>
                <w:sz w:val="24"/>
                <w:szCs w:val="24"/>
                <w:highlight w:val="none"/>
                <w:lang w:val="en-US" w:eastAsia="zh-CN"/>
              </w:rPr>
              <w:t>及批复文件</w:t>
            </w:r>
            <w:r>
              <w:rPr>
                <w:rFonts w:hint="eastAsia" w:ascii="Times New Roman" w:hAnsi="Times New Roman" w:eastAsia="宋体" w:cs="Times New Roman"/>
                <w:color w:val="auto"/>
                <w:spacing w:val="0"/>
                <w:w w:val="100"/>
                <w:sz w:val="24"/>
                <w:szCs w:val="24"/>
                <w:highlight w:val="none"/>
              </w:rPr>
              <w:t>为基础，通过资料收集及实地调查，工程评价范围内无自然保护区、</w:t>
            </w:r>
            <w:r>
              <w:rPr>
                <w:rFonts w:hint="eastAsia" w:ascii="Times New Roman" w:hAnsi="Times New Roman" w:eastAsia="宋体" w:cs="Times New Roman"/>
                <w:color w:val="auto"/>
                <w:spacing w:val="0"/>
                <w:w w:val="100"/>
                <w:sz w:val="24"/>
                <w:szCs w:val="24"/>
                <w:highlight w:val="none"/>
                <w:lang w:val="en-US" w:eastAsia="zh-CN"/>
              </w:rPr>
              <w:t>水源保护区、</w:t>
            </w:r>
            <w:r>
              <w:rPr>
                <w:rFonts w:hint="eastAsia" w:ascii="Times New Roman" w:hAnsi="Times New Roman" w:eastAsia="宋体" w:cs="Times New Roman"/>
                <w:color w:val="auto"/>
                <w:spacing w:val="0"/>
                <w:w w:val="100"/>
                <w:sz w:val="24"/>
                <w:szCs w:val="24"/>
                <w:highlight w:val="none"/>
              </w:rPr>
              <w:t>风景名胜区、文物古迹等需要特殊保护的环境敏感对象，不会因本项目的实施而改变区域环境现有功能。本次工作对环评阶段识别的环境敏感目标进行了校核，经调查，项目验收阶段环境敏感目标与环评阶段保持一致。</w:t>
            </w:r>
            <w:r>
              <w:rPr>
                <w:rFonts w:hint="eastAsia" w:ascii="Times New Roman" w:hAnsi="Times New Roman" w:eastAsia="宋体" w:cs="Times New Roman"/>
                <w:color w:val="auto"/>
                <w:spacing w:val="0"/>
                <w:w w:val="100"/>
                <w:sz w:val="24"/>
                <w:szCs w:val="24"/>
                <w:highlight w:val="none"/>
                <w:lang w:val="en-US" w:eastAsia="zh-CN"/>
              </w:rPr>
              <w:t>长探105、J</w:t>
            </w:r>
            <w:r>
              <w:rPr>
                <w:rFonts w:hint="eastAsia" w:ascii="Times New Roman" w:hAnsi="Times New Roman" w:cs="Times New Roman"/>
                <w:color w:val="auto"/>
                <w:sz w:val="24"/>
                <w:lang w:val="en-US" w:eastAsia="zh-CN"/>
              </w:rPr>
              <w:t>H2P44</w:t>
            </w:r>
            <w:r>
              <w:rPr>
                <w:rFonts w:hint="eastAsia" w:ascii="Times New Roman" w:hAnsi="Times New Roman" w:eastAsia="宋体" w:cs="Times New Roman"/>
                <w:color w:val="auto"/>
                <w:spacing w:val="0"/>
                <w:w w:val="100"/>
                <w:sz w:val="24"/>
                <w:szCs w:val="24"/>
                <w:highlight w:val="none"/>
              </w:rPr>
              <w:t>井场200m范围内无居民等环境敏感点</w:t>
            </w:r>
            <w:r>
              <w:rPr>
                <w:rFonts w:hint="eastAsia" w:ascii="Times New Roman" w:hAnsi="Times New Roman" w:eastAsia="宋体" w:cs="Times New Roman"/>
                <w:color w:val="auto"/>
                <w:spacing w:val="0"/>
                <w:w w:val="100"/>
                <w:sz w:val="24"/>
                <w:szCs w:val="24"/>
                <w:highlight w:val="none"/>
                <w:lang w:eastAsia="zh-CN"/>
              </w:rPr>
              <w:t>，</w:t>
            </w:r>
            <w:r>
              <w:rPr>
                <w:rFonts w:hint="eastAsia" w:ascii="Times New Roman" w:hAnsi="Times New Roman" w:eastAsia="宋体" w:cs="Times New Roman"/>
                <w:color w:val="auto"/>
                <w:spacing w:val="0"/>
                <w:w w:val="100"/>
                <w:sz w:val="24"/>
                <w:szCs w:val="24"/>
                <w:highlight w:val="none"/>
                <w:lang w:val="en-US" w:eastAsia="zh-CN"/>
              </w:rPr>
              <w:t>其他井场</w:t>
            </w:r>
            <w:r>
              <w:rPr>
                <w:rFonts w:hint="eastAsia" w:ascii="Times New Roman" w:hAnsi="Times New Roman" w:eastAsia="宋体" w:cs="Times New Roman"/>
                <w:color w:val="auto"/>
                <w:spacing w:val="0"/>
                <w:w w:val="100"/>
                <w:sz w:val="24"/>
                <w:szCs w:val="24"/>
                <w:highlight w:val="none"/>
              </w:rPr>
              <w:t>环境保护目标见下表</w:t>
            </w:r>
            <w:r>
              <w:rPr>
                <w:rFonts w:hint="default" w:ascii="Times New Roman" w:hAnsi="Times New Roman" w:eastAsia="宋体" w:cs="Times New Roman"/>
                <w:color w:val="auto"/>
                <w:spacing w:val="0"/>
                <w:w w:val="100"/>
                <w:sz w:val="24"/>
                <w:szCs w:val="24"/>
                <w:highlight w:val="none"/>
              </w:rPr>
              <w:t>。</w:t>
            </w:r>
          </w:p>
          <w:p w14:paraId="6465BB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lang w:val="en-US" w:eastAsia="zh-CN"/>
              </w:rPr>
            </w:pPr>
            <w:r>
              <w:rPr>
                <w:rFonts w:hint="default" w:ascii="Times New Roman" w:hAnsi="Times New Roman" w:eastAsia="宋体" w:cs="Times New Roman"/>
                <w:b/>
                <w:bCs/>
                <w:color w:val="auto"/>
                <w:spacing w:val="0"/>
                <w:w w:val="100"/>
                <w:sz w:val="21"/>
                <w:szCs w:val="21"/>
                <w:highlight w:val="none"/>
                <w:lang w:val="en-US" w:eastAsia="zh-CN"/>
              </w:rPr>
              <w:t>表2-3    项目主要环境敏感目标分布一览表</w:t>
            </w:r>
          </w:p>
          <w:tbl>
            <w:tblPr>
              <w:tblStyle w:val="25"/>
              <w:tblW w:w="5000" w:type="pct"/>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058"/>
              <w:gridCol w:w="1067"/>
              <w:gridCol w:w="965"/>
              <w:gridCol w:w="1048"/>
              <w:gridCol w:w="417"/>
              <w:gridCol w:w="645"/>
              <w:gridCol w:w="950"/>
              <w:gridCol w:w="1097"/>
            </w:tblGrid>
            <w:tr w14:paraId="79CCE8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359" w:type="pct"/>
                  <w:vMerge w:val="restart"/>
                  <w:tcBorders>
                    <w:tl2br w:val="nil"/>
                    <w:tr2bl w:val="nil"/>
                  </w:tcBorders>
                  <w:noWrap w:val="0"/>
                  <w:vAlign w:val="center"/>
                </w:tcPr>
                <w:p w14:paraId="530A0C0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名称</w:t>
                  </w:r>
                </w:p>
              </w:tc>
              <w:tc>
                <w:tcPr>
                  <w:tcW w:w="3938" w:type="pct"/>
                  <w:gridSpan w:val="7"/>
                  <w:tcBorders>
                    <w:tl2br w:val="nil"/>
                    <w:tr2bl w:val="nil"/>
                  </w:tcBorders>
                  <w:noWrap w:val="0"/>
                  <w:vAlign w:val="center"/>
                </w:tcPr>
                <w:p w14:paraId="0DB769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环评阶段</w:t>
                  </w:r>
                </w:p>
              </w:tc>
              <w:tc>
                <w:tcPr>
                  <w:tcW w:w="702" w:type="pct"/>
                  <w:tcBorders>
                    <w:tl2br w:val="nil"/>
                    <w:tr2bl w:val="nil"/>
                  </w:tcBorders>
                  <w:noWrap w:val="0"/>
                  <w:vAlign w:val="center"/>
                </w:tcPr>
                <w:p w14:paraId="48EA048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实际建设阶段</w:t>
                  </w:r>
                </w:p>
              </w:tc>
            </w:tr>
            <w:tr w14:paraId="48A36D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359" w:type="pct"/>
                  <w:vMerge w:val="continue"/>
                  <w:tcBorders>
                    <w:tl2br w:val="nil"/>
                    <w:tr2bl w:val="nil"/>
                  </w:tcBorders>
                  <w:noWrap w:val="0"/>
                  <w:vAlign w:val="center"/>
                </w:tcPr>
                <w:p w14:paraId="6CE0BE6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1360" w:type="pct"/>
                  <w:gridSpan w:val="2"/>
                  <w:tcBorders>
                    <w:tl2br w:val="nil"/>
                    <w:tr2bl w:val="nil"/>
                  </w:tcBorders>
                  <w:noWrap w:val="0"/>
                  <w:vAlign w:val="center"/>
                </w:tcPr>
                <w:p w14:paraId="0302BB8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坐标</w:t>
                  </w:r>
                </w:p>
              </w:tc>
              <w:tc>
                <w:tcPr>
                  <w:tcW w:w="617" w:type="pct"/>
                  <w:vMerge w:val="restart"/>
                  <w:tcBorders>
                    <w:tl2br w:val="nil"/>
                    <w:tr2bl w:val="nil"/>
                  </w:tcBorders>
                  <w:noWrap w:val="0"/>
                  <w:vAlign w:val="center"/>
                </w:tcPr>
                <w:p w14:paraId="2B527741">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保护对象</w:t>
                  </w:r>
                </w:p>
              </w:tc>
              <w:tc>
                <w:tcPr>
                  <w:tcW w:w="671" w:type="pct"/>
                  <w:vMerge w:val="restart"/>
                  <w:tcBorders>
                    <w:tl2br w:val="nil"/>
                    <w:tr2bl w:val="nil"/>
                  </w:tcBorders>
                  <w:noWrap w:val="0"/>
                  <w:vAlign w:val="center"/>
                </w:tcPr>
                <w:p w14:paraId="3E3D509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保护</w:t>
                  </w:r>
                </w:p>
                <w:p w14:paraId="2AED6AA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内容</w:t>
                  </w:r>
                </w:p>
              </w:tc>
              <w:tc>
                <w:tcPr>
                  <w:tcW w:w="267" w:type="pct"/>
                  <w:vMerge w:val="restart"/>
                  <w:tcBorders>
                    <w:tl2br w:val="nil"/>
                    <w:tr2bl w:val="nil"/>
                  </w:tcBorders>
                  <w:noWrap w:val="0"/>
                  <w:vAlign w:val="center"/>
                </w:tcPr>
                <w:p w14:paraId="0D76EDD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环境功能区</w:t>
                  </w:r>
                </w:p>
              </w:tc>
              <w:tc>
                <w:tcPr>
                  <w:tcW w:w="413" w:type="pct"/>
                  <w:vMerge w:val="restart"/>
                  <w:tcBorders>
                    <w:tl2br w:val="nil"/>
                    <w:tr2bl w:val="nil"/>
                  </w:tcBorders>
                  <w:noWrap w:val="0"/>
                  <w:vAlign w:val="center"/>
                </w:tcPr>
                <w:p w14:paraId="642363E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相对厂址方位</w:t>
                  </w:r>
                </w:p>
              </w:tc>
              <w:tc>
                <w:tcPr>
                  <w:tcW w:w="608" w:type="pct"/>
                  <w:vMerge w:val="restart"/>
                  <w:tcBorders>
                    <w:tl2br w:val="nil"/>
                    <w:tr2bl w:val="nil"/>
                  </w:tcBorders>
                  <w:noWrap w:val="0"/>
                  <w:vAlign w:val="center"/>
                </w:tcPr>
                <w:p w14:paraId="24916A3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相对厂界最近距离（m）</w:t>
                  </w:r>
                </w:p>
              </w:tc>
              <w:tc>
                <w:tcPr>
                  <w:tcW w:w="702" w:type="pct"/>
                  <w:vMerge w:val="restart"/>
                  <w:tcBorders>
                    <w:tl2br w:val="nil"/>
                    <w:tr2bl w:val="nil"/>
                  </w:tcBorders>
                  <w:noWrap w:val="0"/>
                  <w:vAlign w:val="center"/>
                </w:tcPr>
                <w:p w14:paraId="7A5A49C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r w14:paraId="2ADF5B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9" w:type="pct"/>
                  <w:vMerge w:val="continue"/>
                  <w:tcBorders>
                    <w:tl2br w:val="nil"/>
                    <w:tr2bl w:val="nil"/>
                  </w:tcBorders>
                  <w:noWrap w:val="0"/>
                  <w:vAlign w:val="center"/>
                </w:tcPr>
                <w:p w14:paraId="74EDBAE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noWrap w:val="0"/>
                  <w:vAlign w:val="center"/>
                </w:tcPr>
                <w:p w14:paraId="451D2DA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E</w:t>
                  </w:r>
                </w:p>
              </w:tc>
              <w:tc>
                <w:tcPr>
                  <w:tcW w:w="683" w:type="pct"/>
                  <w:tcBorders>
                    <w:tl2br w:val="nil"/>
                    <w:tr2bl w:val="nil"/>
                  </w:tcBorders>
                  <w:noWrap w:val="0"/>
                  <w:vAlign w:val="center"/>
                </w:tcPr>
                <w:p w14:paraId="07F940D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N</w:t>
                  </w:r>
                </w:p>
              </w:tc>
              <w:tc>
                <w:tcPr>
                  <w:tcW w:w="617" w:type="pct"/>
                  <w:vMerge w:val="continue"/>
                  <w:tcBorders>
                    <w:tl2br w:val="nil"/>
                    <w:tr2bl w:val="nil"/>
                  </w:tcBorders>
                  <w:noWrap w:val="0"/>
                  <w:vAlign w:val="center"/>
                </w:tcPr>
                <w:p w14:paraId="5A085DC0">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sz w:val="21"/>
                      <w:szCs w:val="21"/>
                      <w:lang w:val="en-US" w:eastAsia="zh-CN"/>
                    </w:rPr>
                  </w:pPr>
                </w:p>
              </w:tc>
              <w:tc>
                <w:tcPr>
                  <w:tcW w:w="671" w:type="pct"/>
                  <w:vMerge w:val="continue"/>
                  <w:tcBorders>
                    <w:tl2br w:val="nil"/>
                    <w:tr2bl w:val="nil"/>
                  </w:tcBorders>
                  <w:noWrap w:val="0"/>
                  <w:vAlign w:val="center"/>
                </w:tcPr>
                <w:p w14:paraId="78D53B6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267" w:type="pct"/>
                  <w:vMerge w:val="continue"/>
                  <w:tcBorders>
                    <w:tl2br w:val="nil"/>
                    <w:tr2bl w:val="nil"/>
                  </w:tcBorders>
                  <w:noWrap w:val="0"/>
                  <w:vAlign w:val="center"/>
                </w:tcPr>
                <w:p w14:paraId="562FAF9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413" w:type="pct"/>
                  <w:vMerge w:val="continue"/>
                  <w:tcBorders>
                    <w:tl2br w:val="nil"/>
                    <w:tr2bl w:val="nil"/>
                  </w:tcBorders>
                  <w:noWrap w:val="0"/>
                  <w:vAlign w:val="center"/>
                </w:tcPr>
                <w:p w14:paraId="652E2D9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08" w:type="pct"/>
                  <w:vMerge w:val="continue"/>
                  <w:tcBorders>
                    <w:tl2br w:val="nil"/>
                    <w:tr2bl w:val="nil"/>
                  </w:tcBorders>
                  <w:noWrap w:val="0"/>
                  <w:vAlign w:val="center"/>
                </w:tcPr>
                <w:p w14:paraId="61313C9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702" w:type="pct"/>
                  <w:vMerge w:val="continue"/>
                  <w:tcBorders>
                    <w:tl2br w:val="nil"/>
                    <w:tr2bl w:val="nil"/>
                  </w:tcBorders>
                  <w:noWrap w:val="0"/>
                  <w:vAlign w:val="center"/>
                </w:tcPr>
                <w:p w14:paraId="39A41AB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6CD0F1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359" w:type="pct"/>
                  <w:vMerge w:val="restart"/>
                  <w:tcBorders>
                    <w:tl2br w:val="nil"/>
                    <w:tr2bl w:val="nil"/>
                  </w:tcBorders>
                  <w:shd w:val="clear" w:color="auto" w:fill="auto"/>
                  <w:noWrap w:val="0"/>
                  <w:vAlign w:val="center"/>
                </w:tcPr>
                <w:p w14:paraId="13BFE5C0">
                  <w:pPr>
                    <w:keepNext w:val="0"/>
                    <w:keepLines w:val="0"/>
                    <w:widowControl/>
                    <w:suppressLineNumbers w:val="0"/>
                    <w:autoSpaceDE w:val="0"/>
                    <w:autoSpaceDN w:val="0"/>
                    <w:adjustRightInd w:val="0"/>
                    <w:spacing w:before="0" w:beforeAutospacing="0" w:afterAutospacing="0"/>
                    <w:ind w:left="0" w:right="0"/>
                    <w:jc w:val="center"/>
                    <w:rPr>
                      <w:rFonts w:hint="default" w:ascii="Times New Roman" w:hAnsi="Times New Roman" w:eastAsia="宋体" w:cs="Times New Roman"/>
                      <w:color w:val="auto"/>
                      <w:sz w:val="22"/>
                      <w:szCs w:val="21"/>
                      <w:lang w:val="en-US" w:eastAsia="zh-CN" w:bidi="ar-SA"/>
                    </w:rPr>
                  </w:pPr>
                  <w:r>
                    <w:rPr>
                      <w:rFonts w:hint="eastAsia" w:ascii="Times New Roman" w:hAnsi="Times New Roman" w:eastAsia="宋体" w:cs="Times New Roman"/>
                      <w:color w:val="auto"/>
                      <w:szCs w:val="21"/>
                      <w:lang w:val="en-US" w:eastAsia="zh-CN"/>
                    </w:rPr>
                    <w:t>JH2P42</w:t>
                  </w:r>
                </w:p>
                <w:p w14:paraId="7B27503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shd w:val="clear" w:color="auto" w:fill="auto"/>
                  <w:noWrap w:val="0"/>
                  <w:vAlign w:val="center"/>
                </w:tcPr>
                <w:p w14:paraId="2FB81199">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107</w:t>
                  </w:r>
                  <w:r>
                    <w:rPr>
                      <w:rFonts w:hint="default" w:ascii="Times New Roman" w:hAnsi="Times New Roman" w:cs="Times New Roman"/>
                      <w:color w:val="auto"/>
                      <w:szCs w:val="21"/>
                    </w:rPr>
                    <w:t>°</w:t>
                  </w:r>
                  <w:r>
                    <w:rPr>
                      <w:rFonts w:hint="eastAsia" w:ascii="Times New Roman" w:hAnsi="Times New Roman" w:eastAsia="宋体" w:cs="Times New Roman"/>
                      <w:color w:val="auto"/>
                      <w:sz w:val="21"/>
                      <w:szCs w:val="21"/>
                      <w:lang w:val="en-US" w:eastAsia="zh-CN"/>
                    </w:rPr>
                    <w:t>57</w:t>
                  </w:r>
                  <w:r>
                    <w:rPr>
                      <w:rFonts w:hint="default" w:ascii="Times New Roman" w:hAnsi="Times New Roman" w:cs="Times New Roman"/>
                      <w:color w:val="auto"/>
                      <w:szCs w:val="21"/>
                    </w:rPr>
                    <w:t>′</w:t>
                  </w:r>
                  <w:r>
                    <w:rPr>
                      <w:rFonts w:hint="eastAsia" w:ascii="Times New Roman" w:hAnsi="Times New Roman" w:eastAsia="宋体" w:cs="Times New Roman"/>
                      <w:color w:val="auto"/>
                      <w:sz w:val="21"/>
                      <w:szCs w:val="21"/>
                      <w:lang w:val="en-US" w:eastAsia="zh-CN"/>
                    </w:rPr>
                    <w:t>35.759</w:t>
                  </w:r>
                  <w:r>
                    <w:rPr>
                      <w:rFonts w:hint="default" w:ascii="Times New Roman" w:hAnsi="Times New Roman" w:cs="Times New Roman"/>
                      <w:color w:val="auto"/>
                      <w:szCs w:val="21"/>
                    </w:rPr>
                    <w:t>″</w:t>
                  </w:r>
                </w:p>
              </w:tc>
              <w:tc>
                <w:tcPr>
                  <w:tcW w:w="683" w:type="pct"/>
                  <w:tcBorders>
                    <w:tl2br w:val="nil"/>
                    <w:tr2bl w:val="nil"/>
                  </w:tcBorders>
                  <w:shd w:val="clear" w:color="auto" w:fill="auto"/>
                  <w:noWrap w:val="0"/>
                  <w:vAlign w:val="center"/>
                </w:tcPr>
                <w:p w14:paraId="307C6D1E">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35</w:t>
                  </w:r>
                  <w:r>
                    <w:rPr>
                      <w:rFonts w:hint="default" w:ascii="Times New Roman" w:hAnsi="Times New Roman" w:cs="Times New Roman"/>
                      <w:color w:val="auto"/>
                      <w:szCs w:val="21"/>
                    </w:rPr>
                    <w:t>°</w:t>
                  </w:r>
                  <w:r>
                    <w:rPr>
                      <w:rFonts w:hint="eastAsia" w:ascii="Times New Roman" w:hAnsi="Times New Roman" w:eastAsia="宋体" w:cs="Times New Roman"/>
                      <w:color w:val="auto"/>
                      <w:sz w:val="21"/>
                      <w:szCs w:val="21"/>
                      <w:lang w:val="en-US" w:eastAsia="zh-CN"/>
                    </w:rPr>
                    <w:t>24</w:t>
                  </w:r>
                  <w:r>
                    <w:rPr>
                      <w:rFonts w:hint="default" w:ascii="Times New Roman" w:hAnsi="Times New Roman" w:cs="Times New Roman"/>
                      <w:color w:val="auto"/>
                      <w:szCs w:val="21"/>
                    </w:rPr>
                    <w:t>′</w:t>
                  </w:r>
                  <w:r>
                    <w:rPr>
                      <w:rFonts w:hint="eastAsia" w:ascii="Times New Roman" w:hAnsi="Times New Roman" w:eastAsia="宋体" w:cs="Times New Roman"/>
                      <w:color w:val="auto"/>
                      <w:sz w:val="21"/>
                      <w:szCs w:val="21"/>
                      <w:lang w:val="en-US" w:eastAsia="zh-CN"/>
                    </w:rPr>
                    <w:t>25.179</w:t>
                  </w:r>
                  <w:r>
                    <w:rPr>
                      <w:rFonts w:hint="default" w:ascii="Times New Roman" w:hAnsi="Times New Roman" w:cs="Times New Roman"/>
                      <w:color w:val="auto"/>
                      <w:szCs w:val="21"/>
                    </w:rPr>
                    <w:t>″</w:t>
                  </w:r>
                </w:p>
              </w:tc>
              <w:tc>
                <w:tcPr>
                  <w:tcW w:w="617" w:type="pct"/>
                  <w:tcBorders>
                    <w:tl2br w:val="nil"/>
                    <w:tr2bl w:val="nil"/>
                  </w:tcBorders>
                  <w:shd w:val="clear" w:color="auto" w:fill="auto"/>
                  <w:noWrap w:val="0"/>
                  <w:vAlign w:val="center"/>
                </w:tcPr>
                <w:p w14:paraId="330A6BF2">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w:t>
                  </w:r>
                  <w:r>
                    <w:rPr>
                      <w:rFonts w:hint="default" w:ascii="Times New Roman" w:hAnsi="Times New Roman" w:eastAsia="宋体" w:cs="Times New Roman"/>
                      <w:color w:val="auto"/>
                      <w:sz w:val="21"/>
                      <w:szCs w:val="21"/>
                      <w:lang w:val="en-US" w:eastAsia="zh-CN"/>
                    </w:rPr>
                    <w:t>户村民/</w:t>
                  </w:r>
                  <w:r>
                    <w:rPr>
                      <w:rFonts w:hint="eastAsia" w:ascii="Times New Roman" w:hAnsi="Times New Roman" w:eastAsia="宋体" w:cs="Times New Roman"/>
                      <w:color w:val="auto"/>
                      <w:sz w:val="21"/>
                      <w:szCs w:val="21"/>
                      <w:lang w:val="en-US" w:eastAsia="zh-CN"/>
                    </w:rPr>
                    <w:t>16</w:t>
                  </w:r>
                  <w:r>
                    <w:rPr>
                      <w:rFonts w:hint="default" w:ascii="Times New Roman" w:hAnsi="Times New Roman" w:eastAsia="宋体" w:cs="Times New Roman"/>
                      <w:color w:val="auto"/>
                      <w:sz w:val="21"/>
                      <w:szCs w:val="21"/>
                      <w:lang w:val="en-US" w:eastAsia="zh-CN"/>
                    </w:rPr>
                    <w:t>人</w:t>
                  </w:r>
                </w:p>
              </w:tc>
              <w:tc>
                <w:tcPr>
                  <w:tcW w:w="671" w:type="pct"/>
                  <w:vMerge w:val="restart"/>
                  <w:tcBorders>
                    <w:tl2br w:val="nil"/>
                    <w:tr2bl w:val="nil"/>
                  </w:tcBorders>
                  <w:noWrap w:val="0"/>
                  <w:vAlign w:val="center"/>
                </w:tcPr>
                <w:p w14:paraId="314A142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p w14:paraId="17DEC10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声环境</w:t>
                  </w:r>
                  <w:r>
                    <w:rPr>
                      <w:rFonts w:hint="eastAsia" w:ascii="Times New Roman" w:hAnsi="Times New Roman" w:eastAsia="宋体" w:cs="Times New Roman"/>
                      <w:bCs/>
                      <w:color w:val="auto"/>
                      <w:sz w:val="21"/>
                      <w:szCs w:val="21"/>
                      <w:lang w:val="en-US" w:eastAsia="zh-CN"/>
                    </w:rPr>
                    <w:t>、环境空气</w:t>
                  </w:r>
                </w:p>
              </w:tc>
              <w:tc>
                <w:tcPr>
                  <w:tcW w:w="267" w:type="pct"/>
                  <w:vMerge w:val="restart"/>
                  <w:tcBorders>
                    <w:tl2br w:val="nil"/>
                    <w:tr2bl w:val="nil"/>
                  </w:tcBorders>
                  <w:noWrap w:val="0"/>
                  <w:vAlign w:val="center"/>
                </w:tcPr>
                <w:p w14:paraId="15A24D7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bCs/>
                      <w:color w:val="auto"/>
                      <w:sz w:val="21"/>
                      <w:szCs w:val="21"/>
                      <w:lang w:val="en-US" w:eastAsia="zh-CN"/>
                    </w:rPr>
                    <w:t>二类</w:t>
                  </w:r>
                </w:p>
              </w:tc>
              <w:tc>
                <w:tcPr>
                  <w:tcW w:w="413" w:type="pct"/>
                  <w:tcBorders>
                    <w:tl2br w:val="nil"/>
                    <w:tr2bl w:val="nil"/>
                  </w:tcBorders>
                  <w:shd w:val="clear" w:color="auto" w:fill="auto"/>
                  <w:noWrap w:val="0"/>
                  <w:vAlign w:val="center"/>
                </w:tcPr>
                <w:p w14:paraId="0821F7F6">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szCs w:val="21"/>
                      <w:lang w:val="en-US" w:eastAsia="zh-CN"/>
                    </w:rPr>
                    <w:t>NE</w:t>
                  </w:r>
                </w:p>
              </w:tc>
              <w:tc>
                <w:tcPr>
                  <w:tcW w:w="608" w:type="pct"/>
                  <w:tcBorders>
                    <w:tl2br w:val="nil"/>
                    <w:tr2bl w:val="nil"/>
                  </w:tcBorders>
                  <w:shd w:val="clear" w:color="auto" w:fill="auto"/>
                  <w:noWrap w:val="0"/>
                  <w:vAlign w:val="center"/>
                </w:tcPr>
                <w:p w14:paraId="0F5A4A3E">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101</w:t>
                  </w:r>
                </w:p>
              </w:tc>
              <w:tc>
                <w:tcPr>
                  <w:tcW w:w="702" w:type="pct"/>
                  <w:vMerge w:val="continue"/>
                  <w:tcBorders>
                    <w:tl2br w:val="nil"/>
                    <w:tr2bl w:val="nil"/>
                  </w:tcBorders>
                  <w:noWrap w:val="0"/>
                  <w:vAlign w:val="center"/>
                </w:tcPr>
                <w:p w14:paraId="49A5209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1114D7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359" w:type="pct"/>
                  <w:vMerge w:val="continue"/>
                  <w:tcBorders>
                    <w:tl2br w:val="nil"/>
                    <w:tr2bl w:val="nil"/>
                  </w:tcBorders>
                  <w:shd w:val="clear" w:color="auto" w:fill="auto"/>
                  <w:noWrap w:val="0"/>
                  <w:vAlign w:val="center"/>
                </w:tcPr>
                <w:p w14:paraId="009092D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shd w:val="clear" w:color="auto" w:fill="auto"/>
                  <w:noWrap w:val="0"/>
                  <w:vAlign w:val="center"/>
                </w:tcPr>
                <w:p w14:paraId="24C4193F">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color w:val="auto"/>
                      <w:kern w:val="2"/>
                      <w:sz w:val="21"/>
                      <w:szCs w:val="21"/>
                      <w:lang w:val="en-US" w:eastAsia="zh-CN" w:bidi="ar-SA"/>
                    </w:rPr>
                  </w:pPr>
                  <w:r>
                    <w:rPr>
                      <w:rFonts w:hint="default" w:ascii="Times New Roman" w:hAnsi="Times New Roman" w:cs="Times New Roman"/>
                      <w:color w:val="auto"/>
                      <w:szCs w:val="21"/>
                    </w:rPr>
                    <w:t>107°57′36.957″</w:t>
                  </w:r>
                </w:p>
              </w:tc>
              <w:tc>
                <w:tcPr>
                  <w:tcW w:w="683" w:type="pct"/>
                  <w:tcBorders>
                    <w:tl2br w:val="nil"/>
                    <w:tr2bl w:val="nil"/>
                  </w:tcBorders>
                  <w:shd w:val="clear" w:color="auto" w:fill="auto"/>
                  <w:noWrap w:val="0"/>
                  <w:vAlign w:val="center"/>
                </w:tcPr>
                <w:p w14:paraId="7FC4D2AC">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color w:val="auto"/>
                      <w:kern w:val="2"/>
                      <w:sz w:val="21"/>
                      <w:szCs w:val="21"/>
                      <w:lang w:val="en-US" w:eastAsia="zh-CN" w:bidi="ar-SA"/>
                    </w:rPr>
                  </w:pPr>
                  <w:r>
                    <w:rPr>
                      <w:rFonts w:hint="default" w:ascii="Times New Roman" w:hAnsi="Times New Roman" w:cs="Times New Roman"/>
                      <w:color w:val="auto"/>
                      <w:szCs w:val="21"/>
                    </w:rPr>
                    <w:t>35°24′22.475″</w:t>
                  </w:r>
                </w:p>
              </w:tc>
              <w:tc>
                <w:tcPr>
                  <w:tcW w:w="617" w:type="pct"/>
                  <w:tcBorders>
                    <w:tl2br w:val="nil"/>
                    <w:tr2bl w:val="nil"/>
                  </w:tcBorders>
                  <w:shd w:val="clear" w:color="auto" w:fill="auto"/>
                  <w:noWrap w:val="0"/>
                  <w:vAlign w:val="center"/>
                </w:tcPr>
                <w:p w14:paraId="0E10AF92">
                  <w:pPr>
                    <w:keepNext w:val="0"/>
                    <w:keepLines w:val="0"/>
                    <w:widowControl/>
                    <w:suppressLineNumbers w:val="0"/>
                    <w:spacing w:before="0" w:beforeAutospacing="0" w:afterAutospacing="0"/>
                    <w:ind w:left="0" w:right="0"/>
                    <w:jc w:val="center"/>
                    <w:textAlignment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w:t>
                  </w:r>
                  <w:r>
                    <w:rPr>
                      <w:rFonts w:hint="default" w:ascii="Times New Roman" w:hAnsi="Times New Roman" w:eastAsia="宋体" w:cs="Times New Roman"/>
                      <w:color w:val="auto"/>
                      <w:sz w:val="21"/>
                      <w:szCs w:val="21"/>
                      <w:lang w:val="en-US" w:eastAsia="zh-CN"/>
                    </w:rPr>
                    <w:t>户村民/</w:t>
                  </w:r>
                  <w:r>
                    <w:rPr>
                      <w:rFonts w:hint="eastAsia" w:ascii="Times New Roman" w:hAnsi="Times New Roman" w:eastAsia="宋体" w:cs="Times New Roman"/>
                      <w:color w:val="auto"/>
                      <w:sz w:val="21"/>
                      <w:szCs w:val="21"/>
                      <w:lang w:val="en-US" w:eastAsia="zh-CN"/>
                    </w:rPr>
                    <w:t>4</w:t>
                  </w:r>
                  <w:r>
                    <w:rPr>
                      <w:rFonts w:hint="default" w:ascii="Times New Roman" w:hAnsi="Times New Roman" w:eastAsia="宋体" w:cs="Times New Roman"/>
                      <w:color w:val="auto"/>
                      <w:sz w:val="21"/>
                      <w:szCs w:val="21"/>
                      <w:lang w:val="en-US" w:eastAsia="zh-CN"/>
                    </w:rPr>
                    <w:t>人</w:t>
                  </w:r>
                </w:p>
              </w:tc>
              <w:tc>
                <w:tcPr>
                  <w:tcW w:w="671" w:type="pct"/>
                  <w:vMerge w:val="continue"/>
                  <w:tcBorders>
                    <w:tl2br w:val="nil"/>
                    <w:tr2bl w:val="nil"/>
                  </w:tcBorders>
                  <w:noWrap w:val="0"/>
                  <w:vAlign w:val="center"/>
                </w:tcPr>
                <w:p w14:paraId="6902065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267" w:type="pct"/>
                  <w:vMerge w:val="continue"/>
                  <w:tcBorders>
                    <w:tl2br w:val="nil"/>
                    <w:tr2bl w:val="nil"/>
                  </w:tcBorders>
                  <w:noWrap w:val="0"/>
                  <w:vAlign w:val="center"/>
                </w:tcPr>
                <w:p w14:paraId="25A559E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1"/>
                      <w:lang w:val="en-US" w:eastAsia="zh-CN"/>
                    </w:rPr>
                  </w:pPr>
                </w:p>
              </w:tc>
              <w:tc>
                <w:tcPr>
                  <w:tcW w:w="413" w:type="pct"/>
                  <w:tcBorders>
                    <w:tl2br w:val="nil"/>
                    <w:tr2bl w:val="nil"/>
                  </w:tcBorders>
                  <w:shd w:val="clear" w:color="auto" w:fill="auto"/>
                  <w:noWrap w:val="0"/>
                  <w:vAlign w:val="center"/>
                </w:tcPr>
                <w:p w14:paraId="36170324">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szCs w:val="21"/>
                      <w:lang w:val="en-US" w:eastAsia="zh-CN"/>
                    </w:rPr>
                    <w:t>E</w:t>
                  </w:r>
                </w:p>
              </w:tc>
              <w:tc>
                <w:tcPr>
                  <w:tcW w:w="608" w:type="pct"/>
                  <w:tcBorders>
                    <w:tl2br w:val="nil"/>
                    <w:tr2bl w:val="nil"/>
                  </w:tcBorders>
                  <w:shd w:val="clear" w:color="auto" w:fill="auto"/>
                  <w:noWrap w:val="0"/>
                  <w:vAlign w:val="center"/>
                </w:tcPr>
                <w:p w14:paraId="4621E286">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108</w:t>
                  </w:r>
                </w:p>
              </w:tc>
              <w:tc>
                <w:tcPr>
                  <w:tcW w:w="702" w:type="pct"/>
                  <w:vMerge w:val="continue"/>
                  <w:tcBorders>
                    <w:tl2br w:val="nil"/>
                    <w:tr2bl w:val="nil"/>
                  </w:tcBorders>
                  <w:noWrap w:val="0"/>
                  <w:vAlign w:val="center"/>
                </w:tcPr>
                <w:p w14:paraId="2E7507B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500BB0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359" w:type="pct"/>
                  <w:vMerge w:val="continue"/>
                  <w:tcBorders>
                    <w:tl2br w:val="nil"/>
                    <w:tr2bl w:val="nil"/>
                  </w:tcBorders>
                  <w:noWrap w:val="0"/>
                  <w:vAlign w:val="center"/>
                </w:tcPr>
                <w:p w14:paraId="289E8D9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shd w:val="clear" w:color="auto" w:fill="auto"/>
                  <w:noWrap w:val="0"/>
                  <w:vAlign w:val="center"/>
                </w:tcPr>
                <w:p w14:paraId="28A14004">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color w:val="auto"/>
                      <w:kern w:val="2"/>
                      <w:sz w:val="21"/>
                      <w:szCs w:val="21"/>
                      <w:lang w:val="en-US" w:eastAsia="zh-CN" w:bidi="ar-SA"/>
                    </w:rPr>
                  </w:pPr>
                  <w:r>
                    <w:rPr>
                      <w:rFonts w:hint="default" w:ascii="Times New Roman" w:hAnsi="Times New Roman" w:cs="Times New Roman"/>
                      <w:color w:val="auto"/>
                      <w:szCs w:val="21"/>
                    </w:rPr>
                    <w:t>107°57′39.274″</w:t>
                  </w:r>
                </w:p>
              </w:tc>
              <w:tc>
                <w:tcPr>
                  <w:tcW w:w="683" w:type="pct"/>
                  <w:tcBorders>
                    <w:tl2br w:val="nil"/>
                    <w:tr2bl w:val="nil"/>
                  </w:tcBorders>
                  <w:shd w:val="clear" w:color="auto" w:fill="auto"/>
                  <w:noWrap w:val="0"/>
                  <w:vAlign w:val="center"/>
                </w:tcPr>
                <w:p w14:paraId="261DF08F">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color w:val="auto"/>
                      <w:kern w:val="2"/>
                      <w:sz w:val="21"/>
                      <w:szCs w:val="21"/>
                      <w:lang w:val="en-US" w:eastAsia="zh-CN" w:bidi="ar-SA"/>
                    </w:rPr>
                  </w:pPr>
                  <w:r>
                    <w:rPr>
                      <w:rFonts w:hint="default" w:ascii="Times New Roman" w:hAnsi="Times New Roman" w:cs="Times New Roman"/>
                      <w:color w:val="auto"/>
                      <w:szCs w:val="21"/>
                    </w:rPr>
                    <w:t>35°24′24.175″</w:t>
                  </w:r>
                </w:p>
              </w:tc>
              <w:tc>
                <w:tcPr>
                  <w:tcW w:w="617" w:type="pct"/>
                  <w:tcBorders>
                    <w:tl2br w:val="nil"/>
                    <w:tr2bl w:val="nil"/>
                  </w:tcBorders>
                  <w:shd w:val="clear" w:color="auto" w:fill="auto"/>
                  <w:noWrap w:val="0"/>
                  <w:vAlign w:val="center"/>
                </w:tcPr>
                <w:p w14:paraId="04A648C2">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w:t>
                  </w:r>
                  <w:r>
                    <w:rPr>
                      <w:rFonts w:hint="default" w:ascii="Times New Roman" w:hAnsi="Times New Roman" w:eastAsia="宋体" w:cs="Times New Roman"/>
                      <w:color w:val="auto"/>
                      <w:sz w:val="21"/>
                      <w:szCs w:val="21"/>
                      <w:lang w:val="en-US" w:eastAsia="zh-CN"/>
                    </w:rPr>
                    <w:t>户村民/</w:t>
                  </w:r>
                  <w:r>
                    <w:rPr>
                      <w:rFonts w:hint="eastAsia" w:ascii="Times New Roman" w:hAnsi="Times New Roman" w:eastAsia="宋体" w:cs="Times New Roman"/>
                      <w:color w:val="auto"/>
                      <w:sz w:val="21"/>
                      <w:szCs w:val="21"/>
                      <w:lang w:val="en-US" w:eastAsia="zh-CN"/>
                    </w:rPr>
                    <w:t>4</w:t>
                  </w:r>
                  <w:r>
                    <w:rPr>
                      <w:rFonts w:hint="default" w:ascii="Times New Roman" w:hAnsi="Times New Roman" w:eastAsia="宋体" w:cs="Times New Roman"/>
                      <w:color w:val="auto"/>
                      <w:sz w:val="21"/>
                      <w:szCs w:val="21"/>
                      <w:lang w:val="en-US" w:eastAsia="zh-CN"/>
                    </w:rPr>
                    <w:t>人</w:t>
                  </w:r>
                </w:p>
              </w:tc>
              <w:tc>
                <w:tcPr>
                  <w:tcW w:w="671" w:type="pct"/>
                  <w:vMerge w:val="continue"/>
                  <w:tcBorders>
                    <w:tl2br w:val="nil"/>
                    <w:tr2bl w:val="nil"/>
                  </w:tcBorders>
                  <w:noWrap w:val="0"/>
                  <w:vAlign w:val="center"/>
                </w:tcPr>
                <w:p w14:paraId="2A2BACA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267" w:type="pct"/>
                  <w:vMerge w:val="continue"/>
                  <w:tcBorders>
                    <w:tl2br w:val="nil"/>
                    <w:tr2bl w:val="nil"/>
                  </w:tcBorders>
                  <w:noWrap w:val="0"/>
                  <w:vAlign w:val="center"/>
                </w:tcPr>
                <w:p w14:paraId="5AE04AC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413" w:type="pct"/>
                  <w:tcBorders>
                    <w:tl2br w:val="nil"/>
                    <w:tr2bl w:val="nil"/>
                  </w:tcBorders>
                  <w:shd w:val="clear" w:color="auto" w:fill="auto"/>
                  <w:noWrap w:val="0"/>
                  <w:vAlign w:val="center"/>
                </w:tcPr>
                <w:p w14:paraId="2B05FE23">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szCs w:val="21"/>
                      <w:lang w:val="en-US" w:eastAsia="zh-CN"/>
                    </w:rPr>
                    <w:t>E</w:t>
                  </w:r>
                </w:p>
              </w:tc>
              <w:tc>
                <w:tcPr>
                  <w:tcW w:w="608" w:type="pct"/>
                  <w:tcBorders>
                    <w:tl2br w:val="nil"/>
                    <w:tr2bl w:val="nil"/>
                  </w:tcBorders>
                  <w:shd w:val="clear" w:color="auto" w:fill="auto"/>
                  <w:noWrap w:val="0"/>
                  <w:vAlign w:val="center"/>
                </w:tcPr>
                <w:p w14:paraId="3CB0C7B5">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183</w:t>
                  </w:r>
                </w:p>
              </w:tc>
              <w:tc>
                <w:tcPr>
                  <w:tcW w:w="702" w:type="pct"/>
                  <w:vMerge w:val="continue"/>
                  <w:tcBorders>
                    <w:tl2br w:val="nil"/>
                    <w:tr2bl w:val="nil"/>
                  </w:tcBorders>
                  <w:noWrap w:val="0"/>
                  <w:vAlign w:val="center"/>
                </w:tcPr>
                <w:p w14:paraId="7A8B43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3CB1B4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9" w:type="pct"/>
                  <w:vMerge w:val="restart"/>
                  <w:tcBorders>
                    <w:tl2br w:val="nil"/>
                    <w:tr2bl w:val="nil"/>
                  </w:tcBorders>
                  <w:noWrap w:val="0"/>
                  <w:vAlign w:val="center"/>
                </w:tcPr>
                <w:p w14:paraId="1F9B851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良平201H</w:t>
                  </w:r>
                </w:p>
              </w:tc>
              <w:tc>
                <w:tcPr>
                  <w:tcW w:w="677" w:type="pct"/>
                  <w:tcBorders>
                    <w:tl2br w:val="nil"/>
                    <w:tr2bl w:val="nil"/>
                  </w:tcBorders>
                  <w:shd w:val="clear" w:color="auto" w:fill="auto"/>
                  <w:noWrap w:val="0"/>
                  <w:vAlign w:val="center"/>
                </w:tcPr>
                <w:p w14:paraId="60FE27D9">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107°57′3.277″</w:t>
                  </w:r>
                </w:p>
              </w:tc>
              <w:tc>
                <w:tcPr>
                  <w:tcW w:w="683" w:type="pct"/>
                  <w:tcBorders>
                    <w:tl2br w:val="nil"/>
                    <w:tr2bl w:val="nil"/>
                  </w:tcBorders>
                  <w:shd w:val="clear" w:color="auto" w:fill="auto"/>
                  <w:noWrap w:val="0"/>
                  <w:vAlign w:val="center"/>
                </w:tcPr>
                <w:p w14:paraId="5F67C732">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35°25′39.119</w:t>
                  </w:r>
                  <w:r>
                    <w:rPr>
                      <w:rFonts w:hint="default" w:ascii="Times New Roman" w:hAnsi="Times New Roman" w:eastAsia="宋体" w:cs="Times New Roman"/>
                      <w:color w:val="auto"/>
                      <w:szCs w:val="21"/>
                      <w:lang w:val="en-US" w:eastAsia="zh-CN"/>
                    </w:rPr>
                    <w:t>″</w:t>
                  </w:r>
                </w:p>
              </w:tc>
              <w:tc>
                <w:tcPr>
                  <w:tcW w:w="617" w:type="pct"/>
                  <w:tcBorders>
                    <w:tl2br w:val="nil"/>
                    <w:tr2bl w:val="nil"/>
                  </w:tcBorders>
                  <w:shd w:val="clear" w:color="auto" w:fill="auto"/>
                  <w:noWrap w:val="0"/>
                  <w:vAlign w:val="center"/>
                </w:tcPr>
                <w:p w14:paraId="4C650690">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10</w:t>
                  </w:r>
                  <w:r>
                    <w:rPr>
                      <w:rFonts w:hint="default" w:ascii="Times New Roman" w:hAnsi="Times New Roman" w:eastAsia="宋体" w:cs="Times New Roman"/>
                      <w:color w:val="auto"/>
                      <w:szCs w:val="21"/>
                      <w:lang w:val="en-US" w:eastAsia="zh-CN"/>
                    </w:rPr>
                    <w:t>户村民/</w:t>
                  </w:r>
                  <w:r>
                    <w:rPr>
                      <w:rFonts w:hint="eastAsia" w:ascii="Times New Roman" w:hAnsi="Times New Roman" w:eastAsia="宋体" w:cs="Times New Roman"/>
                      <w:color w:val="auto"/>
                      <w:szCs w:val="21"/>
                      <w:lang w:val="en-US" w:eastAsia="zh-CN"/>
                    </w:rPr>
                    <w:t>40</w:t>
                  </w:r>
                  <w:r>
                    <w:rPr>
                      <w:rFonts w:hint="default" w:ascii="Times New Roman" w:hAnsi="Times New Roman" w:eastAsia="宋体" w:cs="Times New Roman"/>
                      <w:color w:val="auto"/>
                      <w:szCs w:val="21"/>
                      <w:lang w:val="en-US" w:eastAsia="zh-CN"/>
                    </w:rPr>
                    <w:t>人</w:t>
                  </w:r>
                </w:p>
              </w:tc>
              <w:tc>
                <w:tcPr>
                  <w:tcW w:w="671" w:type="pct"/>
                  <w:vMerge w:val="continue"/>
                  <w:tcBorders>
                    <w:tl2br w:val="nil"/>
                    <w:tr2bl w:val="nil"/>
                  </w:tcBorders>
                  <w:noWrap w:val="0"/>
                  <w:vAlign w:val="center"/>
                </w:tcPr>
                <w:p w14:paraId="27B632A4">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p>
              </w:tc>
              <w:tc>
                <w:tcPr>
                  <w:tcW w:w="267" w:type="pct"/>
                  <w:vMerge w:val="continue"/>
                  <w:tcBorders>
                    <w:tl2br w:val="nil"/>
                    <w:tr2bl w:val="nil"/>
                  </w:tcBorders>
                  <w:noWrap w:val="0"/>
                  <w:vAlign w:val="center"/>
                </w:tcPr>
                <w:p w14:paraId="68600DC6">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p>
              </w:tc>
              <w:tc>
                <w:tcPr>
                  <w:tcW w:w="413" w:type="pct"/>
                  <w:tcBorders>
                    <w:tl2br w:val="nil"/>
                    <w:tr2bl w:val="nil"/>
                  </w:tcBorders>
                  <w:shd w:val="clear" w:color="auto" w:fill="auto"/>
                  <w:noWrap w:val="0"/>
                  <w:vAlign w:val="center"/>
                </w:tcPr>
                <w:p w14:paraId="26D3014E">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SE</w:t>
                  </w:r>
                </w:p>
              </w:tc>
              <w:tc>
                <w:tcPr>
                  <w:tcW w:w="608" w:type="pct"/>
                  <w:tcBorders>
                    <w:tl2br w:val="nil"/>
                    <w:tr2bl w:val="nil"/>
                  </w:tcBorders>
                  <w:shd w:val="clear" w:color="auto" w:fill="auto"/>
                  <w:noWrap w:val="0"/>
                  <w:vAlign w:val="center"/>
                </w:tcPr>
                <w:p w14:paraId="31E1CC2D">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115</w:t>
                  </w:r>
                </w:p>
              </w:tc>
              <w:tc>
                <w:tcPr>
                  <w:tcW w:w="702" w:type="pct"/>
                  <w:vMerge w:val="continue"/>
                  <w:tcBorders>
                    <w:tl2br w:val="nil"/>
                    <w:tr2bl w:val="nil"/>
                  </w:tcBorders>
                  <w:noWrap w:val="0"/>
                  <w:vAlign w:val="center"/>
                </w:tcPr>
                <w:p w14:paraId="16D44F8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01FE03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359" w:type="pct"/>
                  <w:vMerge w:val="continue"/>
                  <w:tcBorders>
                    <w:tl2br w:val="nil"/>
                    <w:tr2bl w:val="nil"/>
                  </w:tcBorders>
                  <w:noWrap w:val="0"/>
                  <w:vAlign w:val="center"/>
                </w:tcPr>
                <w:p w14:paraId="020902B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shd w:val="clear" w:color="auto" w:fill="auto"/>
                  <w:noWrap w:val="0"/>
                  <w:vAlign w:val="center"/>
                </w:tcPr>
                <w:p w14:paraId="6983FA3E">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107°57′3.831″</w:t>
                  </w:r>
                </w:p>
              </w:tc>
              <w:tc>
                <w:tcPr>
                  <w:tcW w:w="683" w:type="pct"/>
                  <w:tcBorders>
                    <w:tl2br w:val="nil"/>
                    <w:tr2bl w:val="nil"/>
                  </w:tcBorders>
                  <w:shd w:val="clear" w:color="auto" w:fill="auto"/>
                  <w:noWrap w:val="0"/>
                  <w:vAlign w:val="center"/>
                </w:tcPr>
                <w:p w14:paraId="376E3567">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35°25′50.454″</w:t>
                  </w:r>
                </w:p>
              </w:tc>
              <w:tc>
                <w:tcPr>
                  <w:tcW w:w="617" w:type="pct"/>
                  <w:tcBorders>
                    <w:tl2br w:val="nil"/>
                    <w:tr2bl w:val="nil"/>
                  </w:tcBorders>
                  <w:shd w:val="clear" w:color="auto" w:fill="auto"/>
                  <w:noWrap w:val="0"/>
                  <w:vAlign w:val="center"/>
                </w:tcPr>
                <w:p w14:paraId="5D215260">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w:t>
                  </w:r>
                  <w:r>
                    <w:rPr>
                      <w:rFonts w:hint="default" w:ascii="Times New Roman" w:hAnsi="Times New Roman" w:eastAsia="宋体" w:cs="Times New Roman"/>
                      <w:color w:val="auto"/>
                      <w:szCs w:val="21"/>
                      <w:lang w:val="en-US" w:eastAsia="zh-CN"/>
                    </w:rPr>
                    <w:t>户村民/</w:t>
                  </w:r>
                  <w:r>
                    <w:rPr>
                      <w:rFonts w:hint="eastAsia" w:ascii="Times New Roman" w:hAnsi="Times New Roman" w:eastAsia="宋体" w:cs="Times New Roman"/>
                      <w:color w:val="auto"/>
                      <w:szCs w:val="21"/>
                      <w:lang w:val="en-US" w:eastAsia="zh-CN"/>
                    </w:rPr>
                    <w:t>8</w:t>
                  </w:r>
                  <w:r>
                    <w:rPr>
                      <w:rFonts w:hint="default" w:ascii="Times New Roman" w:hAnsi="Times New Roman" w:eastAsia="宋体" w:cs="Times New Roman"/>
                      <w:color w:val="auto"/>
                      <w:szCs w:val="21"/>
                      <w:lang w:val="en-US" w:eastAsia="zh-CN"/>
                    </w:rPr>
                    <w:t>人</w:t>
                  </w:r>
                </w:p>
              </w:tc>
              <w:tc>
                <w:tcPr>
                  <w:tcW w:w="671" w:type="pct"/>
                  <w:vMerge w:val="continue"/>
                  <w:tcBorders>
                    <w:tl2br w:val="nil"/>
                    <w:tr2bl w:val="nil"/>
                  </w:tcBorders>
                  <w:noWrap w:val="0"/>
                  <w:vAlign w:val="center"/>
                </w:tcPr>
                <w:p w14:paraId="203DE7CD">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p>
              </w:tc>
              <w:tc>
                <w:tcPr>
                  <w:tcW w:w="267" w:type="pct"/>
                  <w:vMerge w:val="continue"/>
                  <w:tcBorders>
                    <w:tl2br w:val="nil"/>
                    <w:tr2bl w:val="nil"/>
                  </w:tcBorders>
                  <w:noWrap w:val="0"/>
                  <w:vAlign w:val="center"/>
                </w:tcPr>
                <w:p w14:paraId="5C30EC7B">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p>
              </w:tc>
              <w:tc>
                <w:tcPr>
                  <w:tcW w:w="413" w:type="pct"/>
                  <w:tcBorders>
                    <w:tl2br w:val="nil"/>
                    <w:tr2bl w:val="nil"/>
                  </w:tcBorders>
                  <w:shd w:val="clear" w:color="auto" w:fill="auto"/>
                  <w:noWrap w:val="0"/>
                  <w:vAlign w:val="center"/>
                </w:tcPr>
                <w:p w14:paraId="71907873">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N</w:t>
                  </w:r>
                </w:p>
              </w:tc>
              <w:tc>
                <w:tcPr>
                  <w:tcW w:w="608" w:type="pct"/>
                  <w:tcBorders>
                    <w:tl2br w:val="nil"/>
                    <w:tr2bl w:val="nil"/>
                  </w:tcBorders>
                  <w:shd w:val="clear" w:color="auto" w:fill="auto"/>
                  <w:noWrap w:val="0"/>
                  <w:vAlign w:val="center"/>
                </w:tcPr>
                <w:p w14:paraId="168AFDB8">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195</w:t>
                  </w:r>
                </w:p>
              </w:tc>
              <w:tc>
                <w:tcPr>
                  <w:tcW w:w="702" w:type="pct"/>
                  <w:vMerge w:val="continue"/>
                  <w:tcBorders>
                    <w:tl2br w:val="nil"/>
                    <w:tr2bl w:val="nil"/>
                  </w:tcBorders>
                  <w:noWrap w:val="0"/>
                  <w:vAlign w:val="center"/>
                </w:tcPr>
                <w:p w14:paraId="32ACDC0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1B47AC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359" w:type="pct"/>
                  <w:vMerge w:val="continue"/>
                  <w:tcBorders>
                    <w:tl2br w:val="nil"/>
                    <w:tr2bl w:val="nil"/>
                  </w:tcBorders>
                  <w:noWrap w:val="0"/>
                  <w:vAlign w:val="center"/>
                </w:tcPr>
                <w:p w14:paraId="592384C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shd w:val="clear" w:color="auto" w:fill="auto"/>
                  <w:noWrap w:val="0"/>
                  <w:vAlign w:val="center"/>
                </w:tcPr>
                <w:p w14:paraId="53B2EBBD">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107°56′54.413″</w:t>
                  </w:r>
                </w:p>
              </w:tc>
              <w:tc>
                <w:tcPr>
                  <w:tcW w:w="683" w:type="pct"/>
                  <w:tcBorders>
                    <w:tl2br w:val="nil"/>
                    <w:tr2bl w:val="nil"/>
                  </w:tcBorders>
                  <w:shd w:val="clear" w:color="auto" w:fill="auto"/>
                  <w:noWrap w:val="0"/>
                  <w:vAlign w:val="center"/>
                </w:tcPr>
                <w:p w14:paraId="332CCC3E">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35°25′40.857″</w:t>
                  </w:r>
                </w:p>
              </w:tc>
              <w:tc>
                <w:tcPr>
                  <w:tcW w:w="617" w:type="pct"/>
                  <w:tcBorders>
                    <w:tl2br w:val="nil"/>
                    <w:tr2bl w:val="nil"/>
                  </w:tcBorders>
                  <w:shd w:val="clear" w:color="auto" w:fill="auto"/>
                  <w:noWrap w:val="0"/>
                  <w:vAlign w:val="center"/>
                </w:tcPr>
                <w:p w14:paraId="5A0F8DE0">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w:t>
                  </w:r>
                  <w:r>
                    <w:rPr>
                      <w:rFonts w:hint="default" w:ascii="Times New Roman" w:hAnsi="Times New Roman" w:eastAsia="宋体" w:cs="Times New Roman"/>
                      <w:color w:val="auto"/>
                      <w:szCs w:val="21"/>
                      <w:lang w:val="en-US" w:eastAsia="zh-CN"/>
                    </w:rPr>
                    <w:t>户村民/</w:t>
                  </w:r>
                  <w:r>
                    <w:rPr>
                      <w:rFonts w:hint="eastAsia" w:ascii="Times New Roman" w:hAnsi="Times New Roman" w:eastAsia="宋体" w:cs="Times New Roman"/>
                      <w:color w:val="auto"/>
                      <w:szCs w:val="21"/>
                      <w:lang w:val="en-US" w:eastAsia="zh-CN"/>
                    </w:rPr>
                    <w:t>20</w:t>
                  </w:r>
                  <w:r>
                    <w:rPr>
                      <w:rFonts w:hint="default" w:ascii="Times New Roman" w:hAnsi="Times New Roman" w:eastAsia="宋体" w:cs="Times New Roman"/>
                      <w:color w:val="auto"/>
                      <w:szCs w:val="21"/>
                      <w:lang w:val="en-US" w:eastAsia="zh-CN"/>
                    </w:rPr>
                    <w:t>人</w:t>
                  </w:r>
                </w:p>
              </w:tc>
              <w:tc>
                <w:tcPr>
                  <w:tcW w:w="671" w:type="pct"/>
                  <w:vMerge w:val="continue"/>
                  <w:tcBorders>
                    <w:tl2br w:val="nil"/>
                    <w:tr2bl w:val="nil"/>
                  </w:tcBorders>
                  <w:noWrap w:val="0"/>
                  <w:vAlign w:val="center"/>
                </w:tcPr>
                <w:p w14:paraId="76DF2700">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p>
              </w:tc>
              <w:tc>
                <w:tcPr>
                  <w:tcW w:w="267" w:type="pct"/>
                  <w:vMerge w:val="continue"/>
                  <w:tcBorders>
                    <w:tl2br w:val="nil"/>
                    <w:tr2bl w:val="nil"/>
                  </w:tcBorders>
                  <w:noWrap w:val="0"/>
                  <w:vAlign w:val="center"/>
                </w:tcPr>
                <w:p w14:paraId="39EBE4B9">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p>
              </w:tc>
              <w:tc>
                <w:tcPr>
                  <w:tcW w:w="413" w:type="pct"/>
                  <w:tcBorders>
                    <w:tl2br w:val="nil"/>
                    <w:tr2bl w:val="nil"/>
                  </w:tcBorders>
                  <w:shd w:val="clear" w:color="auto" w:fill="auto"/>
                  <w:noWrap w:val="0"/>
                  <w:vAlign w:val="center"/>
                </w:tcPr>
                <w:p w14:paraId="5851EEE3">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SW</w:t>
                  </w:r>
                </w:p>
              </w:tc>
              <w:tc>
                <w:tcPr>
                  <w:tcW w:w="608" w:type="pct"/>
                  <w:tcBorders>
                    <w:tl2br w:val="nil"/>
                    <w:tr2bl w:val="nil"/>
                  </w:tcBorders>
                  <w:shd w:val="clear" w:color="auto" w:fill="auto"/>
                  <w:noWrap w:val="0"/>
                  <w:vAlign w:val="center"/>
                </w:tcPr>
                <w:p w14:paraId="5E273924">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117</w:t>
                  </w:r>
                </w:p>
              </w:tc>
              <w:tc>
                <w:tcPr>
                  <w:tcW w:w="702" w:type="pct"/>
                  <w:vMerge w:val="continue"/>
                  <w:tcBorders>
                    <w:tl2br w:val="nil"/>
                    <w:tr2bl w:val="nil"/>
                  </w:tcBorders>
                  <w:noWrap w:val="0"/>
                  <w:vAlign w:val="center"/>
                </w:tcPr>
                <w:p w14:paraId="47D1D62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1B927D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359" w:type="pct"/>
                  <w:tcBorders>
                    <w:tl2br w:val="nil"/>
                    <w:tr2bl w:val="nil"/>
                  </w:tcBorders>
                  <w:noWrap w:val="0"/>
                  <w:vAlign w:val="center"/>
                </w:tcPr>
                <w:p w14:paraId="6744CAE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土壤</w:t>
                  </w:r>
                </w:p>
                <w:p w14:paraId="2A4A93B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w:t>
                  </w:r>
                </w:p>
              </w:tc>
              <w:tc>
                <w:tcPr>
                  <w:tcW w:w="1978" w:type="pct"/>
                  <w:gridSpan w:val="3"/>
                  <w:tcBorders>
                    <w:tl2br w:val="nil"/>
                    <w:tr2bl w:val="nil"/>
                  </w:tcBorders>
                  <w:noWrap w:val="0"/>
                  <w:vAlign w:val="center"/>
                </w:tcPr>
                <w:p w14:paraId="5567DD9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井场及井场周边</w:t>
                  </w:r>
                </w:p>
              </w:tc>
              <w:tc>
                <w:tcPr>
                  <w:tcW w:w="671" w:type="pct"/>
                  <w:tcBorders>
                    <w:tl2br w:val="nil"/>
                    <w:tr2bl w:val="nil"/>
                  </w:tcBorders>
                  <w:noWrap w:val="0"/>
                  <w:vAlign w:val="center"/>
                </w:tcPr>
                <w:p w14:paraId="6577922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土壤环境质量</w:t>
                  </w:r>
                </w:p>
              </w:tc>
              <w:tc>
                <w:tcPr>
                  <w:tcW w:w="1288" w:type="pct"/>
                  <w:gridSpan w:val="3"/>
                  <w:tcBorders>
                    <w:tl2br w:val="nil"/>
                    <w:tr2bl w:val="nil"/>
                  </w:tcBorders>
                  <w:noWrap w:val="0"/>
                  <w:vAlign w:val="center"/>
                </w:tcPr>
                <w:p w14:paraId="0EE1BC0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农用地</w:t>
                  </w:r>
                </w:p>
              </w:tc>
              <w:tc>
                <w:tcPr>
                  <w:tcW w:w="702" w:type="pct"/>
                  <w:tcBorders>
                    <w:tl2br w:val="nil"/>
                    <w:tr2bl w:val="nil"/>
                  </w:tcBorders>
                  <w:noWrap w:val="0"/>
                  <w:vAlign w:val="center"/>
                </w:tcPr>
                <w:p w14:paraId="41989AB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r w14:paraId="284CD1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359" w:type="pct"/>
                  <w:tcBorders>
                    <w:tl2br w:val="nil"/>
                    <w:tr2bl w:val="nil"/>
                  </w:tcBorders>
                  <w:noWrap w:val="0"/>
                  <w:vAlign w:val="center"/>
                </w:tcPr>
                <w:p w14:paraId="51D4355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生态</w:t>
                  </w:r>
                </w:p>
                <w:p w14:paraId="27C6501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w:t>
                  </w:r>
                </w:p>
              </w:tc>
              <w:tc>
                <w:tcPr>
                  <w:tcW w:w="1978" w:type="pct"/>
                  <w:gridSpan w:val="3"/>
                  <w:tcBorders>
                    <w:tl2br w:val="nil"/>
                    <w:tr2bl w:val="nil"/>
                  </w:tcBorders>
                  <w:noWrap w:val="0"/>
                  <w:vAlign w:val="center"/>
                </w:tcPr>
                <w:p w14:paraId="13CF841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井场周围1km以内、道路两侧300m范围</w:t>
                  </w:r>
                </w:p>
              </w:tc>
              <w:tc>
                <w:tcPr>
                  <w:tcW w:w="671" w:type="pct"/>
                  <w:tcBorders>
                    <w:tl2br w:val="nil"/>
                    <w:tr2bl w:val="nil"/>
                  </w:tcBorders>
                  <w:noWrap w:val="0"/>
                  <w:vAlign w:val="center"/>
                </w:tcPr>
                <w:p w14:paraId="1CD85B6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动植物物种、种群、生物群落及生态空间等</w:t>
                  </w:r>
                </w:p>
              </w:tc>
              <w:tc>
                <w:tcPr>
                  <w:tcW w:w="1288" w:type="pct"/>
                  <w:gridSpan w:val="3"/>
                  <w:tcBorders>
                    <w:tl2br w:val="nil"/>
                    <w:tr2bl w:val="nil"/>
                  </w:tcBorders>
                  <w:noWrap w:val="0"/>
                  <w:vAlign w:val="center"/>
                </w:tcPr>
                <w:p w14:paraId="35F39E8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严格控制破坏压占土地范围，施工后及时恢复</w:t>
                  </w:r>
                </w:p>
              </w:tc>
              <w:tc>
                <w:tcPr>
                  <w:tcW w:w="702" w:type="pct"/>
                  <w:tcBorders>
                    <w:tl2br w:val="nil"/>
                    <w:tr2bl w:val="nil"/>
                  </w:tcBorders>
                  <w:noWrap w:val="0"/>
                  <w:vAlign w:val="center"/>
                </w:tcPr>
                <w:p w14:paraId="67D714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bl>
          <w:p w14:paraId="234FBA77">
            <w:pPr>
              <w:pStyle w:val="2"/>
              <w:keepNext w:val="0"/>
              <w:keepLines w:val="0"/>
              <w:widowControl w:val="0"/>
              <w:suppressLineNumbers w:val="0"/>
              <w:spacing w:before="0" w:beforeAutospacing="0" w:afterAutospacing="0"/>
              <w:ind w:left="0" w:leftChars="0" w:right="0" w:firstLine="0" w:firstLineChars="0"/>
              <w:jc w:val="both"/>
              <w:rPr>
                <w:rFonts w:hint="default" w:ascii="Times New Roman" w:hAnsi="Times New Roman" w:eastAsia="宋体" w:cs="Times New Roman"/>
                <w:color w:val="auto"/>
                <w:spacing w:val="0"/>
                <w:w w:val="100"/>
                <w:highlight w:val="none"/>
              </w:rPr>
            </w:pPr>
          </w:p>
        </w:tc>
      </w:tr>
      <w:tr w14:paraId="46CD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20E646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调查重点</w:t>
            </w:r>
          </w:p>
        </w:tc>
        <w:tc>
          <w:tcPr>
            <w:tcW w:w="8054" w:type="dxa"/>
          </w:tcPr>
          <w:p w14:paraId="27789C26">
            <w:pPr>
              <w:pStyle w:val="79"/>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Style w:val="29"/>
                <w:rFonts w:hint="eastAsia" w:ascii="Times New Roman" w:hAnsi="Times New Roman" w:eastAsia="宋体" w:cs="Times New Roman"/>
                <w:i w:val="0"/>
                <w:iCs w:val="0"/>
                <w:color w:val="auto"/>
                <w:lang w:eastAsia="zh-CN"/>
              </w:rPr>
            </w:pPr>
            <w:r>
              <w:rPr>
                <w:rStyle w:val="29"/>
                <w:rFonts w:hint="default" w:ascii="Times New Roman" w:hAnsi="Times New Roman" w:eastAsia="宋体" w:cs="Times New Roman"/>
                <w:i w:val="0"/>
                <w:iCs w:val="0"/>
                <w:color w:val="auto"/>
              </w:rPr>
              <w:t>本项目为勘探井，故本项目不涉及营运期，根据《建设项目竣工环境保护验收技术规范·生态影响类》（HJ/T394-2007）和《建设项目竣工环境保护验收技术规范 石油天然气开采》（HJ 612-2011）的相关要求，结合环境影响报告</w:t>
            </w:r>
            <w:r>
              <w:rPr>
                <w:rStyle w:val="29"/>
                <w:rFonts w:hint="default" w:ascii="Times New Roman" w:hAnsi="Times New Roman" w:eastAsia="宋体" w:cs="Times New Roman"/>
                <w:i w:val="0"/>
                <w:iCs w:val="0"/>
                <w:color w:val="auto"/>
                <w:lang w:eastAsia="zh-CN"/>
              </w:rPr>
              <w:t>表</w:t>
            </w:r>
            <w:r>
              <w:rPr>
                <w:rStyle w:val="29"/>
                <w:rFonts w:hint="default" w:ascii="Times New Roman" w:hAnsi="Times New Roman" w:eastAsia="宋体" w:cs="Times New Roman"/>
                <w:i w:val="0"/>
                <w:iCs w:val="0"/>
                <w:color w:val="auto"/>
              </w:rPr>
              <w:t>和环评批复的环保要求及环境影响评价的主要结论，确定本项目的调查重点</w:t>
            </w:r>
            <w:r>
              <w:rPr>
                <w:rStyle w:val="29"/>
                <w:rFonts w:hint="eastAsia" w:eastAsia="宋体" w:cs="Times New Roman"/>
                <w:i w:val="0"/>
                <w:iCs w:val="0"/>
                <w:color w:val="auto"/>
                <w:lang w:eastAsia="zh-CN"/>
              </w:rPr>
              <w:t>。</w:t>
            </w:r>
          </w:p>
          <w:p w14:paraId="24889609">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 xml:space="preserve">本项目为勘探井，故本项目不涉及营运期，本次的调查重点为： </w:t>
            </w:r>
          </w:p>
          <w:p w14:paraId="783D512D">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 xml:space="preserve">）调查实际工程建设内容、工程变更及环境影响情况； </w:t>
            </w:r>
          </w:p>
          <w:p w14:paraId="2238B90F">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2</w:t>
            </w:r>
            <w:r>
              <w:rPr>
                <w:rFonts w:hint="eastAsia" w:ascii="宋体" w:hAnsi="宋体" w:eastAsia="宋体" w:cs="宋体"/>
                <w:color w:val="auto"/>
                <w:kern w:val="0"/>
                <w:sz w:val="24"/>
                <w:szCs w:val="24"/>
                <w:lang w:val="en-US" w:eastAsia="zh-CN" w:bidi="ar"/>
              </w:rPr>
              <w:t xml:space="preserve">）调查环境敏感保护目标基本情况及变化情况； </w:t>
            </w:r>
          </w:p>
          <w:p w14:paraId="4F51C40B">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3</w:t>
            </w:r>
            <w:r>
              <w:rPr>
                <w:rFonts w:hint="eastAsia" w:ascii="宋体" w:hAnsi="宋体" w:eastAsia="宋体" w:cs="宋体"/>
                <w:color w:val="auto"/>
                <w:kern w:val="0"/>
                <w:sz w:val="24"/>
                <w:szCs w:val="24"/>
                <w:lang w:val="en-US" w:eastAsia="zh-CN" w:bidi="ar"/>
              </w:rPr>
              <w:t xml:space="preserve">）调查环境影响报告表及批复中提出的环保设施和措施落实情况及其效果； </w:t>
            </w:r>
          </w:p>
          <w:p w14:paraId="53024D36">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4</w:t>
            </w:r>
            <w:r>
              <w:rPr>
                <w:rFonts w:hint="eastAsia" w:ascii="宋体" w:hAnsi="宋体" w:eastAsia="宋体" w:cs="宋体"/>
                <w:color w:val="auto"/>
                <w:kern w:val="0"/>
                <w:sz w:val="24"/>
                <w:szCs w:val="24"/>
                <w:lang w:val="en-US" w:eastAsia="zh-CN" w:bidi="ar"/>
              </w:rPr>
              <w:t xml:space="preserve">）调查井场及道路周围生态恢复情况； </w:t>
            </w:r>
          </w:p>
          <w:p w14:paraId="2FEFBD6F">
            <w:pPr>
              <w:pStyle w:val="9"/>
              <w:keepNext w:val="0"/>
              <w:keepLines w:val="0"/>
              <w:widowControl w:val="0"/>
              <w:suppressLineNumbers w:val="0"/>
              <w:spacing w:before="0" w:beforeAutospacing="0" w:afterAutospacing="0"/>
              <w:ind w:left="0" w:leftChars="0" w:right="0" w:firstLine="480" w:firstLineChars="200"/>
              <w:jc w:val="both"/>
              <w:rPr>
                <w:rStyle w:val="29"/>
                <w:rFonts w:hint="default" w:ascii="Times New Roman" w:hAnsi="Times New Roman" w:eastAsia="宋体" w:cs="Times New Roman"/>
                <w:i w:val="0"/>
                <w:iCs w:val="0"/>
                <w:color w:val="auto"/>
              </w:rPr>
            </w:pP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5</w:t>
            </w:r>
            <w:r>
              <w:rPr>
                <w:rFonts w:hint="eastAsia" w:ascii="宋体" w:hAnsi="宋体" w:eastAsia="宋体" w:cs="宋体"/>
                <w:color w:val="auto"/>
                <w:kern w:val="0"/>
                <w:sz w:val="24"/>
                <w:szCs w:val="24"/>
                <w:lang w:val="en-US" w:eastAsia="zh-CN" w:bidi="ar"/>
              </w:rPr>
              <w:t>）调查环境风险防范和应急措施的落实及有效性。</w:t>
            </w:r>
          </w:p>
          <w:p w14:paraId="4E93F670">
            <w:pPr>
              <w:pStyle w:val="9"/>
              <w:keepNext w:val="0"/>
              <w:keepLines w:val="0"/>
              <w:widowControl w:val="0"/>
              <w:suppressLineNumbers w:val="0"/>
              <w:spacing w:before="0" w:beforeAutospacing="0" w:afterAutospacing="0"/>
              <w:ind w:right="0"/>
              <w:jc w:val="both"/>
              <w:rPr>
                <w:rStyle w:val="29"/>
                <w:rFonts w:hint="default" w:ascii="Times New Roman" w:hAnsi="Times New Roman" w:eastAsia="宋体" w:cs="Times New Roman"/>
                <w:i w:val="0"/>
                <w:iCs w:val="0"/>
                <w:color w:val="auto"/>
              </w:rPr>
            </w:pPr>
          </w:p>
          <w:p w14:paraId="7065B77E">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28AA5647">
            <w:pPr>
              <w:pStyle w:val="5"/>
              <w:widowControl w:val="0"/>
              <w:suppressLineNumbers w:val="0"/>
              <w:spacing w:before="0"/>
              <w:ind w:left="0" w:right="0"/>
              <w:jc w:val="both"/>
              <w:rPr>
                <w:rStyle w:val="29"/>
                <w:rFonts w:hint="default" w:ascii="Times New Roman" w:hAnsi="Times New Roman" w:eastAsia="宋体" w:cs="Times New Roman"/>
                <w:i w:val="0"/>
                <w:iCs w:val="0"/>
                <w:color w:val="auto"/>
              </w:rPr>
            </w:pPr>
          </w:p>
          <w:p w14:paraId="3DCFBF95">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596BF4DE">
            <w:pPr>
              <w:pStyle w:val="5"/>
              <w:widowControl w:val="0"/>
              <w:suppressLineNumbers w:val="0"/>
              <w:spacing w:before="0"/>
              <w:ind w:left="0" w:right="0"/>
              <w:jc w:val="both"/>
              <w:rPr>
                <w:rStyle w:val="29"/>
                <w:rFonts w:hint="default" w:ascii="Times New Roman" w:hAnsi="Times New Roman" w:eastAsia="宋体" w:cs="Times New Roman"/>
                <w:i w:val="0"/>
                <w:iCs w:val="0"/>
                <w:color w:val="auto"/>
              </w:rPr>
            </w:pPr>
          </w:p>
          <w:p w14:paraId="609B5FA9">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391536F3">
            <w:pPr>
              <w:pStyle w:val="5"/>
              <w:widowControl w:val="0"/>
              <w:suppressLineNumbers w:val="0"/>
              <w:spacing w:before="0"/>
              <w:ind w:left="0" w:right="0"/>
              <w:jc w:val="both"/>
              <w:rPr>
                <w:rStyle w:val="29"/>
                <w:rFonts w:hint="default" w:ascii="Times New Roman" w:hAnsi="Times New Roman" w:eastAsia="宋体" w:cs="Times New Roman"/>
                <w:i w:val="0"/>
                <w:iCs w:val="0"/>
                <w:color w:val="auto"/>
              </w:rPr>
            </w:pPr>
          </w:p>
          <w:p w14:paraId="042664AB">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3888FA95">
            <w:pPr>
              <w:pStyle w:val="5"/>
              <w:widowControl w:val="0"/>
              <w:suppressLineNumbers w:val="0"/>
              <w:spacing w:before="0"/>
              <w:ind w:left="0" w:right="0"/>
              <w:jc w:val="both"/>
              <w:rPr>
                <w:rStyle w:val="29"/>
                <w:rFonts w:hint="default" w:ascii="Times New Roman" w:hAnsi="Times New Roman" w:eastAsia="宋体" w:cs="Times New Roman"/>
                <w:i w:val="0"/>
                <w:iCs w:val="0"/>
                <w:color w:val="auto"/>
              </w:rPr>
            </w:pPr>
          </w:p>
          <w:p w14:paraId="65CC0CC9">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auto"/>
              </w:rPr>
            </w:pPr>
          </w:p>
          <w:p w14:paraId="071918CF">
            <w:pPr>
              <w:pStyle w:val="5"/>
              <w:widowControl w:val="0"/>
              <w:suppressLineNumbers w:val="0"/>
              <w:spacing w:before="0"/>
              <w:ind w:left="0" w:right="0"/>
              <w:jc w:val="both"/>
              <w:rPr>
                <w:rStyle w:val="29"/>
                <w:rFonts w:hint="default" w:ascii="Times New Roman" w:hAnsi="Times New Roman" w:eastAsia="宋体" w:cs="Times New Roman"/>
                <w:i w:val="0"/>
                <w:iCs w:val="0"/>
                <w:color w:val="auto"/>
              </w:rPr>
            </w:pPr>
          </w:p>
          <w:p w14:paraId="2FCCC879">
            <w:pPr>
              <w:keepNext w:val="0"/>
              <w:keepLines w:val="0"/>
              <w:widowControl w:val="0"/>
              <w:suppressLineNumbers w:val="0"/>
              <w:spacing w:before="0" w:beforeAutospacing="0" w:afterAutospacing="0"/>
              <w:ind w:left="0" w:right="0"/>
              <w:jc w:val="both"/>
              <w:rPr>
                <w:rFonts w:hint="default"/>
                <w:color w:val="auto"/>
              </w:rPr>
            </w:pPr>
          </w:p>
          <w:p w14:paraId="6AE32FA7">
            <w:pPr>
              <w:pStyle w:val="79"/>
              <w:keepNext w:val="0"/>
              <w:keepLines w:val="0"/>
              <w:suppressLineNumbers w:val="0"/>
              <w:spacing w:before="0" w:beforeAutospacing="0" w:after="0" w:afterAutospacing="0"/>
              <w:ind w:left="0" w:leftChars="0" w:right="0" w:firstLine="0" w:firstLineChars="0"/>
              <w:rPr>
                <w:rFonts w:hint="default" w:ascii="Times New Roman" w:hAnsi="Times New Roman" w:eastAsia="宋体" w:cs="Times New Roman"/>
                <w:color w:val="auto"/>
                <w:spacing w:val="0"/>
                <w:w w:val="100"/>
                <w:highlight w:val="none"/>
                <w:lang w:eastAsia="zh-CN"/>
              </w:rPr>
            </w:pPr>
          </w:p>
        </w:tc>
      </w:tr>
    </w:tbl>
    <w:p w14:paraId="5C5A09FE">
      <w:pPr>
        <w:rPr>
          <w:rFonts w:hint="default" w:ascii="Times New Roman" w:hAnsi="Times New Roman" w:eastAsia="宋体" w:cs="Times New Roman"/>
          <w:color w:val="auto"/>
          <w:spacing w:val="0"/>
          <w:w w:val="100"/>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3DCA95D">
      <w:pPr>
        <w:widowControl w:val="0"/>
        <w:adjustRightInd/>
        <w:snapToGrid/>
        <w:spacing w:after="0" w:afterLines="-2147483648"/>
        <w:jc w:val="both"/>
        <w:outlineLvl w:val="0"/>
        <w:rPr>
          <w:rFonts w:hint="default" w:ascii="Times New Roman" w:hAnsi="Times New Roman" w:eastAsia="宋体" w:cs="Times New Roman"/>
          <w:b/>
          <w:color w:val="auto"/>
          <w:kern w:val="2"/>
          <w:sz w:val="32"/>
          <w:szCs w:val="24"/>
          <w:lang w:val="en-US" w:eastAsia="zh-CN"/>
        </w:rPr>
      </w:pPr>
      <w:bookmarkStart w:id="2" w:name="_Toc2466"/>
      <w:r>
        <w:rPr>
          <w:rFonts w:hint="eastAsia" w:ascii="Times New Roman" w:hAnsi="Times New Roman" w:eastAsia="宋体" w:cs="Times New Roman"/>
          <w:b/>
          <w:color w:val="auto"/>
          <w:kern w:val="2"/>
          <w:sz w:val="32"/>
          <w:szCs w:val="24"/>
          <w:lang w:val="en-US" w:eastAsia="zh-CN"/>
        </w:rPr>
        <w:t>3.</w:t>
      </w:r>
      <w:r>
        <w:rPr>
          <w:rFonts w:hint="default" w:ascii="Times New Roman" w:hAnsi="Times New Roman" w:eastAsia="宋体" w:cs="Times New Roman"/>
          <w:b/>
          <w:color w:val="auto"/>
          <w:kern w:val="2"/>
          <w:sz w:val="32"/>
          <w:szCs w:val="24"/>
          <w:lang w:val="en-US" w:eastAsia="zh-CN"/>
        </w:rPr>
        <w:t>验收执行标准</w:t>
      </w:r>
      <w:bookmarkEnd w:id="2"/>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
        <w:gridCol w:w="8054"/>
      </w:tblGrid>
      <w:tr w14:paraId="6608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2BAAAA0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环</w:t>
            </w:r>
          </w:p>
          <w:p w14:paraId="27C172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境</w:t>
            </w:r>
          </w:p>
          <w:p w14:paraId="70AB026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质</w:t>
            </w:r>
          </w:p>
          <w:p w14:paraId="34FEEE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量</w:t>
            </w:r>
          </w:p>
          <w:p w14:paraId="2CDD32A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70D08BB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393E52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《建设项目竣工环境保护验收技术规范 生态影响类》（HJ/T 394-2007）和《建设项目竣工环境保护验收技术规范 石油天然气开采》（HJ 612-2011）中规定“原则上采用建设项目环境影响评价阶段经环境保护部门确认的环境保护标准与环境保护设施工艺指标进行验收，对已修订颁布的环境保护标准应提出验收后按新标准进行达标考核的建议。”</w:t>
            </w:r>
          </w:p>
          <w:p w14:paraId="25CD61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自本项目取得环评批复以来，无对应本项目环评阶段所列污染因子的环境质量标准更新或者新颁布，本次仅对</w:t>
            </w:r>
            <w:r>
              <w:rPr>
                <w:rFonts w:hint="eastAsia" w:ascii="Times New Roman" w:hAnsi="Times New Roman" w:eastAsia="宋体" w:cs="Times New Roman"/>
                <w:color w:val="auto"/>
                <w:sz w:val="24"/>
                <w:szCs w:val="24"/>
                <w:lang w:val="en-US" w:eastAsia="zh-CN"/>
              </w:rPr>
              <w:t>探井</w:t>
            </w:r>
            <w:r>
              <w:rPr>
                <w:rFonts w:hint="default" w:ascii="Times New Roman" w:hAnsi="Times New Roman" w:eastAsia="宋体" w:cs="Times New Roman"/>
                <w:color w:val="auto"/>
                <w:sz w:val="24"/>
                <w:szCs w:val="24"/>
              </w:rPr>
              <w:t>勘探过程的环境影响进行验收。</w:t>
            </w:r>
            <w:r>
              <w:rPr>
                <w:rFonts w:hint="eastAsia" w:ascii="Times New Roman" w:hAnsi="Times New Roman" w:eastAsia="宋体" w:cs="Times New Roman"/>
                <w:b w:val="0"/>
                <w:bCs w:val="0"/>
                <w:color w:val="auto"/>
                <w:sz w:val="24"/>
                <w:szCs w:val="24"/>
                <w:highlight w:val="none"/>
                <w:lang w:val="en-US" w:eastAsia="zh-CN" w:bidi="ar-SA"/>
              </w:rPr>
              <w:t>验收阶段根据《建设项目竣工环境保护验收技术规范石油天然气开采》（HJ612-2011）的规定，项目施工期采用与环评阶段相同的评价标准，验收执行标准如下：</w:t>
            </w:r>
          </w:p>
          <w:p w14:paraId="2E422E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pacing w:val="0"/>
                <w:w w:val="100"/>
                <w:sz w:val="24"/>
                <w:szCs w:val="24"/>
                <w:highlight w:val="none"/>
              </w:rPr>
            </w:pPr>
            <w:r>
              <w:rPr>
                <w:rFonts w:hint="eastAsia" w:ascii="Times New Roman" w:hAnsi="Times New Roman" w:eastAsia="宋体" w:cs="Times New Roman"/>
                <w:b/>
                <w:bCs/>
                <w:color w:val="auto"/>
                <w:spacing w:val="0"/>
                <w:w w:val="100"/>
                <w:sz w:val="24"/>
                <w:szCs w:val="24"/>
                <w:highlight w:val="none"/>
                <w:lang w:eastAsia="zh-CN"/>
              </w:rPr>
              <w:t>（</w:t>
            </w:r>
            <w:r>
              <w:rPr>
                <w:rFonts w:hint="eastAsia" w:ascii="Times New Roman" w:hAnsi="Times New Roman" w:eastAsia="宋体" w:cs="Times New Roman"/>
                <w:b/>
                <w:bCs/>
                <w:color w:val="auto"/>
                <w:spacing w:val="0"/>
                <w:w w:val="100"/>
                <w:sz w:val="24"/>
                <w:szCs w:val="24"/>
                <w:highlight w:val="none"/>
                <w:lang w:val="en-US" w:eastAsia="zh-CN"/>
              </w:rPr>
              <w:t>1</w:t>
            </w:r>
            <w:r>
              <w:rPr>
                <w:rFonts w:hint="eastAsia" w:ascii="Times New Roman" w:hAnsi="Times New Roman" w:eastAsia="宋体" w:cs="Times New Roman"/>
                <w:b/>
                <w:bCs/>
                <w:color w:val="auto"/>
                <w:spacing w:val="0"/>
                <w:w w:val="100"/>
                <w:sz w:val="24"/>
                <w:szCs w:val="24"/>
                <w:highlight w:val="none"/>
                <w:lang w:eastAsia="zh-CN"/>
              </w:rPr>
              <w:t>）</w:t>
            </w:r>
            <w:r>
              <w:rPr>
                <w:rFonts w:hint="default" w:ascii="Times New Roman" w:hAnsi="Times New Roman" w:eastAsia="宋体" w:cs="Times New Roman"/>
                <w:b/>
                <w:bCs/>
                <w:color w:val="auto"/>
                <w:spacing w:val="0"/>
                <w:w w:val="100"/>
                <w:sz w:val="24"/>
                <w:szCs w:val="24"/>
                <w:highlight w:val="none"/>
              </w:rPr>
              <w:t>环境空气</w:t>
            </w:r>
          </w:p>
          <w:p w14:paraId="71648A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auto"/>
                <w:sz w:val="24"/>
                <w:szCs w:val="24"/>
              </w:rPr>
              <w:t>环境空气质量按《环境空气质量标准》（GB3095-2012）中的二级标准验收，并按《环境空气质量标准》（GB3095-2012）二级标准校核，非甲烷总烃小时值执行《大气污染物综合排放标准》详解中的2</w:t>
            </w:r>
            <w:r>
              <w:rPr>
                <w:rFonts w:hint="eastAsia" w:ascii="Times New Roman" w:hAnsi="Times New Roman" w:eastAsia="宋体" w:cs="Times New Roman"/>
                <w:color w:val="auto"/>
                <w:sz w:val="24"/>
                <w:szCs w:val="24"/>
                <w:lang w:val="en-US" w:eastAsia="zh-CN"/>
              </w:rPr>
              <w:t>.0</w:t>
            </w:r>
            <w:r>
              <w:rPr>
                <w:rFonts w:hint="default" w:ascii="Times New Roman" w:hAnsi="Times New Roman" w:eastAsia="宋体" w:cs="Times New Roman"/>
                <w:color w:val="auto"/>
                <w:sz w:val="24"/>
                <w:szCs w:val="24"/>
              </w:rPr>
              <w:t>mg/m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pacing w:val="0"/>
                <w:w w:val="100"/>
                <w:sz w:val="24"/>
                <w:szCs w:val="24"/>
                <w:highlight w:val="none"/>
              </w:rPr>
              <w:t>，标准值见表</w:t>
            </w:r>
            <w:r>
              <w:rPr>
                <w:rFonts w:hint="default" w:ascii="Times New Roman" w:hAnsi="Times New Roman" w:eastAsia="宋体" w:cs="Times New Roman"/>
                <w:color w:val="auto"/>
                <w:spacing w:val="0"/>
                <w:w w:val="100"/>
                <w:sz w:val="24"/>
                <w:szCs w:val="24"/>
                <w:highlight w:val="none"/>
                <w:lang w:val="en-US" w:eastAsia="zh-CN"/>
              </w:rPr>
              <w:t>3-1</w:t>
            </w:r>
            <w:r>
              <w:rPr>
                <w:rFonts w:hint="default" w:ascii="Times New Roman" w:hAnsi="Times New Roman" w:eastAsia="宋体" w:cs="Times New Roman"/>
                <w:color w:val="auto"/>
                <w:spacing w:val="0"/>
                <w:w w:val="100"/>
                <w:sz w:val="24"/>
                <w:szCs w:val="24"/>
                <w:highlight w:val="none"/>
                <w:lang w:eastAsia="zh-CN"/>
              </w:rPr>
              <w:t>。</w:t>
            </w:r>
          </w:p>
          <w:p w14:paraId="31BA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表</w:t>
            </w:r>
            <w:r>
              <w:rPr>
                <w:rFonts w:hint="default" w:ascii="Times New Roman" w:hAnsi="Times New Roman" w:eastAsia="宋体" w:cs="Times New Roman"/>
                <w:b/>
                <w:bCs/>
                <w:color w:val="auto"/>
                <w:spacing w:val="0"/>
                <w:sz w:val="21"/>
                <w:szCs w:val="21"/>
                <w:highlight w:val="none"/>
                <w:lang w:val="en-US" w:eastAsia="zh-CN"/>
              </w:rPr>
              <w:t>3-1</w:t>
            </w:r>
            <w:r>
              <w:rPr>
                <w:rFonts w:hint="default" w:ascii="Times New Roman" w:hAnsi="Times New Roman" w:eastAsia="宋体" w:cs="Times New Roman"/>
                <w:b/>
                <w:bCs/>
                <w:color w:val="auto"/>
                <w:spacing w:val="0"/>
                <w:sz w:val="21"/>
                <w:szCs w:val="21"/>
                <w:highlight w:val="none"/>
              </w:rPr>
              <w:t xml:space="preserve">  环境空气质量标准</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256"/>
              <w:gridCol w:w="1274"/>
              <w:gridCol w:w="1651"/>
              <w:gridCol w:w="985"/>
              <w:gridCol w:w="1213"/>
            </w:tblGrid>
            <w:tr w14:paraId="3F9F82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7BD2D89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类别</w:t>
                  </w:r>
                </w:p>
              </w:tc>
              <w:tc>
                <w:tcPr>
                  <w:tcW w:w="1445" w:type="pct"/>
                  <w:vMerge w:val="restart"/>
                  <w:tcBorders>
                    <w:tl2br w:val="nil"/>
                    <w:tr2bl w:val="nil"/>
                  </w:tcBorders>
                  <w:vAlign w:val="center"/>
                </w:tcPr>
                <w:p w14:paraId="1F80421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标准名称及级(类)别</w:t>
                  </w:r>
                </w:p>
              </w:tc>
              <w:tc>
                <w:tcPr>
                  <w:tcW w:w="816" w:type="pct"/>
                  <w:vMerge w:val="restart"/>
                  <w:tcBorders>
                    <w:tl2br w:val="nil"/>
                    <w:tr2bl w:val="nil"/>
                  </w:tcBorders>
                  <w:vAlign w:val="center"/>
                </w:tcPr>
                <w:p w14:paraId="2938F6D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污染因子</w:t>
                  </w:r>
                </w:p>
              </w:tc>
              <w:tc>
                <w:tcPr>
                  <w:tcW w:w="2465" w:type="pct"/>
                  <w:gridSpan w:val="3"/>
                  <w:tcBorders>
                    <w:tl2br w:val="nil"/>
                    <w:tr2bl w:val="nil"/>
                  </w:tcBorders>
                  <w:vAlign w:val="center"/>
                </w:tcPr>
                <w:p w14:paraId="080F52C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标准值</w:t>
                  </w:r>
                </w:p>
              </w:tc>
            </w:tr>
            <w:tr w14:paraId="7A543B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317C5C7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C9C4F1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2CC4AF4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688" w:type="pct"/>
                  <w:gridSpan w:val="2"/>
                  <w:tcBorders>
                    <w:tl2br w:val="nil"/>
                    <w:tr2bl w:val="nil"/>
                  </w:tcBorders>
                  <w:vAlign w:val="center"/>
                </w:tcPr>
                <w:p w14:paraId="580794A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单  位</w:t>
                  </w:r>
                </w:p>
              </w:tc>
              <w:tc>
                <w:tcPr>
                  <w:tcW w:w="777" w:type="pct"/>
                  <w:tcBorders>
                    <w:tl2br w:val="nil"/>
                    <w:tr2bl w:val="nil"/>
                  </w:tcBorders>
                  <w:vAlign w:val="center"/>
                </w:tcPr>
                <w:p w14:paraId="0E5C52B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数值（≤）</w:t>
                  </w:r>
                </w:p>
              </w:tc>
            </w:tr>
            <w:tr w14:paraId="1933C3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5A58E7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p w14:paraId="1236375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环</w:t>
                  </w:r>
                </w:p>
                <w:p w14:paraId="3128058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境</w:t>
                  </w:r>
                </w:p>
                <w:p w14:paraId="0379EFE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空</w:t>
                  </w:r>
                </w:p>
                <w:p w14:paraId="20A5F60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气</w:t>
                  </w:r>
                </w:p>
              </w:tc>
              <w:tc>
                <w:tcPr>
                  <w:tcW w:w="1445" w:type="pct"/>
                  <w:vMerge w:val="restart"/>
                  <w:tcBorders>
                    <w:tl2br w:val="nil"/>
                    <w:tr2bl w:val="nil"/>
                  </w:tcBorders>
                  <w:vAlign w:val="center"/>
                </w:tcPr>
                <w:p w14:paraId="237A141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《环境空气质量标准》（GB3095-2012）二级标准</w:t>
                  </w:r>
                </w:p>
              </w:tc>
              <w:tc>
                <w:tcPr>
                  <w:tcW w:w="816" w:type="pct"/>
                  <w:vMerge w:val="restart"/>
                  <w:tcBorders>
                    <w:tl2br w:val="nil"/>
                    <w:tr2bl w:val="nil"/>
                  </w:tcBorders>
                  <w:vAlign w:val="center"/>
                </w:tcPr>
                <w:p w14:paraId="7F52989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SO</w:t>
                  </w:r>
                  <w:r>
                    <w:rPr>
                      <w:rFonts w:hint="default" w:ascii="Times New Roman" w:hAnsi="Times New Roman" w:eastAsia="宋体" w:cs="Times New Roman"/>
                      <w:color w:val="auto"/>
                      <w:sz w:val="21"/>
                      <w:szCs w:val="21"/>
                      <w:vertAlign w:val="subscript"/>
                    </w:rPr>
                    <w:t>2</w:t>
                  </w:r>
                </w:p>
              </w:tc>
              <w:tc>
                <w:tcPr>
                  <w:tcW w:w="1057" w:type="pct"/>
                  <w:tcBorders>
                    <w:tl2br w:val="nil"/>
                    <w:tr2bl w:val="nil"/>
                  </w:tcBorders>
                </w:tcPr>
                <w:p w14:paraId="3036F63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restart"/>
                  <w:tcBorders>
                    <w:tl2br w:val="nil"/>
                    <w:tr2bl w:val="nil"/>
                  </w:tcBorders>
                  <w:vAlign w:val="center"/>
                </w:tcPr>
                <w:p w14:paraId="78B2328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μg/m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7C8DB8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60</w:t>
                  </w:r>
                </w:p>
              </w:tc>
            </w:tr>
            <w:tr w14:paraId="32DD3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5886D6C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C47335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7AFACA1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66B8343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continue"/>
                  <w:tcBorders>
                    <w:tl2br w:val="nil"/>
                    <w:tr2bl w:val="nil"/>
                  </w:tcBorders>
                  <w:vAlign w:val="center"/>
                </w:tcPr>
                <w:p w14:paraId="2577F4B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445E5B2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150</w:t>
                  </w:r>
                </w:p>
              </w:tc>
            </w:tr>
            <w:tr w14:paraId="62147B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17D4704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E5D7AE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4817687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7813D31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74991E2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1CD1E87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500</w:t>
                  </w:r>
                </w:p>
              </w:tc>
            </w:tr>
            <w:tr w14:paraId="68EA4F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6DF3E9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7016577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1CBDD76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NO</w:t>
                  </w:r>
                  <w:r>
                    <w:rPr>
                      <w:rFonts w:hint="default" w:ascii="Times New Roman" w:hAnsi="Times New Roman" w:eastAsia="宋体" w:cs="Times New Roman"/>
                      <w:color w:val="auto"/>
                      <w:sz w:val="21"/>
                      <w:szCs w:val="21"/>
                      <w:vertAlign w:val="subscript"/>
                    </w:rPr>
                    <w:t>2</w:t>
                  </w:r>
                </w:p>
              </w:tc>
              <w:tc>
                <w:tcPr>
                  <w:tcW w:w="1057" w:type="pct"/>
                  <w:tcBorders>
                    <w:tl2br w:val="nil"/>
                    <w:tr2bl w:val="nil"/>
                  </w:tcBorders>
                </w:tcPr>
                <w:p w14:paraId="6B7AD14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continue"/>
                  <w:tcBorders>
                    <w:tl2br w:val="nil"/>
                    <w:tr2bl w:val="nil"/>
                  </w:tcBorders>
                  <w:vAlign w:val="center"/>
                </w:tcPr>
                <w:p w14:paraId="0F604BD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4919FD9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40</w:t>
                  </w:r>
                </w:p>
              </w:tc>
            </w:tr>
            <w:tr w14:paraId="5090F2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3F063A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0B72C7E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2B68D01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0F9E9B2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continue"/>
                  <w:tcBorders>
                    <w:tl2br w:val="nil"/>
                    <w:tr2bl w:val="nil"/>
                  </w:tcBorders>
                  <w:vAlign w:val="center"/>
                </w:tcPr>
                <w:p w14:paraId="2AAD251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7E7A80D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80</w:t>
                  </w:r>
                </w:p>
              </w:tc>
            </w:tr>
            <w:tr w14:paraId="47C776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1B089D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59D0EEA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7EBCE57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4AD83B1A">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785FE29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015E315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200</w:t>
                  </w:r>
                </w:p>
              </w:tc>
            </w:tr>
            <w:tr w14:paraId="776F93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289F359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624ABB8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59A9AB5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CO</w:t>
                  </w:r>
                </w:p>
              </w:tc>
              <w:tc>
                <w:tcPr>
                  <w:tcW w:w="1057" w:type="pct"/>
                  <w:tcBorders>
                    <w:tl2br w:val="nil"/>
                    <w:tr2bl w:val="nil"/>
                  </w:tcBorders>
                </w:tcPr>
                <w:p w14:paraId="700CBDA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restart"/>
                  <w:tcBorders>
                    <w:tl2br w:val="nil"/>
                    <w:tr2bl w:val="nil"/>
                  </w:tcBorders>
                  <w:vAlign w:val="center"/>
                </w:tcPr>
                <w:p w14:paraId="611D6FE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mg/m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28678E8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4</w:t>
                  </w:r>
                </w:p>
              </w:tc>
            </w:tr>
            <w:tr w14:paraId="3E37B6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21986E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4539604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45ABE2B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70B879B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27C9295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317BC68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10</w:t>
                  </w:r>
                </w:p>
              </w:tc>
            </w:tr>
            <w:tr w14:paraId="6AE14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12EA32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2CD56A1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tcBorders>
                    <w:tl2br w:val="nil"/>
                    <w:tr2bl w:val="nil"/>
                  </w:tcBorders>
                  <w:vAlign w:val="center"/>
                </w:tcPr>
                <w:p w14:paraId="665197C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O</w:t>
                  </w:r>
                  <w:r>
                    <w:rPr>
                      <w:rFonts w:hint="default" w:ascii="Times New Roman" w:hAnsi="Times New Roman" w:eastAsia="宋体" w:cs="Times New Roman"/>
                      <w:color w:val="auto"/>
                      <w:sz w:val="21"/>
                      <w:szCs w:val="21"/>
                      <w:vertAlign w:val="subscript"/>
                    </w:rPr>
                    <w:t>3</w:t>
                  </w:r>
                </w:p>
              </w:tc>
              <w:tc>
                <w:tcPr>
                  <w:tcW w:w="1057" w:type="pct"/>
                  <w:tcBorders>
                    <w:tl2br w:val="nil"/>
                    <w:tr2bl w:val="nil"/>
                  </w:tcBorders>
                </w:tcPr>
                <w:p w14:paraId="48B01E4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日最大8小时平均</w:t>
                  </w:r>
                </w:p>
              </w:tc>
              <w:tc>
                <w:tcPr>
                  <w:tcW w:w="631" w:type="pct"/>
                  <w:vMerge w:val="restart"/>
                  <w:tcBorders>
                    <w:tl2br w:val="nil"/>
                    <w:tr2bl w:val="nil"/>
                  </w:tcBorders>
                  <w:vAlign w:val="center"/>
                </w:tcPr>
                <w:p w14:paraId="3B00AF8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μg/m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26AFAE4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160</w:t>
                  </w:r>
                </w:p>
              </w:tc>
            </w:tr>
            <w:tr w14:paraId="015E29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C73555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231FD17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28CF7E0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snapToGrid w:val="0"/>
                      <w:color w:val="auto"/>
                      <w:kern w:val="21"/>
                      <w:sz w:val="21"/>
                      <w:szCs w:val="21"/>
                    </w:rPr>
                    <w:t>PM</w:t>
                  </w:r>
                  <w:r>
                    <w:rPr>
                      <w:rFonts w:hint="default" w:ascii="Times New Roman" w:hAnsi="Times New Roman" w:eastAsia="宋体" w:cs="Times New Roman"/>
                      <w:snapToGrid w:val="0"/>
                      <w:color w:val="auto"/>
                      <w:kern w:val="21"/>
                      <w:sz w:val="21"/>
                      <w:szCs w:val="21"/>
                      <w:vertAlign w:val="subscript"/>
                    </w:rPr>
                    <w:t>10</w:t>
                  </w:r>
                </w:p>
              </w:tc>
              <w:tc>
                <w:tcPr>
                  <w:tcW w:w="1057" w:type="pct"/>
                  <w:tcBorders>
                    <w:tl2br w:val="nil"/>
                    <w:tr2bl w:val="nil"/>
                  </w:tcBorders>
                </w:tcPr>
                <w:p w14:paraId="7664306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1小时平均</w:t>
                  </w:r>
                </w:p>
              </w:tc>
              <w:tc>
                <w:tcPr>
                  <w:tcW w:w="631" w:type="pct"/>
                  <w:vMerge w:val="continue"/>
                  <w:tcBorders>
                    <w:tl2br w:val="nil"/>
                    <w:tr2bl w:val="nil"/>
                  </w:tcBorders>
                  <w:vAlign w:val="center"/>
                </w:tcPr>
                <w:p w14:paraId="01FC847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2C8412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200</w:t>
                  </w:r>
                </w:p>
              </w:tc>
            </w:tr>
            <w:tr w14:paraId="2ED95D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146212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6EBD3F4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01BD25E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473AAAE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continue"/>
                  <w:tcBorders>
                    <w:tl2br w:val="nil"/>
                    <w:tr2bl w:val="nil"/>
                  </w:tcBorders>
                  <w:vAlign w:val="center"/>
                </w:tcPr>
                <w:p w14:paraId="4D85AFF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264C750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70</w:t>
                  </w:r>
                </w:p>
              </w:tc>
            </w:tr>
            <w:tr w14:paraId="36FA6C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739A29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20D98D7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restart"/>
                  <w:tcBorders>
                    <w:tl2br w:val="nil"/>
                    <w:tr2bl w:val="nil"/>
                  </w:tcBorders>
                  <w:vAlign w:val="center"/>
                </w:tcPr>
                <w:p w14:paraId="4C4EF00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snapToGrid w:val="0"/>
                      <w:color w:val="auto"/>
                      <w:kern w:val="21"/>
                      <w:sz w:val="21"/>
                      <w:szCs w:val="21"/>
                    </w:rPr>
                    <w:t>PM</w:t>
                  </w:r>
                  <w:r>
                    <w:rPr>
                      <w:rFonts w:hint="default" w:ascii="Times New Roman" w:hAnsi="Times New Roman" w:eastAsia="宋体" w:cs="Times New Roman"/>
                      <w:snapToGrid w:val="0"/>
                      <w:color w:val="auto"/>
                      <w:kern w:val="21"/>
                      <w:sz w:val="21"/>
                      <w:szCs w:val="21"/>
                      <w:vertAlign w:val="subscript"/>
                    </w:rPr>
                    <w:t>2.5</w:t>
                  </w:r>
                </w:p>
              </w:tc>
              <w:tc>
                <w:tcPr>
                  <w:tcW w:w="1057" w:type="pct"/>
                  <w:tcBorders>
                    <w:tl2br w:val="nil"/>
                    <w:tr2bl w:val="nil"/>
                  </w:tcBorders>
                </w:tcPr>
                <w:p w14:paraId="351FC27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24小时平均</w:t>
                  </w:r>
                </w:p>
              </w:tc>
              <w:tc>
                <w:tcPr>
                  <w:tcW w:w="631" w:type="pct"/>
                  <w:vMerge w:val="continue"/>
                  <w:tcBorders>
                    <w:tl2br w:val="nil"/>
                    <w:tr2bl w:val="nil"/>
                  </w:tcBorders>
                  <w:vAlign w:val="center"/>
                </w:tcPr>
                <w:p w14:paraId="00DE10B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1CB8A30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150</w:t>
                  </w:r>
                </w:p>
              </w:tc>
            </w:tr>
            <w:tr w14:paraId="006924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9B848C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vMerge w:val="continue"/>
                  <w:tcBorders>
                    <w:tl2br w:val="nil"/>
                    <w:tr2bl w:val="nil"/>
                  </w:tcBorders>
                  <w:vAlign w:val="center"/>
                </w:tcPr>
                <w:p w14:paraId="6C62561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816" w:type="pct"/>
                  <w:vMerge w:val="continue"/>
                  <w:tcBorders>
                    <w:tl2br w:val="nil"/>
                    <w:tr2bl w:val="nil"/>
                  </w:tcBorders>
                  <w:vAlign w:val="center"/>
                </w:tcPr>
                <w:p w14:paraId="6C55B13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057" w:type="pct"/>
                  <w:tcBorders>
                    <w:tl2br w:val="nil"/>
                    <w:tr2bl w:val="nil"/>
                  </w:tcBorders>
                </w:tcPr>
                <w:p w14:paraId="782459C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年平均</w:t>
                  </w:r>
                </w:p>
              </w:tc>
              <w:tc>
                <w:tcPr>
                  <w:tcW w:w="631" w:type="pct"/>
                  <w:vMerge w:val="continue"/>
                  <w:tcBorders>
                    <w:tl2br w:val="nil"/>
                    <w:tr2bl w:val="nil"/>
                  </w:tcBorders>
                  <w:vAlign w:val="center"/>
                </w:tcPr>
                <w:p w14:paraId="1B3DABE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777" w:type="pct"/>
                  <w:tcBorders>
                    <w:tl2br w:val="nil"/>
                    <w:tr2bl w:val="nil"/>
                  </w:tcBorders>
                  <w:vAlign w:val="center"/>
                </w:tcPr>
                <w:p w14:paraId="2CCBC86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35</w:t>
                  </w:r>
                </w:p>
              </w:tc>
            </w:tr>
            <w:tr w14:paraId="2DF12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272" w:type="pct"/>
                  <w:vMerge w:val="continue"/>
                  <w:tcBorders>
                    <w:tl2br w:val="nil"/>
                    <w:tr2bl w:val="nil"/>
                  </w:tcBorders>
                  <w:vAlign w:val="center"/>
                </w:tcPr>
                <w:p w14:paraId="2C2A764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p>
              </w:tc>
              <w:tc>
                <w:tcPr>
                  <w:tcW w:w="1445" w:type="pct"/>
                  <w:tcBorders>
                    <w:tl2br w:val="nil"/>
                    <w:tr2bl w:val="nil"/>
                  </w:tcBorders>
                  <w:vAlign w:val="center"/>
                </w:tcPr>
                <w:p w14:paraId="7501B30A">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《大气污染物综合排放标准》详解</w:t>
                  </w:r>
                </w:p>
              </w:tc>
              <w:tc>
                <w:tcPr>
                  <w:tcW w:w="816" w:type="pct"/>
                  <w:tcBorders>
                    <w:tl2br w:val="nil"/>
                    <w:tr2bl w:val="nil"/>
                  </w:tcBorders>
                  <w:vAlign w:val="center"/>
                </w:tcPr>
                <w:p w14:paraId="3B709F4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非甲烷总烃</w:t>
                  </w:r>
                </w:p>
              </w:tc>
              <w:tc>
                <w:tcPr>
                  <w:tcW w:w="1057" w:type="pct"/>
                  <w:tcBorders>
                    <w:tl2br w:val="nil"/>
                    <w:tr2bl w:val="nil"/>
                  </w:tcBorders>
                  <w:vAlign w:val="center"/>
                </w:tcPr>
                <w:p w14:paraId="4F959E6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小时值</w:t>
                  </w:r>
                </w:p>
              </w:tc>
              <w:tc>
                <w:tcPr>
                  <w:tcW w:w="631" w:type="pct"/>
                  <w:tcBorders>
                    <w:tl2br w:val="nil"/>
                    <w:tr2bl w:val="nil"/>
                  </w:tcBorders>
                  <w:vAlign w:val="center"/>
                </w:tcPr>
                <w:p w14:paraId="2E7E711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mg/m</w:t>
                  </w:r>
                  <w:r>
                    <w:rPr>
                      <w:rFonts w:hint="default" w:ascii="Times New Roman" w:hAnsi="Times New Roman" w:eastAsia="宋体" w:cs="Times New Roman"/>
                      <w:color w:val="auto"/>
                      <w:sz w:val="21"/>
                      <w:szCs w:val="21"/>
                      <w:vertAlign w:val="superscript"/>
                    </w:rPr>
                    <w:t>3</w:t>
                  </w:r>
                </w:p>
              </w:tc>
              <w:tc>
                <w:tcPr>
                  <w:tcW w:w="777" w:type="pct"/>
                  <w:tcBorders>
                    <w:tl2br w:val="nil"/>
                    <w:tr2bl w:val="nil"/>
                  </w:tcBorders>
                  <w:vAlign w:val="center"/>
                </w:tcPr>
                <w:p w14:paraId="5087849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color w:val="auto"/>
                      <w:sz w:val="21"/>
                      <w:szCs w:val="21"/>
                    </w:rPr>
                    <w:t>2.0</w:t>
                  </w:r>
                </w:p>
              </w:tc>
            </w:tr>
          </w:tbl>
          <w:p w14:paraId="4A90DDA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2" w:firstLineChars="200"/>
              <w:jc w:val="both"/>
              <w:textAlignment w:val="auto"/>
              <w:rPr>
                <w:rFonts w:hint="eastAsia"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lang w:val="en-US" w:eastAsia="zh-CN" w:bidi="ar-SA"/>
              </w:rPr>
              <w:t>声</w:t>
            </w:r>
            <w:r>
              <w:rPr>
                <w:rFonts w:hint="default" w:ascii="Times New Roman" w:hAnsi="Times New Roman" w:eastAsia="宋体" w:cs="Times New Roman"/>
                <w:b/>
                <w:bCs/>
                <w:color w:val="auto"/>
                <w:spacing w:val="0"/>
                <w:w w:val="100"/>
                <w:sz w:val="24"/>
                <w:szCs w:val="24"/>
                <w:highlight w:val="none"/>
                <w:lang w:val="en-US" w:eastAsia="zh-CN"/>
              </w:rPr>
              <w:t>环境</w:t>
            </w:r>
          </w:p>
          <w:p w14:paraId="59AEE9A4">
            <w:pPr>
              <w:pStyle w:val="12"/>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contextualSpacing/>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rPr>
              <w:t>声环境质量执行《声环境质量标准》（GB3096-2008）中的</w:t>
            </w:r>
            <w:r>
              <w:rPr>
                <w:rFonts w:hint="eastAsia"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类标准。其标准值</w:t>
            </w:r>
            <w:r>
              <w:rPr>
                <w:rFonts w:hint="eastAsia" w:ascii="Times New Roman" w:hAnsi="Times New Roman" w:eastAsia="宋体" w:cs="Times New Roman"/>
                <w:color w:val="auto"/>
                <w:spacing w:val="0"/>
                <w:w w:val="100"/>
                <w:sz w:val="24"/>
                <w:szCs w:val="24"/>
                <w:highlight w:val="none"/>
                <w:lang w:eastAsia="zh-CN"/>
              </w:rPr>
              <w:t>见表</w:t>
            </w:r>
            <w:r>
              <w:rPr>
                <w:rFonts w:hint="eastAsia" w:ascii="Times New Roman" w:hAnsi="Times New Roman" w:eastAsia="宋体" w:cs="Times New Roman"/>
                <w:color w:val="auto"/>
                <w:spacing w:val="0"/>
                <w:w w:val="100"/>
                <w:sz w:val="24"/>
                <w:szCs w:val="24"/>
                <w:highlight w:val="none"/>
                <w:lang w:val="en-US" w:eastAsia="zh-CN"/>
              </w:rPr>
              <w:t>3-2。</w:t>
            </w:r>
          </w:p>
          <w:p w14:paraId="1269C70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rPr>
            </w:pPr>
            <w:r>
              <w:rPr>
                <w:rFonts w:hint="default" w:ascii="Times New Roman" w:hAnsi="Times New Roman" w:eastAsia="宋体" w:cs="Times New Roman"/>
                <w:b/>
                <w:bCs/>
                <w:color w:val="auto"/>
                <w:spacing w:val="0"/>
                <w:sz w:val="21"/>
                <w:szCs w:val="21"/>
                <w:highlight w:val="none"/>
                <w:lang w:val="en-US" w:eastAsia="zh-CN"/>
              </w:rPr>
              <w:t>表3-</w:t>
            </w:r>
            <w:r>
              <w:rPr>
                <w:rFonts w:hint="eastAsia" w:ascii="Times New Roman" w:hAnsi="Times New Roman" w:eastAsia="宋体" w:cs="Times New Roman"/>
                <w:b/>
                <w:bCs/>
                <w:color w:val="auto"/>
                <w:spacing w:val="0"/>
                <w:sz w:val="21"/>
                <w:szCs w:val="21"/>
                <w:highlight w:val="none"/>
                <w:lang w:val="en-US" w:eastAsia="zh-CN"/>
              </w:rPr>
              <w:t>2</w:t>
            </w:r>
            <w:r>
              <w:rPr>
                <w:rFonts w:hint="default" w:ascii="Times New Roman" w:hAnsi="Times New Roman" w:eastAsia="宋体" w:cs="Times New Roman"/>
                <w:b/>
                <w:bCs/>
                <w:color w:val="auto"/>
                <w:spacing w:val="0"/>
                <w:sz w:val="21"/>
                <w:szCs w:val="21"/>
                <w:highlight w:val="none"/>
                <w:lang w:val="en-US" w:eastAsia="zh-CN"/>
              </w:rPr>
              <w:t xml:space="preserve">  声环境质量标准2类标准限值    单位：dB（A）</w:t>
            </w:r>
          </w:p>
          <w:tbl>
            <w:tblPr>
              <w:tblStyle w:val="25"/>
              <w:tblW w:w="5000" w:type="pct"/>
              <w:tblInd w:w="-1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791"/>
              <w:gridCol w:w="2988"/>
              <w:gridCol w:w="2029"/>
            </w:tblGrid>
            <w:tr w14:paraId="2544D1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 w:hRule="atLeast"/>
              </w:trPr>
              <w:tc>
                <w:tcPr>
                  <w:tcW w:w="1787" w:type="pct"/>
                  <w:tcBorders>
                    <w:tl2br w:val="nil"/>
                    <w:tr2bl w:val="nil"/>
                  </w:tcBorders>
                  <w:noWrap w:val="0"/>
                  <w:vAlign w:val="top"/>
                </w:tcPr>
                <w:p w14:paraId="1368C5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类别</w:t>
                  </w:r>
                </w:p>
              </w:tc>
              <w:tc>
                <w:tcPr>
                  <w:tcW w:w="1913" w:type="pct"/>
                  <w:tcBorders>
                    <w:tl2br w:val="nil"/>
                    <w:tr2bl w:val="nil"/>
                  </w:tcBorders>
                  <w:noWrap w:val="0"/>
                  <w:vAlign w:val="top"/>
                </w:tcPr>
                <w:p w14:paraId="46F08A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昼间</w:t>
                  </w:r>
                </w:p>
              </w:tc>
              <w:tc>
                <w:tcPr>
                  <w:tcW w:w="1299" w:type="pct"/>
                  <w:tcBorders>
                    <w:tl2br w:val="nil"/>
                    <w:tr2bl w:val="nil"/>
                  </w:tcBorders>
                  <w:noWrap w:val="0"/>
                  <w:vAlign w:val="top"/>
                </w:tcPr>
                <w:p w14:paraId="2CB0DD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夜间</w:t>
                  </w:r>
                </w:p>
              </w:tc>
            </w:tr>
            <w:tr w14:paraId="2597A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787" w:type="pct"/>
                  <w:tcBorders>
                    <w:tl2br w:val="nil"/>
                    <w:tr2bl w:val="nil"/>
                  </w:tcBorders>
                  <w:noWrap w:val="0"/>
                  <w:vAlign w:val="top"/>
                </w:tcPr>
                <w:p w14:paraId="314C69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eastAsia"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pacing w:val="0"/>
                      <w:sz w:val="21"/>
                      <w:szCs w:val="21"/>
                      <w:highlight w:val="none"/>
                      <w:lang w:val="en-US" w:eastAsia="zh-CN"/>
                    </w:rPr>
                    <w:t>2</w:t>
                  </w:r>
                </w:p>
              </w:tc>
              <w:tc>
                <w:tcPr>
                  <w:tcW w:w="1913" w:type="pct"/>
                  <w:tcBorders>
                    <w:tl2br w:val="nil"/>
                    <w:tr2bl w:val="nil"/>
                  </w:tcBorders>
                  <w:noWrap w:val="0"/>
                  <w:vAlign w:val="top"/>
                </w:tcPr>
                <w:p w14:paraId="294F0FA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60</w:t>
                  </w:r>
                </w:p>
              </w:tc>
              <w:tc>
                <w:tcPr>
                  <w:tcW w:w="1299" w:type="pct"/>
                  <w:tcBorders>
                    <w:tl2br w:val="nil"/>
                    <w:tr2bl w:val="nil"/>
                  </w:tcBorders>
                  <w:noWrap w:val="0"/>
                  <w:vAlign w:val="top"/>
                </w:tcPr>
                <w:p w14:paraId="430A8C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50</w:t>
                  </w:r>
                </w:p>
              </w:tc>
            </w:tr>
          </w:tbl>
          <w:p w14:paraId="416A9A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18" w:leftChars="190" w:right="0" w:firstLine="0" w:firstLineChars="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b/>
                <w:bCs/>
                <w:color w:val="FF0000"/>
                <w:spacing w:val="0"/>
                <w:w w:val="100"/>
                <w:sz w:val="24"/>
                <w:szCs w:val="24"/>
                <w:highlight w:val="none"/>
                <w:lang w:val="en-US" w:eastAsia="zh-CN"/>
              </w:rPr>
              <w:t>（</w:t>
            </w:r>
            <w:r>
              <w:rPr>
                <w:rFonts w:hint="eastAsia" w:ascii="Times New Roman" w:hAnsi="Times New Roman" w:eastAsia="宋体" w:cs="Times New Roman"/>
                <w:b/>
                <w:bCs/>
                <w:color w:val="FF0000"/>
                <w:spacing w:val="0"/>
                <w:w w:val="100"/>
                <w:sz w:val="24"/>
                <w:szCs w:val="24"/>
                <w:highlight w:val="none"/>
                <w:lang w:val="en-US" w:eastAsia="zh-CN"/>
              </w:rPr>
              <w:t>3</w:t>
            </w:r>
            <w:r>
              <w:rPr>
                <w:rFonts w:hint="default" w:ascii="Times New Roman" w:hAnsi="Times New Roman" w:eastAsia="宋体" w:cs="Times New Roman"/>
                <w:b/>
                <w:bCs/>
                <w:color w:val="FF0000"/>
                <w:spacing w:val="0"/>
                <w:w w:val="100"/>
                <w:sz w:val="24"/>
                <w:szCs w:val="24"/>
                <w:highlight w:val="none"/>
                <w:lang w:val="en-US" w:eastAsia="zh-CN"/>
              </w:rPr>
              <w:t>）土壤环境</w:t>
            </w:r>
          </w:p>
          <w:p w14:paraId="443CCF66">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color w:val="FF0000"/>
                <w:spacing w:val="0"/>
                <w:w w:val="100"/>
                <w:sz w:val="24"/>
                <w:szCs w:val="24"/>
                <w:highlight w:val="none"/>
                <w:lang w:val="en-US" w:eastAsia="zh-CN" w:bidi="ar-SA"/>
              </w:rPr>
              <w:t>项目</w:t>
            </w:r>
            <w:r>
              <w:rPr>
                <w:rFonts w:hint="eastAsia" w:ascii="Times New Roman" w:hAnsi="Times New Roman" w:eastAsia="宋体" w:cs="Times New Roman"/>
                <w:color w:val="FF0000"/>
                <w:spacing w:val="0"/>
                <w:w w:val="100"/>
                <w:sz w:val="24"/>
                <w:szCs w:val="24"/>
                <w:highlight w:val="none"/>
                <w:lang w:val="en-US" w:eastAsia="zh-CN" w:bidi="ar-SA"/>
              </w:rPr>
              <w:t>用地类型非建设用地，井场</w:t>
            </w:r>
            <w:r>
              <w:rPr>
                <w:rFonts w:hint="default" w:ascii="Times New Roman" w:hAnsi="Times New Roman" w:eastAsia="宋体" w:cs="Times New Roman"/>
                <w:color w:val="FF0000"/>
                <w:spacing w:val="0"/>
                <w:w w:val="100"/>
                <w:sz w:val="24"/>
                <w:szCs w:val="24"/>
                <w:highlight w:val="none"/>
                <w:lang w:val="en-US" w:eastAsia="zh-CN" w:bidi="ar-SA"/>
              </w:rPr>
              <w:t>所在地</w:t>
            </w:r>
            <w:r>
              <w:rPr>
                <w:rFonts w:hint="eastAsia" w:ascii="Times New Roman" w:hAnsi="Times New Roman" w:eastAsia="宋体" w:cs="Times New Roman"/>
                <w:color w:val="FF0000"/>
                <w:spacing w:val="0"/>
                <w:w w:val="100"/>
                <w:sz w:val="24"/>
                <w:szCs w:val="24"/>
                <w:highlight w:val="none"/>
                <w:lang w:val="en-US" w:eastAsia="zh-CN" w:bidi="ar-SA"/>
              </w:rPr>
              <w:t>及周围农用地土壤环境质量</w:t>
            </w:r>
            <w:r>
              <w:rPr>
                <w:rFonts w:hint="default" w:ascii="Times New Roman" w:hAnsi="Times New Roman" w:eastAsia="宋体" w:cs="Times New Roman"/>
                <w:color w:val="FF0000"/>
                <w:spacing w:val="0"/>
                <w:w w:val="100"/>
                <w:sz w:val="24"/>
                <w:szCs w:val="24"/>
                <w:highlight w:val="none"/>
                <w:lang w:val="en-US" w:eastAsia="zh-CN" w:bidi="ar-SA"/>
              </w:rPr>
              <w:t>执行《土壤环境质量-农用地土壤污染风险管控标准（试行）》（GB15618-2018）中表1筛选值</w:t>
            </w:r>
            <w:r>
              <w:rPr>
                <w:rFonts w:hint="eastAsia" w:ascii="Times New Roman" w:hAnsi="Times New Roman" w:eastAsia="宋体" w:cs="Times New Roman"/>
                <w:color w:val="FF0000"/>
                <w:spacing w:val="0"/>
                <w:w w:val="100"/>
                <w:sz w:val="24"/>
                <w:szCs w:val="24"/>
                <w:highlight w:val="none"/>
                <w:lang w:val="en-US" w:eastAsia="zh-CN" w:bidi="ar-SA"/>
              </w:rPr>
              <w:t>，</w:t>
            </w:r>
            <w:r>
              <w:rPr>
                <w:rFonts w:hint="default" w:ascii="Times New Roman" w:hAnsi="Times New Roman" w:eastAsia="宋体" w:cs="Times New Roman"/>
                <w:color w:val="FF0000"/>
                <w:spacing w:val="0"/>
                <w:w w:val="100"/>
                <w:sz w:val="24"/>
                <w:szCs w:val="24"/>
                <w:highlight w:val="none"/>
                <w:lang w:val="en-US" w:eastAsia="zh-CN" w:bidi="ar-SA"/>
              </w:rPr>
              <w:t>石油烃</w:t>
            </w:r>
            <w:r>
              <w:rPr>
                <w:rFonts w:hint="eastAsia" w:ascii="Times New Roman" w:hAnsi="Times New Roman" w:eastAsia="宋体" w:cs="Times New Roman"/>
                <w:color w:val="FF0000"/>
                <w:spacing w:val="0"/>
                <w:w w:val="100"/>
                <w:sz w:val="24"/>
                <w:szCs w:val="24"/>
                <w:highlight w:val="none"/>
                <w:lang w:val="en-US" w:eastAsia="zh-CN" w:bidi="ar-SA"/>
              </w:rPr>
              <w:t>执行</w:t>
            </w:r>
            <w:r>
              <w:rPr>
                <w:rFonts w:hint="default" w:ascii="Times New Roman" w:hAnsi="Times New Roman" w:eastAsia="宋体" w:cs="Times New Roman"/>
                <w:color w:val="FF0000"/>
                <w:spacing w:val="0"/>
                <w:w w:val="100"/>
                <w:sz w:val="24"/>
                <w:szCs w:val="24"/>
                <w:highlight w:val="none"/>
                <w:lang w:val="en-US" w:eastAsia="zh-CN" w:bidi="ar-SA"/>
              </w:rPr>
              <w:t>《农用地土壤环境风险评价技术规定（试行）》中500mg/kg</w:t>
            </w:r>
            <w:r>
              <w:rPr>
                <w:rFonts w:hint="eastAsia" w:ascii="Times New Roman" w:hAnsi="Times New Roman" w:eastAsia="宋体" w:cs="Times New Roman"/>
                <w:color w:val="FF0000"/>
                <w:spacing w:val="0"/>
                <w:w w:val="100"/>
                <w:sz w:val="24"/>
                <w:szCs w:val="24"/>
                <w:highlight w:val="none"/>
                <w:lang w:val="en-US" w:eastAsia="zh-CN" w:bidi="ar-SA"/>
              </w:rPr>
              <w:t>要求。</w:t>
            </w:r>
            <w:r>
              <w:rPr>
                <w:rFonts w:hint="default" w:ascii="Times New Roman" w:hAnsi="Times New Roman" w:eastAsia="宋体" w:cs="Times New Roman"/>
                <w:color w:val="FF0000"/>
                <w:spacing w:val="0"/>
                <w:w w:val="100"/>
                <w:sz w:val="24"/>
                <w:szCs w:val="24"/>
                <w:highlight w:val="none"/>
              </w:rPr>
              <w:t>其标准值</w:t>
            </w:r>
            <w:r>
              <w:rPr>
                <w:rFonts w:hint="eastAsia" w:ascii="Times New Roman" w:hAnsi="Times New Roman" w:eastAsia="宋体" w:cs="Times New Roman"/>
                <w:color w:val="FF0000"/>
                <w:spacing w:val="0"/>
                <w:w w:val="100"/>
                <w:sz w:val="24"/>
                <w:szCs w:val="24"/>
                <w:highlight w:val="none"/>
                <w:lang w:eastAsia="zh-CN"/>
              </w:rPr>
              <w:t>见表</w:t>
            </w:r>
            <w:r>
              <w:rPr>
                <w:rFonts w:hint="eastAsia" w:ascii="Times New Roman" w:hAnsi="Times New Roman" w:eastAsia="宋体" w:cs="Times New Roman"/>
                <w:color w:val="FF0000"/>
                <w:spacing w:val="0"/>
                <w:w w:val="100"/>
                <w:sz w:val="24"/>
                <w:szCs w:val="24"/>
                <w:highlight w:val="none"/>
                <w:lang w:val="en-US" w:eastAsia="zh-CN"/>
              </w:rPr>
              <w:t>3-3。</w:t>
            </w:r>
          </w:p>
          <w:p w14:paraId="713A72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FF0000"/>
                <w:spacing w:val="0"/>
                <w:sz w:val="21"/>
                <w:szCs w:val="21"/>
                <w:highlight w:val="none"/>
                <w:lang w:val="en-US" w:eastAsia="zh-CN"/>
              </w:rPr>
            </w:pPr>
            <w:r>
              <w:rPr>
                <w:rFonts w:hint="default" w:ascii="Times New Roman" w:hAnsi="Times New Roman" w:eastAsia="宋体" w:cs="Times New Roman"/>
                <w:b/>
                <w:bCs/>
                <w:color w:val="FF0000"/>
                <w:spacing w:val="0"/>
                <w:sz w:val="21"/>
                <w:szCs w:val="21"/>
                <w:highlight w:val="none"/>
                <w:lang w:val="en-US" w:eastAsia="zh-CN"/>
              </w:rPr>
              <w:t>表3-</w:t>
            </w:r>
            <w:r>
              <w:rPr>
                <w:rFonts w:hint="eastAsia" w:ascii="Times New Roman" w:hAnsi="Times New Roman" w:eastAsia="宋体" w:cs="Times New Roman"/>
                <w:b/>
                <w:bCs/>
                <w:color w:val="FF0000"/>
                <w:spacing w:val="0"/>
                <w:sz w:val="21"/>
                <w:szCs w:val="21"/>
                <w:highlight w:val="none"/>
                <w:lang w:val="en-US" w:eastAsia="zh-CN"/>
              </w:rPr>
              <w:t>3</w:t>
            </w:r>
            <w:r>
              <w:rPr>
                <w:rFonts w:hint="default" w:ascii="Times New Roman" w:hAnsi="Times New Roman" w:eastAsia="宋体" w:cs="Times New Roman"/>
                <w:b/>
                <w:bCs/>
                <w:color w:val="FF0000"/>
                <w:spacing w:val="0"/>
                <w:sz w:val="21"/>
                <w:szCs w:val="21"/>
                <w:highlight w:val="none"/>
                <w:lang w:val="en-US" w:eastAsia="zh-CN"/>
              </w:rPr>
              <w:t>（GB15618-2018）农用地土壤污染风险筛选值（基本项目）单位：mg/kg</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819"/>
              <w:gridCol w:w="820"/>
              <w:gridCol w:w="1347"/>
              <w:gridCol w:w="1521"/>
              <w:gridCol w:w="122"/>
              <w:gridCol w:w="1400"/>
              <w:gridCol w:w="956"/>
            </w:tblGrid>
            <w:tr w14:paraId="4AB3E6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6E942AB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序号</w:t>
                  </w:r>
                </w:p>
              </w:tc>
              <w:tc>
                <w:tcPr>
                  <w:tcW w:w="1789" w:type="dxa"/>
                  <w:gridSpan w:val="2"/>
                  <w:noWrap w:val="0"/>
                  <w:vAlign w:val="center"/>
                </w:tcPr>
                <w:p w14:paraId="28781C9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污染物项目</w:t>
                  </w:r>
                </w:p>
              </w:tc>
              <w:tc>
                <w:tcPr>
                  <w:tcW w:w="1437" w:type="dxa"/>
                  <w:noWrap w:val="0"/>
                  <w:vAlign w:val="center"/>
                </w:tcPr>
                <w:p w14:paraId="1CCE822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pH≤5.5</w:t>
                  </w:r>
                </w:p>
              </w:tc>
              <w:tc>
                <w:tcPr>
                  <w:tcW w:w="1644" w:type="dxa"/>
                  <w:noWrap w:val="0"/>
                  <w:vAlign w:val="center"/>
                </w:tcPr>
                <w:p w14:paraId="118DC14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5.5＜pH≤6.5</w:t>
                  </w:r>
                </w:p>
              </w:tc>
              <w:tc>
                <w:tcPr>
                  <w:tcW w:w="1644" w:type="dxa"/>
                  <w:gridSpan w:val="2"/>
                  <w:noWrap w:val="0"/>
                  <w:vAlign w:val="center"/>
                </w:tcPr>
                <w:p w14:paraId="131ECC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6.5＜pH≤7.5</w:t>
                  </w:r>
                </w:p>
              </w:tc>
              <w:tc>
                <w:tcPr>
                  <w:tcW w:w="1035" w:type="dxa"/>
                  <w:noWrap w:val="0"/>
                  <w:vAlign w:val="center"/>
                </w:tcPr>
                <w:p w14:paraId="2F0E044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pH＞7.5</w:t>
                  </w:r>
                </w:p>
              </w:tc>
            </w:tr>
            <w:tr w14:paraId="1F8FA5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4DC1BAF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w:t>
                  </w:r>
                </w:p>
              </w:tc>
              <w:tc>
                <w:tcPr>
                  <w:tcW w:w="894" w:type="dxa"/>
                  <w:noWrap w:val="0"/>
                  <w:vAlign w:val="center"/>
                </w:tcPr>
                <w:p w14:paraId="2E0868E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镉</w:t>
                  </w:r>
                </w:p>
              </w:tc>
              <w:tc>
                <w:tcPr>
                  <w:tcW w:w="895" w:type="dxa"/>
                  <w:noWrap w:val="0"/>
                  <w:vAlign w:val="center"/>
                </w:tcPr>
                <w:p w14:paraId="621C633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5B6CCCD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782" w:type="dxa"/>
                  <w:gridSpan w:val="2"/>
                  <w:noWrap w:val="0"/>
                  <w:vAlign w:val="center"/>
                </w:tcPr>
                <w:p w14:paraId="240B5ED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506" w:type="dxa"/>
                  <w:noWrap w:val="0"/>
                  <w:vAlign w:val="center"/>
                </w:tcPr>
                <w:p w14:paraId="1B66605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035" w:type="dxa"/>
                  <w:noWrap w:val="0"/>
                  <w:vAlign w:val="center"/>
                </w:tcPr>
                <w:p w14:paraId="74A5CDE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0.6</w:t>
                  </w:r>
                </w:p>
              </w:tc>
            </w:tr>
            <w:tr w14:paraId="6F4AE3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3EC70BE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w:t>
                  </w:r>
                </w:p>
              </w:tc>
              <w:tc>
                <w:tcPr>
                  <w:tcW w:w="894" w:type="dxa"/>
                  <w:noWrap w:val="0"/>
                  <w:vAlign w:val="center"/>
                </w:tcPr>
                <w:p w14:paraId="5F9010A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汞</w:t>
                  </w:r>
                </w:p>
              </w:tc>
              <w:tc>
                <w:tcPr>
                  <w:tcW w:w="895" w:type="dxa"/>
                  <w:noWrap w:val="0"/>
                  <w:vAlign w:val="center"/>
                </w:tcPr>
                <w:p w14:paraId="78B8906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27E34A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1.3</w:t>
                  </w:r>
                </w:p>
              </w:tc>
              <w:tc>
                <w:tcPr>
                  <w:tcW w:w="1782" w:type="dxa"/>
                  <w:gridSpan w:val="2"/>
                  <w:noWrap w:val="0"/>
                  <w:vAlign w:val="center"/>
                </w:tcPr>
                <w:p w14:paraId="585CBFF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1.8</w:t>
                  </w:r>
                </w:p>
              </w:tc>
              <w:tc>
                <w:tcPr>
                  <w:tcW w:w="1506" w:type="dxa"/>
                  <w:noWrap w:val="0"/>
                  <w:vAlign w:val="center"/>
                </w:tcPr>
                <w:p w14:paraId="4E63CAB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2.4</w:t>
                  </w:r>
                </w:p>
              </w:tc>
              <w:tc>
                <w:tcPr>
                  <w:tcW w:w="1035" w:type="dxa"/>
                  <w:noWrap w:val="0"/>
                  <w:vAlign w:val="center"/>
                </w:tcPr>
                <w:p w14:paraId="75D5708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3.4</w:t>
                  </w:r>
                </w:p>
              </w:tc>
            </w:tr>
            <w:tr w14:paraId="62B82E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CAF5D1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w:t>
                  </w:r>
                </w:p>
              </w:tc>
              <w:tc>
                <w:tcPr>
                  <w:tcW w:w="894" w:type="dxa"/>
                  <w:noWrap w:val="0"/>
                  <w:vAlign w:val="center"/>
                </w:tcPr>
                <w:p w14:paraId="30552E4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砷</w:t>
                  </w:r>
                </w:p>
              </w:tc>
              <w:tc>
                <w:tcPr>
                  <w:tcW w:w="895" w:type="dxa"/>
                  <w:noWrap w:val="0"/>
                  <w:vAlign w:val="center"/>
                </w:tcPr>
                <w:p w14:paraId="69CCF9A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68B4221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782" w:type="dxa"/>
                  <w:gridSpan w:val="2"/>
                  <w:noWrap w:val="0"/>
                  <w:vAlign w:val="center"/>
                </w:tcPr>
                <w:p w14:paraId="39A0A6E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506" w:type="dxa"/>
                  <w:noWrap w:val="0"/>
                  <w:vAlign w:val="center"/>
                </w:tcPr>
                <w:p w14:paraId="13CD5DC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w:t>
                  </w:r>
                </w:p>
              </w:tc>
              <w:tc>
                <w:tcPr>
                  <w:tcW w:w="1035" w:type="dxa"/>
                  <w:noWrap w:val="0"/>
                  <w:vAlign w:val="center"/>
                </w:tcPr>
                <w:p w14:paraId="0AD8306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w:t>
                  </w:r>
                </w:p>
              </w:tc>
            </w:tr>
            <w:tr w14:paraId="4C3DCC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4068901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w:t>
                  </w:r>
                </w:p>
              </w:tc>
              <w:tc>
                <w:tcPr>
                  <w:tcW w:w="894" w:type="dxa"/>
                  <w:noWrap w:val="0"/>
                  <w:vAlign w:val="center"/>
                </w:tcPr>
                <w:p w14:paraId="47FB1A1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铅</w:t>
                  </w:r>
                </w:p>
              </w:tc>
              <w:tc>
                <w:tcPr>
                  <w:tcW w:w="895" w:type="dxa"/>
                  <w:noWrap w:val="0"/>
                  <w:vAlign w:val="center"/>
                </w:tcPr>
                <w:p w14:paraId="07ECDC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143416E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782" w:type="dxa"/>
                  <w:gridSpan w:val="2"/>
                  <w:noWrap w:val="0"/>
                  <w:vAlign w:val="center"/>
                </w:tcPr>
                <w:p w14:paraId="6520E35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90</w:t>
                  </w:r>
                </w:p>
              </w:tc>
              <w:tc>
                <w:tcPr>
                  <w:tcW w:w="1506" w:type="dxa"/>
                  <w:noWrap w:val="0"/>
                  <w:vAlign w:val="center"/>
                </w:tcPr>
                <w:p w14:paraId="1B0FA6C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120</w:t>
                  </w:r>
                </w:p>
              </w:tc>
              <w:tc>
                <w:tcPr>
                  <w:tcW w:w="1035" w:type="dxa"/>
                  <w:noWrap w:val="0"/>
                  <w:vAlign w:val="center"/>
                </w:tcPr>
                <w:p w14:paraId="5EC2714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170</w:t>
                  </w:r>
                </w:p>
              </w:tc>
            </w:tr>
            <w:tr w14:paraId="7D3F79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759CAC6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w:t>
                  </w:r>
                </w:p>
              </w:tc>
              <w:tc>
                <w:tcPr>
                  <w:tcW w:w="894" w:type="dxa"/>
                  <w:noWrap w:val="0"/>
                  <w:vAlign w:val="center"/>
                </w:tcPr>
                <w:p w14:paraId="4BD3C3D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铬</w:t>
                  </w:r>
                </w:p>
              </w:tc>
              <w:tc>
                <w:tcPr>
                  <w:tcW w:w="895" w:type="dxa"/>
                  <w:noWrap w:val="0"/>
                  <w:vAlign w:val="center"/>
                </w:tcPr>
                <w:p w14:paraId="4908DCF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5F422FD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782" w:type="dxa"/>
                  <w:gridSpan w:val="2"/>
                  <w:noWrap w:val="0"/>
                  <w:vAlign w:val="center"/>
                </w:tcPr>
                <w:p w14:paraId="515650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506" w:type="dxa"/>
                  <w:noWrap w:val="0"/>
                  <w:vAlign w:val="center"/>
                </w:tcPr>
                <w:p w14:paraId="418D4D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035" w:type="dxa"/>
                  <w:noWrap w:val="0"/>
                  <w:vAlign w:val="center"/>
                </w:tcPr>
                <w:p w14:paraId="3D7279F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r>
            <w:tr w14:paraId="6C3CE7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4A3002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w:t>
                  </w:r>
                </w:p>
              </w:tc>
              <w:tc>
                <w:tcPr>
                  <w:tcW w:w="894" w:type="dxa"/>
                  <w:noWrap w:val="0"/>
                  <w:vAlign w:val="center"/>
                </w:tcPr>
                <w:p w14:paraId="034B172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铜</w:t>
                  </w:r>
                </w:p>
              </w:tc>
              <w:tc>
                <w:tcPr>
                  <w:tcW w:w="895" w:type="dxa"/>
                  <w:noWrap w:val="0"/>
                  <w:vAlign w:val="center"/>
                </w:tcPr>
                <w:p w14:paraId="7397BE7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0524C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782" w:type="dxa"/>
                  <w:gridSpan w:val="2"/>
                  <w:noWrap w:val="0"/>
                  <w:vAlign w:val="center"/>
                </w:tcPr>
                <w:p w14:paraId="1BF9C15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506" w:type="dxa"/>
                  <w:noWrap w:val="0"/>
                  <w:vAlign w:val="center"/>
                </w:tcPr>
                <w:p w14:paraId="64528DE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188921D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r>
            <w:tr w14:paraId="53EB6D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46C8A3F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w:t>
                  </w:r>
                </w:p>
              </w:tc>
              <w:tc>
                <w:tcPr>
                  <w:tcW w:w="1789" w:type="dxa"/>
                  <w:gridSpan w:val="2"/>
                  <w:noWrap w:val="0"/>
                  <w:vAlign w:val="center"/>
                </w:tcPr>
                <w:p w14:paraId="0AFECAA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镍</w:t>
                  </w:r>
                </w:p>
              </w:tc>
              <w:tc>
                <w:tcPr>
                  <w:tcW w:w="1437" w:type="dxa"/>
                  <w:noWrap w:val="0"/>
                  <w:vAlign w:val="center"/>
                </w:tcPr>
                <w:p w14:paraId="5964A30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60</w:t>
                  </w:r>
                </w:p>
              </w:tc>
              <w:tc>
                <w:tcPr>
                  <w:tcW w:w="1782" w:type="dxa"/>
                  <w:gridSpan w:val="2"/>
                  <w:noWrap w:val="0"/>
                  <w:vAlign w:val="center"/>
                </w:tcPr>
                <w:p w14:paraId="5C01726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506" w:type="dxa"/>
                  <w:noWrap w:val="0"/>
                  <w:vAlign w:val="center"/>
                </w:tcPr>
                <w:p w14:paraId="66CFC62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0BFC5D9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190</w:t>
                  </w:r>
                </w:p>
              </w:tc>
            </w:tr>
            <w:tr w14:paraId="0EEF63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3B39522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8</w:t>
                  </w:r>
                </w:p>
              </w:tc>
              <w:tc>
                <w:tcPr>
                  <w:tcW w:w="1789" w:type="dxa"/>
                  <w:gridSpan w:val="2"/>
                  <w:noWrap w:val="0"/>
                  <w:vAlign w:val="center"/>
                </w:tcPr>
                <w:p w14:paraId="4B2136D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锌</w:t>
                  </w:r>
                </w:p>
              </w:tc>
              <w:tc>
                <w:tcPr>
                  <w:tcW w:w="1437" w:type="dxa"/>
                  <w:noWrap w:val="0"/>
                  <w:vAlign w:val="center"/>
                </w:tcPr>
                <w:p w14:paraId="26C8CA7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782" w:type="dxa"/>
                  <w:gridSpan w:val="2"/>
                  <w:noWrap w:val="0"/>
                  <w:vAlign w:val="center"/>
                </w:tcPr>
                <w:p w14:paraId="4C0C854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506" w:type="dxa"/>
                  <w:noWrap w:val="0"/>
                  <w:vAlign w:val="center"/>
                </w:tcPr>
                <w:p w14:paraId="6F19BEE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c>
                <w:tcPr>
                  <w:tcW w:w="1035" w:type="dxa"/>
                  <w:noWrap w:val="0"/>
                  <w:vAlign w:val="center"/>
                </w:tcPr>
                <w:p w14:paraId="053E23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300</w:t>
                  </w:r>
                </w:p>
              </w:tc>
            </w:tr>
          </w:tbl>
          <w:p w14:paraId="4C1C7279">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highlight w:val="none"/>
                <w:lang w:eastAsia="zh-CN"/>
              </w:rPr>
            </w:pPr>
          </w:p>
        </w:tc>
      </w:tr>
      <w:tr w14:paraId="7BF3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3CA022F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污</w:t>
            </w:r>
          </w:p>
          <w:p w14:paraId="5DC443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染</w:t>
            </w:r>
          </w:p>
          <w:p w14:paraId="32E64DC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物</w:t>
            </w:r>
          </w:p>
          <w:p w14:paraId="5CFD1EA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排</w:t>
            </w:r>
          </w:p>
          <w:p w14:paraId="0BC8DEB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放</w:t>
            </w:r>
          </w:p>
          <w:p w14:paraId="022C9D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2459D8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698C577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自本项目取得环评批复以来，无对应本项目环评阶段所列污染因子的污染物排放标准更新或者新颁布，验收阶段根据《建设项目竣工环境保护验收技术规范石油天然气开采》（HJ612-2011）的规定，项目施工期采用与环评阶段相同的评价标准，验收执行标准如下：</w:t>
            </w:r>
          </w:p>
          <w:p w14:paraId="65A66D3E">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1、</w:t>
            </w:r>
            <w:r>
              <w:rPr>
                <w:rFonts w:hint="default" w:ascii="Times New Roman" w:hAnsi="Times New Roman" w:eastAsia="宋体" w:cs="Times New Roman"/>
                <w:b/>
                <w:bCs/>
                <w:color w:val="auto"/>
                <w:sz w:val="24"/>
                <w:szCs w:val="24"/>
                <w:highlight w:val="none"/>
                <w:lang w:val="en-US" w:eastAsia="zh-CN" w:bidi="ar-SA"/>
              </w:rPr>
              <w:t>废气</w:t>
            </w:r>
          </w:p>
          <w:p w14:paraId="1FA04746">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钻井期柴油发电机燃烧废气排放标准执行《非道路柴油移动机械排气烟度限值及测量方法》（GB36886-2018）中Ⅱ类标准限值、《非道路移动机械用柴油机排气污染物排放限值及测量方法》（中国第三、四阶段）（GB20891-2014）及 2020 年修改单中第三阶段的标准限值；施工期扬尘执行《大气污染物综合排放标准》（GB16297-1996）表2中无组织排放监控浓度限值；非甲烷总烃无组织</w:t>
            </w:r>
            <w:r>
              <w:rPr>
                <w:rFonts w:hint="default" w:ascii="Times New Roman" w:hAnsi="Times New Roman" w:eastAsia="宋体" w:cs="Times New Roman"/>
                <w:b w:val="0"/>
                <w:bCs w:val="0"/>
                <w:color w:val="auto"/>
                <w:sz w:val="24"/>
                <w:szCs w:val="24"/>
                <w:highlight w:val="none"/>
                <w:lang w:val="en-US" w:eastAsia="zh-CN" w:bidi="ar-SA"/>
              </w:rPr>
              <w:t>排放执行</w:t>
            </w:r>
            <w:r>
              <w:rPr>
                <w:rFonts w:hint="eastAsia" w:ascii="Times New Roman" w:hAnsi="Times New Roman" w:eastAsia="宋体" w:cs="Times New Roman"/>
                <w:b w:val="0"/>
                <w:bCs w:val="0"/>
                <w:color w:val="auto"/>
                <w:sz w:val="24"/>
                <w:szCs w:val="24"/>
                <w:highlight w:val="none"/>
                <w:lang w:val="en-US" w:eastAsia="zh-CN" w:bidi="ar-SA"/>
              </w:rPr>
              <w:t>《陆上石油石油开采工业大气污染物排放标准》（GB39728-2020）。</w:t>
            </w:r>
          </w:p>
          <w:p w14:paraId="030F4C8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bidi="ar-SA"/>
              </w:rPr>
            </w:pPr>
            <w:r>
              <w:rPr>
                <w:rFonts w:hint="default" w:ascii="Times New Roman" w:hAnsi="Times New Roman" w:eastAsia="宋体" w:cs="Times New Roman"/>
                <w:b/>
                <w:bCs/>
                <w:color w:val="auto"/>
                <w:spacing w:val="0"/>
                <w:sz w:val="21"/>
                <w:szCs w:val="21"/>
                <w:highlight w:val="none"/>
                <w:lang w:val="en-US" w:eastAsia="zh-CN" w:bidi="ar-SA"/>
              </w:rPr>
              <w:t>表3-</w:t>
            </w:r>
            <w:r>
              <w:rPr>
                <w:rFonts w:hint="eastAsia" w:ascii="Times New Roman" w:hAnsi="Times New Roman" w:eastAsia="宋体" w:cs="Times New Roman"/>
                <w:b/>
                <w:bCs/>
                <w:color w:val="FF0000"/>
                <w:spacing w:val="0"/>
                <w:sz w:val="21"/>
                <w:szCs w:val="21"/>
                <w:highlight w:val="none"/>
                <w:lang w:val="en-US" w:eastAsia="zh-CN" w:bidi="ar-SA"/>
              </w:rPr>
              <w:t>4</w:t>
            </w:r>
            <w:r>
              <w:rPr>
                <w:rFonts w:hint="default" w:ascii="Times New Roman" w:hAnsi="Times New Roman" w:eastAsia="宋体" w:cs="Times New Roman"/>
                <w:b/>
                <w:bCs/>
                <w:color w:val="auto"/>
                <w:spacing w:val="0"/>
                <w:sz w:val="21"/>
                <w:szCs w:val="21"/>
                <w:highlight w:val="none"/>
                <w:lang w:val="en-US" w:eastAsia="zh-CN" w:bidi="ar-SA"/>
              </w:rPr>
              <w:t xml:space="preserve">   大气污染物排放限值</w:t>
            </w:r>
          </w:p>
          <w:tbl>
            <w:tblPr>
              <w:tblStyle w:val="25"/>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3632"/>
              <w:gridCol w:w="2070"/>
              <w:gridCol w:w="1179"/>
              <w:gridCol w:w="927"/>
            </w:tblGrid>
            <w:tr w14:paraId="67B2F3E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6" w:hRule="atLeast"/>
                <w:tblHeader/>
                <w:jc w:val="center"/>
              </w:trPr>
              <w:tc>
                <w:tcPr>
                  <w:tcW w:w="2325" w:type="pct"/>
                  <w:tcBorders>
                    <w:tl2br w:val="nil"/>
                    <w:tr2bl w:val="nil"/>
                  </w:tcBorders>
                  <w:noWrap w:val="0"/>
                  <w:tcMar>
                    <w:left w:w="28" w:type="dxa"/>
                    <w:right w:w="28" w:type="dxa"/>
                  </w:tcMar>
                  <w:vAlign w:val="center"/>
                </w:tcPr>
                <w:p w14:paraId="580CDC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标准名称及级（类）别</w:t>
                  </w:r>
                </w:p>
              </w:tc>
              <w:tc>
                <w:tcPr>
                  <w:tcW w:w="1325" w:type="pct"/>
                  <w:tcBorders>
                    <w:tl2br w:val="nil"/>
                    <w:tr2bl w:val="nil"/>
                  </w:tcBorders>
                  <w:noWrap w:val="0"/>
                  <w:tcMar>
                    <w:left w:w="28" w:type="dxa"/>
                    <w:right w:w="28" w:type="dxa"/>
                  </w:tcMar>
                  <w:vAlign w:val="center"/>
                </w:tcPr>
                <w:p w14:paraId="690203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污染因子</w:t>
                  </w:r>
                </w:p>
              </w:tc>
              <w:tc>
                <w:tcPr>
                  <w:tcW w:w="755" w:type="pct"/>
                  <w:tcBorders>
                    <w:tl2br w:val="nil"/>
                    <w:tr2bl w:val="nil"/>
                  </w:tcBorders>
                  <w:noWrap w:val="0"/>
                  <w:tcMar>
                    <w:left w:w="28" w:type="dxa"/>
                    <w:right w:w="28" w:type="dxa"/>
                  </w:tcMar>
                  <w:vAlign w:val="center"/>
                </w:tcPr>
                <w:p w14:paraId="273C29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单位</w:t>
                  </w:r>
                </w:p>
              </w:tc>
              <w:tc>
                <w:tcPr>
                  <w:tcW w:w="593" w:type="pct"/>
                  <w:tcBorders>
                    <w:tl2br w:val="nil"/>
                    <w:tr2bl w:val="nil"/>
                  </w:tcBorders>
                  <w:noWrap w:val="0"/>
                  <w:tcMar>
                    <w:left w:w="28" w:type="dxa"/>
                    <w:right w:w="28" w:type="dxa"/>
                  </w:tcMar>
                  <w:vAlign w:val="center"/>
                </w:tcPr>
                <w:p w14:paraId="161F40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限值</w:t>
                  </w:r>
                </w:p>
              </w:tc>
            </w:tr>
            <w:tr w14:paraId="0566D2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51" w:hRule="atLeast"/>
                <w:jc w:val="center"/>
              </w:trPr>
              <w:tc>
                <w:tcPr>
                  <w:tcW w:w="2325" w:type="pct"/>
                  <w:vMerge w:val="restart"/>
                  <w:tcBorders>
                    <w:tl2br w:val="nil"/>
                    <w:tr2bl w:val="nil"/>
                  </w:tcBorders>
                  <w:noWrap w:val="0"/>
                  <w:tcMar>
                    <w:left w:w="28" w:type="dxa"/>
                    <w:right w:w="28" w:type="dxa"/>
                  </w:tcMar>
                  <w:vAlign w:val="center"/>
                </w:tcPr>
                <w:p w14:paraId="743795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rPr>
                  </w:pPr>
                  <w:r>
                    <w:rPr>
                      <w:rFonts w:hint="default" w:ascii="Times New Roman" w:hAnsi="Times New Roman" w:eastAsia="宋体" w:cs="Times New Roman"/>
                      <w:color w:val="auto"/>
                      <w:spacing w:val="0"/>
                      <w:sz w:val="21"/>
                      <w:szCs w:val="21"/>
                      <w:highlight w:val="none"/>
                      <w:lang w:eastAsia="zh-CN"/>
                    </w:rPr>
                    <w:t>《非道路柴油移动机械排气烟度限值及测量方法》（GB36886-2018）Ⅱ类</w:t>
                  </w:r>
                  <w:r>
                    <w:rPr>
                      <w:rFonts w:hint="default" w:ascii="Times New Roman" w:hAnsi="Times New Roman" w:eastAsia="宋体" w:cs="Times New Roman"/>
                      <w:color w:val="auto"/>
                      <w:spacing w:val="0"/>
                      <w:sz w:val="21"/>
                      <w:szCs w:val="21"/>
                      <w:highlight w:val="none"/>
                      <w:lang w:val="en-US" w:eastAsia="zh-CN"/>
                    </w:rPr>
                    <w:t>Pmax≥37kW</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《非道路移动机械用柴油机排气污染物排放限值及测量方法》（中国第三、四阶段）（GB20891-2014）及2020年修改单中第三阶段的标准限值</w:t>
                  </w:r>
                  <w:r>
                    <w:rPr>
                      <w:rFonts w:hint="default" w:ascii="Times New Roman" w:hAnsi="Times New Roman" w:eastAsia="宋体" w:cs="Times New Roman"/>
                      <w:color w:val="auto"/>
                      <w:spacing w:val="0"/>
                      <w:sz w:val="21"/>
                      <w:szCs w:val="21"/>
                      <w:highlight w:val="none"/>
                      <w:lang w:val="en-US" w:eastAsia="zh-CN"/>
                    </w:rPr>
                    <w:t>Pmax＞60kW</w:t>
                  </w:r>
                </w:p>
              </w:tc>
              <w:tc>
                <w:tcPr>
                  <w:tcW w:w="1325" w:type="pct"/>
                  <w:tcBorders>
                    <w:tl2br w:val="nil"/>
                    <w:tr2bl w:val="nil"/>
                  </w:tcBorders>
                  <w:noWrap w:val="0"/>
                  <w:tcMar>
                    <w:left w:w="28" w:type="dxa"/>
                    <w:right w:w="28" w:type="dxa"/>
                  </w:tcMar>
                  <w:vAlign w:val="center"/>
                </w:tcPr>
                <w:p w14:paraId="7DC7AC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光吸收系数</w:t>
                  </w:r>
                </w:p>
              </w:tc>
              <w:tc>
                <w:tcPr>
                  <w:tcW w:w="755" w:type="pct"/>
                  <w:tcBorders>
                    <w:tl2br w:val="nil"/>
                    <w:tr2bl w:val="nil"/>
                  </w:tcBorders>
                  <w:noWrap w:val="0"/>
                  <w:tcMar>
                    <w:left w:w="28" w:type="dxa"/>
                    <w:right w:w="28" w:type="dxa"/>
                  </w:tcMar>
                  <w:vAlign w:val="center"/>
                </w:tcPr>
                <w:p w14:paraId="0CDDF4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m</w:t>
                  </w:r>
                  <w:r>
                    <w:rPr>
                      <w:rFonts w:hint="default" w:ascii="Times New Roman" w:hAnsi="Times New Roman" w:eastAsia="宋体" w:cs="Times New Roman"/>
                      <w:color w:val="auto"/>
                      <w:spacing w:val="0"/>
                      <w:sz w:val="21"/>
                      <w:szCs w:val="21"/>
                      <w:highlight w:val="none"/>
                      <w:vertAlign w:val="superscript"/>
                      <w:lang w:val="en-US" w:eastAsia="zh-CN"/>
                    </w:rPr>
                    <w:t>-1</w:t>
                  </w:r>
                </w:p>
              </w:tc>
              <w:tc>
                <w:tcPr>
                  <w:tcW w:w="593" w:type="pct"/>
                  <w:tcBorders>
                    <w:tl2br w:val="nil"/>
                    <w:tr2bl w:val="nil"/>
                  </w:tcBorders>
                  <w:noWrap w:val="0"/>
                  <w:tcMar>
                    <w:left w:w="28" w:type="dxa"/>
                    <w:right w:w="28" w:type="dxa"/>
                  </w:tcMar>
                  <w:vAlign w:val="center"/>
                </w:tcPr>
                <w:p w14:paraId="44862F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0.80</w:t>
                  </w:r>
                </w:p>
              </w:tc>
            </w:tr>
            <w:tr w14:paraId="301EC7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42" w:hRule="atLeast"/>
                <w:jc w:val="center"/>
              </w:trPr>
              <w:tc>
                <w:tcPr>
                  <w:tcW w:w="2325" w:type="pct"/>
                  <w:vMerge w:val="continue"/>
                  <w:tcBorders>
                    <w:tl2br w:val="nil"/>
                    <w:tr2bl w:val="nil"/>
                  </w:tcBorders>
                  <w:noWrap w:val="0"/>
                  <w:tcMar>
                    <w:left w:w="28" w:type="dxa"/>
                    <w:right w:w="28" w:type="dxa"/>
                  </w:tcMar>
                  <w:vAlign w:val="center"/>
                </w:tcPr>
                <w:p w14:paraId="718E8B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1BA96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林格曼黑度级数</w:t>
                  </w:r>
                </w:p>
              </w:tc>
              <w:tc>
                <w:tcPr>
                  <w:tcW w:w="755" w:type="pct"/>
                  <w:tcBorders>
                    <w:tl2br w:val="nil"/>
                    <w:tr2bl w:val="nil"/>
                  </w:tcBorders>
                  <w:noWrap w:val="0"/>
                  <w:tcMar>
                    <w:left w:w="28" w:type="dxa"/>
                    <w:right w:w="28" w:type="dxa"/>
                  </w:tcMar>
                  <w:vAlign w:val="center"/>
                </w:tcPr>
                <w:p w14:paraId="7E30E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c>
                <w:tcPr>
                  <w:tcW w:w="593" w:type="pct"/>
                  <w:tcBorders>
                    <w:tl2br w:val="nil"/>
                    <w:tr2bl w:val="nil"/>
                  </w:tcBorders>
                  <w:noWrap w:val="0"/>
                  <w:tcMar>
                    <w:left w:w="28" w:type="dxa"/>
                    <w:right w:w="28" w:type="dxa"/>
                  </w:tcMar>
                  <w:vAlign w:val="center"/>
                </w:tcPr>
                <w:p w14:paraId="75CBF8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w:t>
                  </w:r>
                </w:p>
              </w:tc>
            </w:tr>
            <w:tr w14:paraId="31868D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261" w:hRule="atLeast"/>
                <w:jc w:val="center"/>
              </w:trPr>
              <w:tc>
                <w:tcPr>
                  <w:tcW w:w="2325" w:type="pct"/>
                  <w:vMerge w:val="continue"/>
                  <w:tcBorders>
                    <w:tl2br w:val="nil"/>
                    <w:tr2bl w:val="nil"/>
                  </w:tcBorders>
                  <w:noWrap w:val="0"/>
                  <w:tcMar>
                    <w:left w:w="28" w:type="dxa"/>
                    <w:right w:w="28" w:type="dxa"/>
                  </w:tcMar>
                  <w:vAlign w:val="center"/>
                </w:tcPr>
                <w:p w14:paraId="2E6E7F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AA8DB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CO</w:t>
                  </w:r>
                </w:p>
              </w:tc>
              <w:tc>
                <w:tcPr>
                  <w:tcW w:w="755" w:type="pct"/>
                  <w:tcBorders>
                    <w:tl2br w:val="nil"/>
                    <w:tr2bl w:val="nil"/>
                  </w:tcBorders>
                  <w:noWrap w:val="0"/>
                  <w:tcMar>
                    <w:left w:w="28" w:type="dxa"/>
                    <w:right w:w="28" w:type="dxa"/>
                  </w:tcMar>
                  <w:vAlign w:val="center"/>
                </w:tcPr>
                <w:p w14:paraId="1745E8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12AEF6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3.5</w:t>
                  </w:r>
                </w:p>
              </w:tc>
            </w:tr>
            <w:tr w14:paraId="3AF2F8E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26" w:hRule="atLeast"/>
                <w:jc w:val="center"/>
              </w:trPr>
              <w:tc>
                <w:tcPr>
                  <w:tcW w:w="2325" w:type="pct"/>
                  <w:vMerge w:val="continue"/>
                  <w:tcBorders>
                    <w:tl2br w:val="nil"/>
                    <w:tr2bl w:val="nil"/>
                  </w:tcBorders>
                  <w:noWrap w:val="0"/>
                  <w:tcMar>
                    <w:left w:w="28" w:type="dxa"/>
                    <w:right w:w="28" w:type="dxa"/>
                  </w:tcMar>
                  <w:vAlign w:val="center"/>
                </w:tcPr>
                <w:p w14:paraId="65D0F6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1A6981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HC+NOx</w:t>
                  </w:r>
                </w:p>
              </w:tc>
              <w:tc>
                <w:tcPr>
                  <w:tcW w:w="755" w:type="pct"/>
                  <w:tcBorders>
                    <w:tl2br w:val="nil"/>
                    <w:tr2bl w:val="nil"/>
                  </w:tcBorders>
                  <w:noWrap w:val="0"/>
                  <w:tcMar>
                    <w:left w:w="28" w:type="dxa"/>
                    <w:right w:w="28" w:type="dxa"/>
                  </w:tcMar>
                  <w:vAlign w:val="center"/>
                </w:tcPr>
                <w:p w14:paraId="739939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425D38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6.4</w:t>
                  </w:r>
                </w:p>
              </w:tc>
            </w:tr>
            <w:tr w14:paraId="68AC70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101" w:hRule="atLeast"/>
                <w:jc w:val="center"/>
              </w:trPr>
              <w:tc>
                <w:tcPr>
                  <w:tcW w:w="2325" w:type="pct"/>
                  <w:vMerge w:val="continue"/>
                  <w:tcBorders>
                    <w:tl2br w:val="nil"/>
                    <w:tr2bl w:val="nil"/>
                  </w:tcBorders>
                  <w:noWrap w:val="0"/>
                  <w:tcMar>
                    <w:left w:w="28" w:type="dxa"/>
                    <w:right w:w="28" w:type="dxa"/>
                  </w:tcMar>
                  <w:vAlign w:val="center"/>
                </w:tcPr>
                <w:p w14:paraId="6CABE6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595BA8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PM</w:t>
                  </w:r>
                </w:p>
              </w:tc>
              <w:tc>
                <w:tcPr>
                  <w:tcW w:w="755" w:type="pct"/>
                  <w:tcBorders>
                    <w:tl2br w:val="nil"/>
                    <w:tr2bl w:val="nil"/>
                  </w:tcBorders>
                  <w:noWrap w:val="0"/>
                  <w:tcMar>
                    <w:left w:w="28" w:type="dxa"/>
                    <w:right w:w="28" w:type="dxa"/>
                  </w:tcMar>
                  <w:vAlign w:val="center"/>
                </w:tcPr>
                <w:p w14:paraId="501179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7370B7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0.20</w:t>
                  </w:r>
                </w:p>
              </w:tc>
            </w:tr>
            <w:tr w14:paraId="0AFA96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1A6B5F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《大气污染物综合排放标准》（GB16297-1996）表 2 中无组织排放监控浓度限值</w:t>
                  </w:r>
                </w:p>
              </w:tc>
              <w:tc>
                <w:tcPr>
                  <w:tcW w:w="1325" w:type="pct"/>
                  <w:tcBorders>
                    <w:tl2br w:val="nil"/>
                    <w:tr2bl w:val="nil"/>
                  </w:tcBorders>
                  <w:noWrap w:val="0"/>
                  <w:tcMar>
                    <w:left w:w="28" w:type="dxa"/>
                    <w:right w:w="28" w:type="dxa"/>
                  </w:tcMar>
                  <w:vAlign w:val="center"/>
                </w:tcPr>
                <w:p w14:paraId="61B033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颗粒物</w:t>
                  </w:r>
                </w:p>
              </w:tc>
              <w:tc>
                <w:tcPr>
                  <w:tcW w:w="755" w:type="pct"/>
                  <w:tcBorders>
                    <w:tl2br w:val="nil"/>
                    <w:tr2bl w:val="nil"/>
                  </w:tcBorders>
                  <w:noWrap w:val="0"/>
                  <w:tcMar>
                    <w:left w:w="28" w:type="dxa"/>
                    <w:right w:w="28" w:type="dxa"/>
                  </w:tcMar>
                  <w:vAlign w:val="center"/>
                </w:tcPr>
                <w:p w14:paraId="659941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109711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1.0</w:t>
                  </w:r>
                </w:p>
              </w:tc>
            </w:tr>
            <w:tr w14:paraId="437084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37BD16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《陆上石油</w:t>
                  </w:r>
                  <w:r>
                    <w:rPr>
                      <w:rFonts w:hint="eastAsia" w:ascii="Times New Roman" w:hAnsi="Times New Roman" w:eastAsia="宋体" w:cs="Times New Roman"/>
                      <w:color w:val="auto"/>
                      <w:spacing w:val="0"/>
                      <w:sz w:val="21"/>
                      <w:szCs w:val="21"/>
                      <w:highlight w:val="none"/>
                      <w:lang w:eastAsia="zh-CN"/>
                    </w:rPr>
                    <w:t>石油</w:t>
                  </w:r>
                  <w:r>
                    <w:rPr>
                      <w:rFonts w:hint="default" w:ascii="Times New Roman" w:hAnsi="Times New Roman" w:eastAsia="宋体" w:cs="Times New Roman"/>
                      <w:color w:val="auto"/>
                      <w:spacing w:val="0"/>
                      <w:sz w:val="21"/>
                      <w:szCs w:val="21"/>
                      <w:highlight w:val="none"/>
                    </w:rPr>
                    <w:t>开采工业大气污染物排放标准》</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GB39728-2020</w:t>
                  </w:r>
                  <w:r>
                    <w:rPr>
                      <w:rFonts w:hint="default" w:ascii="Times New Roman" w:hAnsi="Times New Roman" w:eastAsia="宋体" w:cs="Times New Roman"/>
                      <w:color w:val="auto"/>
                      <w:spacing w:val="0"/>
                      <w:sz w:val="21"/>
                      <w:szCs w:val="21"/>
                      <w:highlight w:val="none"/>
                      <w:lang w:eastAsia="zh-CN"/>
                    </w:rPr>
                    <w:t>）厂界</w:t>
                  </w:r>
                </w:p>
              </w:tc>
              <w:tc>
                <w:tcPr>
                  <w:tcW w:w="1325" w:type="pct"/>
                  <w:tcBorders>
                    <w:tl2br w:val="nil"/>
                    <w:tr2bl w:val="nil"/>
                  </w:tcBorders>
                  <w:noWrap w:val="0"/>
                  <w:tcMar>
                    <w:left w:w="28" w:type="dxa"/>
                    <w:right w:w="28" w:type="dxa"/>
                  </w:tcMar>
                  <w:vAlign w:val="center"/>
                </w:tcPr>
                <w:p w14:paraId="085FA7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非甲烷总烃</w:t>
                  </w:r>
                </w:p>
              </w:tc>
              <w:tc>
                <w:tcPr>
                  <w:tcW w:w="755" w:type="pct"/>
                  <w:tcBorders>
                    <w:tl2br w:val="nil"/>
                    <w:tr2bl w:val="nil"/>
                  </w:tcBorders>
                  <w:noWrap w:val="0"/>
                  <w:tcMar>
                    <w:left w:w="28" w:type="dxa"/>
                    <w:right w:w="28" w:type="dxa"/>
                  </w:tcMar>
                  <w:vAlign w:val="center"/>
                </w:tcPr>
                <w:p w14:paraId="513DA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00E7B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4.0</w:t>
                  </w:r>
                </w:p>
              </w:tc>
            </w:tr>
          </w:tbl>
          <w:p w14:paraId="2D99450C">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2、噪声</w:t>
            </w:r>
          </w:p>
          <w:p w14:paraId="2026DC98">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施工期厂界噪声执行《建筑施工场界环境噪声排放标准》（GB12523-2011）中的限值，具体标准见表3-</w:t>
            </w:r>
            <w:r>
              <w:rPr>
                <w:rFonts w:hint="eastAsia" w:ascii="Times New Roman" w:hAnsi="Times New Roman" w:eastAsia="宋体" w:cs="Times New Roman"/>
                <w:b w:val="0"/>
                <w:bCs w:val="0"/>
                <w:color w:val="FF0000"/>
                <w:sz w:val="24"/>
                <w:szCs w:val="24"/>
                <w:highlight w:val="none"/>
                <w:lang w:val="en-US" w:eastAsia="zh-CN" w:bidi="ar-SA"/>
              </w:rPr>
              <w:t>5</w:t>
            </w:r>
            <w:r>
              <w:rPr>
                <w:rFonts w:hint="eastAsia" w:ascii="Times New Roman" w:hAnsi="Times New Roman" w:eastAsia="宋体" w:cs="Times New Roman"/>
                <w:b w:val="0"/>
                <w:bCs w:val="0"/>
                <w:color w:val="auto"/>
                <w:sz w:val="24"/>
                <w:szCs w:val="24"/>
                <w:highlight w:val="none"/>
                <w:lang w:val="en-US" w:eastAsia="zh-CN" w:bidi="ar-SA"/>
              </w:rPr>
              <w:t>。</w:t>
            </w:r>
          </w:p>
          <w:p w14:paraId="580E1EEF">
            <w:pPr>
              <w:pStyle w:val="83"/>
              <w:keepNext w:val="0"/>
              <w:keepLines w:val="0"/>
              <w:suppressLineNumbers w:val="0"/>
              <w:spacing w:before="0" w:beforeAutospacing="0" w:after="0" w:afterAutospacing="0" w:line="240" w:lineRule="auto"/>
              <w:ind w:left="0" w:right="0" w:firstLine="0" w:firstLineChars="0"/>
              <w:rPr>
                <w:rFonts w:hint="default" w:eastAsia="宋体"/>
                <w:b/>
                <w:bCs/>
                <w:snapToGrid/>
                <w:color w:val="auto"/>
                <w:kern w:val="2"/>
                <w:sz w:val="21"/>
                <w:szCs w:val="21"/>
              </w:rPr>
            </w:pPr>
            <w:r>
              <w:rPr>
                <w:rFonts w:hint="default" w:eastAsia="宋体"/>
                <w:b/>
                <w:bCs/>
                <w:snapToGrid/>
                <w:color w:val="auto"/>
                <w:kern w:val="2"/>
                <w:sz w:val="21"/>
                <w:szCs w:val="21"/>
              </w:rPr>
              <w:t>表</w:t>
            </w:r>
            <w:r>
              <w:rPr>
                <w:rFonts w:hint="eastAsia" w:eastAsia="宋体"/>
                <w:b/>
                <w:bCs/>
                <w:snapToGrid/>
                <w:color w:val="auto"/>
                <w:kern w:val="2"/>
                <w:sz w:val="21"/>
                <w:szCs w:val="21"/>
                <w:lang w:val="en-US" w:eastAsia="zh-CN"/>
              </w:rPr>
              <w:t>3-</w:t>
            </w:r>
            <w:r>
              <w:rPr>
                <w:rFonts w:hint="eastAsia" w:eastAsia="宋体"/>
                <w:b/>
                <w:bCs/>
                <w:snapToGrid/>
                <w:color w:val="FF0000"/>
                <w:kern w:val="2"/>
                <w:sz w:val="21"/>
                <w:szCs w:val="21"/>
                <w:lang w:val="en-US" w:eastAsia="zh-CN"/>
              </w:rPr>
              <w:t>5</w:t>
            </w:r>
            <w:r>
              <w:rPr>
                <w:rFonts w:hint="default" w:eastAsia="宋体"/>
                <w:b/>
                <w:bCs/>
                <w:snapToGrid/>
                <w:color w:val="FF0000"/>
                <w:kern w:val="2"/>
                <w:sz w:val="21"/>
                <w:szCs w:val="21"/>
              </w:rPr>
              <w:t xml:space="preserve"> </w:t>
            </w:r>
            <w:r>
              <w:rPr>
                <w:rFonts w:hint="default" w:eastAsia="宋体"/>
                <w:b/>
                <w:bCs/>
                <w:snapToGrid/>
                <w:color w:val="auto"/>
                <w:kern w:val="2"/>
                <w:sz w:val="21"/>
                <w:szCs w:val="21"/>
              </w:rPr>
              <w:t xml:space="preserve"> 建筑施工场界环境噪声排放标准</w:t>
            </w:r>
          </w:p>
          <w:tbl>
            <w:tblPr>
              <w:tblStyle w:val="25"/>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904"/>
              <w:gridCol w:w="3902"/>
            </w:tblGrid>
            <w:tr w14:paraId="7CDEEB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D7F248">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昼间dB（A）</w:t>
                  </w:r>
                </w:p>
              </w:tc>
              <w:tc>
                <w:tcPr>
                  <w:tcW w:w="2499" w:type="pct"/>
                  <w:tcBorders>
                    <w:tl2br w:val="nil"/>
                    <w:tr2bl w:val="nil"/>
                  </w:tcBorders>
                  <w:noWrap w:val="0"/>
                  <w:vAlign w:val="center"/>
                </w:tcPr>
                <w:p w14:paraId="5CB100DC">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夜间dB（A）</w:t>
                  </w:r>
                </w:p>
              </w:tc>
            </w:tr>
            <w:tr w14:paraId="43EDA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437E7A">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70</w:t>
                  </w:r>
                </w:p>
              </w:tc>
              <w:tc>
                <w:tcPr>
                  <w:tcW w:w="2499" w:type="pct"/>
                  <w:tcBorders>
                    <w:tl2br w:val="nil"/>
                    <w:tr2bl w:val="nil"/>
                  </w:tcBorders>
                  <w:noWrap w:val="0"/>
                  <w:vAlign w:val="center"/>
                </w:tcPr>
                <w:p w14:paraId="2ED45DF7">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55</w:t>
                  </w:r>
                </w:p>
              </w:tc>
            </w:tr>
          </w:tbl>
          <w:p w14:paraId="2CE15EB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3、废水</w:t>
            </w:r>
          </w:p>
          <w:p w14:paraId="6163B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本项目废水拉运至泾河8撬装式水净化站处理达标后回注油层，</w:t>
            </w:r>
            <w:r>
              <w:rPr>
                <w:rFonts w:hint="default" w:ascii="Times New Roman" w:hAnsi="Times New Roman" w:eastAsia="宋体" w:cs="Times New Roman"/>
                <w:color w:val="auto"/>
                <w:kern w:val="0"/>
                <w:sz w:val="24"/>
                <w:lang w:val="en-US" w:eastAsia="zh-CN"/>
              </w:rPr>
              <w:t>不外排</w:t>
            </w:r>
            <w:r>
              <w:rPr>
                <w:rFonts w:hint="eastAsia" w:ascii="Times New Roman" w:hAnsi="Times New Roman" w:eastAsia="宋体" w:cs="Times New Roman"/>
                <w:color w:val="auto"/>
                <w:kern w:val="0"/>
                <w:sz w:val="24"/>
                <w:lang w:val="en-US" w:eastAsia="zh-CN"/>
              </w:rPr>
              <w:t>。该站执行《碎屑岩油藏注水水质指标技术要求及分析方法》（SY-T5329－2022）中相关回注标准要求。</w:t>
            </w:r>
          </w:p>
          <w:p w14:paraId="48D0BC2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default" w:ascii="Times New Roman" w:hAnsi="Times New Roman" w:eastAsia="宋体" w:cs="Times New Roman"/>
                <w:b/>
                <w:bCs/>
                <w:color w:val="auto"/>
                <w:spacing w:val="0"/>
                <w:w w:val="100"/>
                <w:sz w:val="24"/>
                <w:szCs w:val="24"/>
                <w:highlight w:val="none"/>
                <w:lang w:eastAsia="zh-CN"/>
              </w:rPr>
            </w:pPr>
            <w:r>
              <w:rPr>
                <w:rFonts w:hint="eastAsia" w:ascii="Times New Roman" w:hAnsi="Times New Roman" w:eastAsia="宋体" w:cs="Times New Roman"/>
                <w:b/>
                <w:bCs/>
                <w:color w:val="auto"/>
                <w:spacing w:val="0"/>
                <w:w w:val="100"/>
                <w:sz w:val="24"/>
                <w:szCs w:val="24"/>
                <w:highlight w:val="none"/>
                <w:lang w:val="en-US" w:eastAsia="zh-CN"/>
              </w:rPr>
              <w:t>4、</w:t>
            </w:r>
            <w:r>
              <w:rPr>
                <w:rFonts w:hint="default" w:ascii="Times New Roman" w:hAnsi="Times New Roman" w:eastAsia="宋体" w:cs="Times New Roman"/>
                <w:b/>
                <w:bCs/>
                <w:color w:val="auto"/>
                <w:spacing w:val="0"/>
                <w:w w:val="100"/>
                <w:sz w:val="24"/>
                <w:szCs w:val="24"/>
                <w:highlight w:val="none"/>
                <w:lang w:eastAsia="zh-CN"/>
              </w:rPr>
              <w:t>固废</w:t>
            </w:r>
          </w:p>
          <w:p w14:paraId="7A50B2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default" w:ascii="Times New Roman" w:hAnsi="Times New Roman" w:eastAsia="宋体" w:cs="Times New Roman"/>
                <w:color w:val="auto"/>
                <w:kern w:val="0"/>
                <w:sz w:val="24"/>
                <w:lang w:val="en-US" w:eastAsia="zh-CN"/>
              </w:rPr>
              <w:t>固体废物执行固体废物执行《</w:t>
            </w:r>
            <w:r>
              <w:rPr>
                <w:rFonts w:hint="eastAsia" w:ascii="Times New Roman" w:hAnsi="Times New Roman" w:eastAsia="宋体" w:cs="Times New Roman"/>
                <w:color w:val="auto"/>
                <w:kern w:val="0"/>
                <w:sz w:val="24"/>
                <w:lang w:val="en-US" w:eastAsia="zh-CN"/>
              </w:rPr>
              <w:t>一般工业固体废物贮存和填埋污染控制标准</w:t>
            </w:r>
            <w:r>
              <w:rPr>
                <w:rFonts w:hint="default" w:ascii="Times New Roman" w:hAnsi="Times New Roman" w:eastAsia="宋体" w:cs="Times New Roman"/>
                <w:color w:val="auto"/>
                <w:kern w:val="0"/>
                <w:sz w:val="24"/>
                <w:lang w:val="en-US" w:eastAsia="zh-CN"/>
              </w:rPr>
              <w:t>》（GB18599-2020）；</w:t>
            </w:r>
          </w:p>
          <w:p w14:paraId="18DFB8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1"/>
                <w:szCs w:val="21"/>
                <w:highlight w:val="none"/>
                <w:vertAlign w:val="baseline"/>
              </w:rPr>
            </w:pPr>
            <w:r>
              <w:rPr>
                <w:rFonts w:hint="eastAsia" w:ascii="Times New Roman" w:hAnsi="Times New Roman" w:eastAsia="宋体" w:cs="Times New Roman"/>
                <w:color w:val="auto"/>
                <w:kern w:val="0"/>
                <w:sz w:val="24"/>
                <w:lang w:val="en-US" w:eastAsia="zh-CN"/>
              </w:rPr>
              <w:t>危险废物执行《危险废物贮存污染控制标准》（GB18597-2023）中有关规定</w:t>
            </w:r>
            <w:r>
              <w:rPr>
                <w:rFonts w:hint="default" w:ascii="Times New Roman" w:hAnsi="Times New Roman" w:eastAsia="宋体" w:cs="Times New Roman"/>
                <w:color w:val="auto"/>
                <w:kern w:val="0"/>
                <w:sz w:val="24"/>
                <w:lang w:val="en-US" w:eastAsia="zh-CN"/>
              </w:rPr>
              <w:t>。</w:t>
            </w:r>
          </w:p>
        </w:tc>
      </w:tr>
      <w:tr w14:paraId="3A32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1" w:hRule="atLeast"/>
          <w:jc w:val="center"/>
        </w:trPr>
        <w:tc>
          <w:tcPr>
            <w:tcW w:w="468" w:type="dxa"/>
            <w:vAlign w:val="center"/>
          </w:tcPr>
          <w:p w14:paraId="33055FE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总</w:t>
            </w:r>
          </w:p>
          <w:p w14:paraId="38B8333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量</w:t>
            </w:r>
          </w:p>
          <w:p w14:paraId="595177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控</w:t>
            </w:r>
          </w:p>
          <w:p w14:paraId="2B9F9B2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制</w:t>
            </w:r>
          </w:p>
          <w:p w14:paraId="5B29BFE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指</w:t>
            </w:r>
          </w:p>
          <w:p w14:paraId="69996E4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标</w:t>
            </w:r>
          </w:p>
        </w:tc>
        <w:tc>
          <w:tcPr>
            <w:tcW w:w="8054" w:type="dxa"/>
          </w:tcPr>
          <w:p w14:paraId="42498F0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p>
          <w:p w14:paraId="33998A6D">
            <w:pPr>
              <w:pStyle w:val="5"/>
              <w:keepNext/>
              <w:keepLines/>
              <w:pageBreakBefore w:val="0"/>
              <w:widowControl w:val="0"/>
              <w:suppressLineNumbers w:val="0"/>
              <w:kinsoku/>
              <w:wordWrap/>
              <w:overflowPunct/>
              <w:topLinePunct w:val="0"/>
              <w:autoSpaceDE/>
              <w:autoSpaceDN/>
              <w:bidi w:val="0"/>
              <w:adjustRightInd/>
              <w:snapToGrid/>
              <w:spacing w:before="0" w:after="0"/>
              <w:ind w:left="0" w:right="0" w:firstLine="480" w:firstLineChars="200"/>
              <w:jc w:val="both"/>
              <w:textAlignment w:val="auto"/>
              <w:rPr>
                <w:rFonts w:hint="default"/>
                <w:color w:val="auto"/>
                <w:lang w:val="en-US" w:eastAsia="zh-CN"/>
              </w:rPr>
            </w:pPr>
            <w:r>
              <w:rPr>
                <w:rFonts w:hint="eastAsia" w:ascii="Times New Roman" w:hAnsi="Times New Roman" w:eastAsia="宋体" w:cs="Times New Roman"/>
                <w:b w:val="0"/>
                <w:color w:val="auto"/>
                <w:kern w:val="0"/>
                <w:sz w:val="24"/>
                <w:szCs w:val="22"/>
                <w:lang w:val="en-US" w:eastAsia="zh-CN" w:bidi="ar-SA"/>
              </w:rPr>
              <w:t>本项目为</w:t>
            </w:r>
            <w:r>
              <w:rPr>
                <w:rFonts w:hint="eastAsia" w:cs="Times New Roman"/>
                <w:b w:val="0"/>
                <w:color w:val="auto"/>
                <w:kern w:val="0"/>
                <w:sz w:val="24"/>
                <w:szCs w:val="22"/>
                <w:lang w:val="en-US" w:eastAsia="zh-CN" w:bidi="ar-SA"/>
              </w:rPr>
              <w:t>石油勘探</w:t>
            </w:r>
            <w:r>
              <w:rPr>
                <w:rFonts w:hint="eastAsia" w:ascii="Times New Roman" w:hAnsi="Times New Roman" w:eastAsia="宋体" w:cs="Times New Roman"/>
                <w:b w:val="0"/>
                <w:color w:val="auto"/>
                <w:kern w:val="0"/>
                <w:sz w:val="24"/>
                <w:szCs w:val="22"/>
                <w:lang w:val="en-US" w:eastAsia="zh-CN" w:bidi="ar-SA"/>
              </w:rPr>
              <w:t>项目，勘探钻井试</w:t>
            </w:r>
            <w:r>
              <w:rPr>
                <w:rFonts w:hint="eastAsia" w:cs="Times New Roman"/>
                <w:b w:val="0"/>
                <w:color w:val="auto"/>
                <w:kern w:val="0"/>
                <w:sz w:val="24"/>
                <w:szCs w:val="22"/>
                <w:lang w:val="en-US" w:eastAsia="zh-CN" w:bidi="ar-SA"/>
              </w:rPr>
              <w:t>油、气</w:t>
            </w:r>
            <w:r>
              <w:rPr>
                <w:rFonts w:hint="eastAsia" w:ascii="Times New Roman" w:hAnsi="Times New Roman" w:eastAsia="宋体" w:cs="Times New Roman"/>
                <w:b w:val="0"/>
                <w:color w:val="auto"/>
                <w:kern w:val="0"/>
                <w:sz w:val="24"/>
                <w:szCs w:val="22"/>
                <w:lang w:val="en-US" w:eastAsia="zh-CN" w:bidi="ar-SA"/>
              </w:rPr>
              <w:t>完成后即停止产污，无废水产生，无废气产生，同时依据环评及批复文件，项目不涉及总</w:t>
            </w:r>
            <w:r>
              <w:rPr>
                <w:rFonts w:hint="eastAsia" w:ascii="Times New Roman" w:hAnsi="Times New Roman" w:eastAsia="宋体" w:cs="Times New Roman"/>
                <w:b w:val="0"/>
                <w:bCs w:val="0"/>
                <w:color w:val="auto"/>
                <w:kern w:val="0"/>
                <w:sz w:val="24"/>
                <w:szCs w:val="22"/>
                <w:lang w:val="en-US" w:eastAsia="zh-CN" w:bidi="ar-SA"/>
              </w:rPr>
              <w:t>量控制指标申</w:t>
            </w:r>
            <w:r>
              <w:rPr>
                <w:rFonts w:hint="eastAsia" w:ascii="宋体" w:hAnsi="宋体" w:eastAsia="宋体" w:cs="宋体"/>
                <w:b w:val="0"/>
                <w:bCs w:val="0"/>
                <w:color w:val="auto"/>
                <w:kern w:val="0"/>
                <w:sz w:val="24"/>
                <w:szCs w:val="24"/>
                <w:lang w:val="en-US" w:eastAsia="zh-CN" w:bidi="ar"/>
              </w:rPr>
              <w:t>请</w:t>
            </w:r>
            <w:r>
              <w:rPr>
                <w:rFonts w:hint="eastAsia" w:ascii="Times New Roman" w:hAnsi="Times New Roman" w:eastAsia="宋体" w:cs="Times New Roman"/>
                <w:b w:val="0"/>
                <w:color w:val="auto"/>
                <w:kern w:val="0"/>
                <w:sz w:val="24"/>
                <w:szCs w:val="22"/>
                <w:lang w:val="en-US" w:eastAsia="zh-CN" w:bidi="ar-SA"/>
              </w:rPr>
              <w:t>。</w:t>
            </w:r>
          </w:p>
        </w:tc>
      </w:tr>
    </w:tbl>
    <w:p w14:paraId="09B6C715">
      <w:pPr>
        <w:spacing w:line="360" w:lineRule="auto"/>
        <w:rPr>
          <w:rFonts w:hint="default" w:ascii="Times New Roman" w:hAnsi="Times New Roman" w:eastAsia="宋体" w:cs="Times New Roman"/>
          <w:color w:val="auto"/>
          <w:w w:val="100"/>
          <w:sz w:val="21"/>
          <w:szCs w:val="21"/>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DCD51B1">
      <w:pPr>
        <w:pStyle w:val="4"/>
        <w:keepNext/>
        <w:keepLines/>
        <w:pageBreakBefore w:val="0"/>
        <w:widowControl/>
        <w:numPr>
          <w:ilvl w:val="0"/>
          <w:numId w:val="2"/>
        </w:numPr>
        <w:kinsoku/>
        <w:wordWrap/>
        <w:overflowPunct/>
        <w:topLinePunct w:val="0"/>
        <w:autoSpaceDE/>
        <w:autoSpaceDN/>
        <w:bidi w:val="0"/>
        <w:adjustRightInd/>
        <w:snapToGrid/>
        <w:spacing w:after="0"/>
        <w:ind w:firstLine="0"/>
        <w:textAlignment w:val="auto"/>
        <w:rPr>
          <w:rFonts w:hint="default" w:ascii="Times New Roman" w:hAnsi="Times New Roman" w:eastAsia="宋体" w:cs="Times New Roman"/>
          <w:b/>
          <w:bCs/>
          <w:color w:val="auto"/>
          <w:w w:val="100"/>
          <w:kern w:val="0"/>
          <w:sz w:val="32"/>
          <w:szCs w:val="22"/>
          <w:highlight w:val="none"/>
          <w:lang w:val="en-US" w:eastAsia="zh-CN" w:bidi="ar-SA"/>
        </w:rPr>
      </w:pPr>
      <w:bookmarkStart w:id="3" w:name="_Toc22199"/>
      <w:r>
        <w:rPr>
          <w:rFonts w:hint="default" w:ascii="Times New Roman" w:hAnsi="Times New Roman" w:eastAsia="宋体" w:cs="Times New Roman"/>
          <w:b/>
          <w:bCs/>
          <w:color w:val="auto"/>
          <w:w w:val="100"/>
          <w:kern w:val="0"/>
          <w:sz w:val="32"/>
          <w:szCs w:val="22"/>
          <w:highlight w:val="none"/>
          <w:lang w:val="en-US" w:eastAsia="zh-CN" w:bidi="ar-SA"/>
        </w:rPr>
        <w:t>工程概况</w:t>
      </w:r>
      <w:bookmarkEnd w:id="3"/>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6782"/>
      </w:tblGrid>
      <w:tr w14:paraId="14C3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6" w:type="dxa"/>
            <w:vAlign w:val="center"/>
          </w:tcPr>
          <w:p w14:paraId="657CE88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项目名称</w:t>
            </w:r>
          </w:p>
        </w:tc>
        <w:tc>
          <w:tcPr>
            <w:tcW w:w="6716" w:type="dxa"/>
            <w:vAlign w:val="center"/>
          </w:tcPr>
          <w:p w14:paraId="75C0BD7B">
            <w:pPr>
              <w:keepNext/>
              <w:keepLines/>
              <w:pageBreakBefore w:val="0"/>
              <w:widowControl/>
              <w:suppressLineNumbers w:val="0"/>
              <w:kinsoku/>
              <w:wordWrap/>
              <w:overflowPunct/>
              <w:topLinePunct w:val="0"/>
              <w:autoSpaceDE/>
              <w:autoSpaceDN/>
              <w:bidi w:val="0"/>
              <w:adjustRightInd/>
              <w:snapToGrid/>
              <w:spacing w:before="181" w:beforeLines="50" w:beforeAutospacing="0" w:after="0" w:afterAutospacing="0" w:line="360" w:lineRule="auto"/>
              <w:ind w:left="0" w:right="0"/>
              <w:jc w:val="both"/>
              <w:textAlignment w:val="auto"/>
              <w:outlineLvl w:val="9"/>
              <w:rPr>
                <w:rFonts w:hint="default" w:ascii="Times New Roman" w:hAnsi="Times New Roman" w:eastAsia="宋体" w:cs="Times New Roman"/>
                <w:b w:val="0"/>
                <w:color w:val="auto"/>
                <w:spacing w:val="0"/>
                <w:w w:val="100"/>
                <w:kern w:val="0"/>
                <w:sz w:val="24"/>
                <w:szCs w:val="24"/>
                <w:highlight w:val="none"/>
                <w:vertAlign w:val="baseline"/>
                <w:lang w:val="en-US" w:eastAsia="zh-CN" w:bidi="ar-SA"/>
              </w:rPr>
            </w:pPr>
            <w:r>
              <w:rPr>
                <w:rFonts w:hint="eastAsia" w:ascii="Times New Roman" w:hAnsi="Times New Roman" w:eastAsia="宋体" w:cs="Times New Roman"/>
                <w:color w:val="auto"/>
                <w:spacing w:val="0"/>
                <w:w w:val="100"/>
                <w:sz w:val="24"/>
                <w:szCs w:val="24"/>
                <w:highlight w:val="none"/>
                <w:lang w:eastAsia="zh-CN"/>
              </w:rPr>
              <w:t>华北油气分公司采油一厂宫河1H等11宗勘探井建设项目（JH2P42、长探105、JH2P44、良平101H）</w:t>
            </w:r>
          </w:p>
        </w:tc>
      </w:tr>
      <w:tr w14:paraId="5BBD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6" w:type="dxa"/>
            <w:vAlign w:val="center"/>
          </w:tcPr>
          <w:p w14:paraId="35BF5DC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项目地理位置</w:t>
            </w:r>
          </w:p>
        </w:tc>
        <w:tc>
          <w:tcPr>
            <w:tcW w:w="6716" w:type="dxa"/>
            <w:vAlign w:val="center"/>
          </w:tcPr>
          <w:p w14:paraId="1FA16923">
            <w:pPr>
              <w:pStyle w:val="3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color w:val="auto"/>
                <w:spacing w:val="0"/>
                <w:w w:val="100"/>
                <w:sz w:val="24"/>
                <w:szCs w:val="24"/>
                <w:highlight w:val="none"/>
                <w:lang w:eastAsia="zh-CN"/>
              </w:rPr>
            </w:pPr>
            <w:r>
              <w:rPr>
                <w:rFonts w:hint="eastAsia" w:cs="Times New Roman"/>
                <w:color w:val="auto"/>
                <w:spacing w:val="0"/>
                <w:w w:val="100"/>
                <w:sz w:val="24"/>
                <w:szCs w:val="24"/>
                <w:highlight w:val="none"/>
                <w:lang w:eastAsia="zh-CN"/>
              </w:rPr>
              <w:t>JH2P42</w:t>
            </w:r>
            <w:r>
              <w:rPr>
                <w:rFonts w:hint="default" w:ascii="Times New Roman" w:hAnsi="Times New Roman"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宁县早胜镇西头村</w:t>
            </w:r>
            <w:r>
              <w:rPr>
                <w:rFonts w:hint="default" w:ascii="Times New Roman" w:hAnsi="Times New Roman"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中心点坐标</w:t>
            </w:r>
            <w:r>
              <w:rPr>
                <w:rFonts w:hint="default" w:ascii="Times New Roman" w:hAnsi="Times New Roman"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E 108°11′30.507″，N 35°20′20.726″</w:t>
            </w:r>
            <w:r>
              <w:rPr>
                <w:rFonts w:hint="default" w:ascii="Times New Roman" w:hAnsi="Times New Roman" w:cs="Times New Roman"/>
                <w:color w:val="auto"/>
                <w:spacing w:val="0"/>
                <w:w w:val="100"/>
                <w:sz w:val="24"/>
                <w:szCs w:val="24"/>
                <w:highlight w:val="none"/>
                <w:lang w:val="en-US" w:eastAsia="zh-CN"/>
              </w:rPr>
              <w:t>；</w:t>
            </w:r>
          </w:p>
          <w:p w14:paraId="13D2F045">
            <w:pPr>
              <w:pStyle w:val="3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color w:val="auto"/>
                <w:spacing w:val="0"/>
                <w:w w:val="100"/>
                <w:sz w:val="24"/>
                <w:szCs w:val="24"/>
                <w:highlight w:val="none"/>
                <w:lang w:val="en-US" w:eastAsia="zh-CN"/>
              </w:rPr>
            </w:pPr>
            <w:r>
              <w:rPr>
                <w:rFonts w:hint="eastAsia" w:cs="Times New Roman"/>
                <w:color w:val="auto"/>
                <w:spacing w:val="0"/>
                <w:w w:val="100"/>
                <w:sz w:val="24"/>
                <w:szCs w:val="24"/>
                <w:highlight w:val="none"/>
                <w:lang w:eastAsia="zh-CN"/>
              </w:rPr>
              <w:t>长探105</w:t>
            </w:r>
            <w:r>
              <w:rPr>
                <w:rFonts w:hint="default" w:ascii="Times New Roman" w:hAnsi="Times New Roman" w:cs="Times New Roman"/>
                <w:color w:val="auto"/>
                <w:spacing w:val="0"/>
                <w:w w:val="100"/>
                <w:sz w:val="24"/>
                <w:szCs w:val="24"/>
                <w:highlight w:val="none"/>
                <w:lang w:eastAsia="zh-CN"/>
              </w:rPr>
              <w:t>：</w:t>
            </w:r>
            <w:r>
              <w:rPr>
                <w:rFonts w:hint="eastAsia" w:ascii="Times New Roman" w:hAnsi="Times New Roman" w:eastAsia="宋体" w:cs="Times New Roman"/>
                <w:color w:val="auto"/>
                <w:spacing w:val="0"/>
                <w:w w:val="100"/>
                <w:sz w:val="24"/>
                <w:szCs w:val="24"/>
                <w:highlight w:val="none"/>
                <w:lang w:val="en-US" w:eastAsia="zh-CN"/>
              </w:rPr>
              <w:t>宁县焦村镇朱家塬村</w:t>
            </w:r>
            <w:r>
              <w:rPr>
                <w:rFonts w:hint="default" w:ascii="Times New Roman" w:hAnsi="Times New Roman"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中心点坐标：E107°51′55.158″，N35°25′44.878″</w:t>
            </w:r>
            <w:r>
              <w:rPr>
                <w:rFonts w:hint="default" w:ascii="Times New Roman" w:hAnsi="Times New Roman" w:cs="Times New Roman"/>
                <w:color w:val="auto"/>
                <w:spacing w:val="0"/>
                <w:w w:val="100"/>
                <w:sz w:val="24"/>
                <w:szCs w:val="24"/>
                <w:highlight w:val="none"/>
                <w:lang w:val="en-US" w:eastAsia="zh-CN"/>
              </w:rPr>
              <w:t>。</w:t>
            </w:r>
          </w:p>
          <w:p w14:paraId="3343BA52">
            <w:pPr>
              <w:pStyle w:val="3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JH2P44：</w:t>
            </w:r>
            <w:r>
              <w:rPr>
                <w:rFonts w:hint="default" w:ascii="Times New Roman" w:hAnsi="Times New Roman" w:eastAsia="宋体" w:cs="Times New Roman"/>
                <w:color w:val="auto"/>
                <w:spacing w:val="0"/>
                <w:w w:val="100"/>
                <w:sz w:val="24"/>
                <w:szCs w:val="24"/>
                <w:highlight w:val="none"/>
                <w:lang w:val="en-US" w:eastAsia="zh-CN"/>
              </w:rPr>
              <w:t>宁县中村镇平定村</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中心点坐标：E107°57′10.798″，N35°23′33.248″</w:t>
            </w:r>
            <w:r>
              <w:rPr>
                <w:rFonts w:hint="eastAsia" w:ascii="Times New Roman" w:hAnsi="Times New Roman" w:eastAsia="宋体" w:cs="Times New Roman"/>
                <w:color w:val="auto"/>
                <w:spacing w:val="0"/>
                <w:w w:val="100"/>
                <w:sz w:val="24"/>
                <w:szCs w:val="24"/>
                <w:highlight w:val="none"/>
                <w:lang w:val="en-US" w:eastAsia="zh-CN"/>
              </w:rPr>
              <w:t>。</w:t>
            </w:r>
          </w:p>
          <w:p w14:paraId="6927EF00">
            <w:pPr>
              <w:pStyle w:val="3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良平101H：</w:t>
            </w:r>
            <w:r>
              <w:rPr>
                <w:rFonts w:hint="default" w:ascii="Times New Roman" w:hAnsi="Times New Roman" w:eastAsia="宋体" w:cs="Times New Roman"/>
                <w:color w:val="auto"/>
                <w:spacing w:val="0"/>
                <w:w w:val="100"/>
                <w:sz w:val="24"/>
                <w:szCs w:val="24"/>
                <w:highlight w:val="none"/>
                <w:lang w:val="en-US" w:eastAsia="zh-CN"/>
              </w:rPr>
              <w:t>宁县早胜镇院子村</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中心点坐标：E107°57′00.415″，N35°25′43.619″</w:t>
            </w:r>
            <w:r>
              <w:rPr>
                <w:rFonts w:hint="eastAsia" w:ascii="Times New Roman" w:hAnsi="Times New Roman" w:eastAsia="宋体" w:cs="Times New Roman"/>
                <w:color w:val="auto"/>
                <w:spacing w:val="0"/>
                <w:w w:val="100"/>
                <w:sz w:val="24"/>
                <w:szCs w:val="24"/>
                <w:highlight w:val="none"/>
                <w:lang w:val="en-US" w:eastAsia="zh-CN"/>
              </w:rPr>
              <w:t>。</w:t>
            </w:r>
          </w:p>
          <w:p w14:paraId="235CE52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0" w:firstLineChars="0"/>
              <w:jc w:val="both"/>
              <w:textAlignment w:val="auto"/>
              <w:rPr>
                <w:rFonts w:hint="default"/>
                <w:color w:val="auto"/>
                <w:lang w:val="en-US" w:eastAsia="zh-CN"/>
              </w:rPr>
            </w:pPr>
            <w:r>
              <w:rPr>
                <w:rFonts w:hint="default" w:ascii="Times New Roman" w:hAnsi="Times New Roman" w:eastAsia="宋体" w:cs="Times New Roman"/>
                <w:color w:val="auto"/>
                <w:spacing w:val="0"/>
                <w:w w:val="100"/>
                <w:sz w:val="24"/>
                <w:szCs w:val="24"/>
                <w:highlight w:val="none"/>
              </w:rPr>
              <w:t>建设项目区域地理位置见附图1。</w:t>
            </w:r>
          </w:p>
        </w:tc>
      </w:tr>
      <w:tr w14:paraId="007B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57788547">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4.1主要工程内容及规模：</w:t>
            </w:r>
          </w:p>
          <w:p w14:paraId="1CD1BFD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outlineLvl w:val="9"/>
              <w:rPr>
                <w:rFonts w:hint="default" w:ascii="Times New Roman" w:hAnsi="Times New Roman" w:eastAsia="宋体" w:cs="Times New Roman"/>
                <w:b/>
                <w:bCs/>
                <w:color w:val="auto"/>
                <w:spacing w:val="0"/>
                <w:w w:val="100"/>
                <w:sz w:val="24"/>
                <w:szCs w:val="24"/>
                <w:highlight w:val="none"/>
                <w:lang w:val="en-US" w:eastAsia="zh-CN"/>
              </w:rPr>
            </w:pPr>
            <w:r>
              <w:rPr>
                <w:rFonts w:hint="default" w:ascii="Times New Roman" w:hAnsi="Times New Roman" w:eastAsia="宋体" w:cs="Times New Roman"/>
                <w:b/>
                <w:bCs/>
                <w:color w:val="auto"/>
                <w:spacing w:val="0"/>
                <w:w w:val="100"/>
                <w:sz w:val="24"/>
                <w:szCs w:val="24"/>
                <w:highlight w:val="none"/>
                <w:lang w:val="en-US" w:eastAsia="zh-CN"/>
              </w:rPr>
              <w:t>1.工程建设内容</w:t>
            </w:r>
          </w:p>
          <w:p w14:paraId="014C43C7">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eastAsia"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本项目为</w:t>
            </w:r>
            <w:r>
              <w:rPr>
                <w:rFonts w:hint="eastAsia" w:eastAsia="宋体" w:cs="Times New Roman"/>
                <w:color w:val="auto"/>
                <w:sz w:val="24"/>
                <w:szCs w:val="24"/>
                <w:lang w:val="en-US" w:eastAsia="zh-CN"/>
              </w:rPr>
              <w:t>石油</w:t>
            </w:r>
            <w:r>
              <w:rPr>
                <w:rFonts w:hint="eastAsia" w:cs="Times New Roman"/>
                <w:color w:val="auto"/>
                <w:sz w:val="24"/>
                <w:szCs w:val="24"/>
                <w:lang w:val="en-US" w:eastAsia="zh-CN"/>
              </w:rPr>
              <w:t>、天然气</w:t>
            </w:r>
            <w:r>
              <w:rPr>
                <w:rFonts w:hint="eastAsia" w:ascii="Times New Roman" w:hAnsi="Times New Roman" w:eastAsia="宋体" w:cs="Times New Roman"/>
                <w:color w:val="auto"/>
                <w:sz w:val="24"/>
                <w:szCs w:val="24"/>
                <w:lang w:val="en-US" w:eastAsia="zh-CN"/>
              </w:rPr>
              <w:t>勘探井的钻试工程，只有钻井过程和试</w:t>
            </w:r>
            <w:r>
              <w:rPr>
                <w:rFonts w:hint="eastAsia" w:eastAsia="宋体" w:cs="Times New Roman"/>
                <w:color w:val="auto"/>
                <w:sz w:val="24"/>
                <w:szCs w:val="24"/>
                <w:lang w:val="en-US" w:eastAsia="zh-CN"/>
              </w:rPr>
              <w:t>油</w:t>
            </w:r>
            <w:r>
              <w:rPr>
                <w:rFonts w:hint="eastAsia" w:cs="Times New Roman"/>
                <w:color w:val="auto"/>
                <w:sz w:val="24"/>
                <w:szCs w:val="24"/>
                <w:lang w:val="en-US" w:eastAsia="zh-CN"/>
              </w:rPr>
              <w:t>、气</w:t>
            </w:r>
            <w:r>
              <w:rPr>
                <w:rFonts w:hint="eastAsia" w:ascii="Times New Roman" w:hAnsi="Times New Roman" w:eastAsia="宋体" w:cs="Times New Roman"/>
                <w:color w:val="auto"/>
                <w:sz w:val="24"/>
                <w:szCs w:val="24"/>
                <w:lang w:val="en-US" w:eastAsia="zh-CN"/>
              </w:rPr>
              <w:t>期，不涉及运行期和闭井期。验收范围</w:t>
            </w:r>
            <w:r>
              <w:rPr>
                <w:rFonts w:hint="eastAsia" w:cs="Times New Roman"/>
                <w:color w:val="auto"/>
                <w:sz w:val="24"/>
                <w:szCs w:val="24"/>
                <w:lang w:val="en-US" w:eastAsia="zh-CN"/>
              </w:rPr>
              <w:t>井场</w:t>
            </w:r>
            <w:r>
              <w:rPr>
                <w:rFonts w:hint="eastAsia" w:ascii="Times New Roman" w:hAnsi="Times New Roman" w:eastAsia="宋体" w:cs="Times New Roman"/>
                <w:color w:val="auto"/>
                <w:sz w:val="24"/>
                <w:szCs w:val="24"/>
                <w:lang w:val="en-US" w:eastAsia="zh-CN"/>
              </w:rPr>
              <w:t>钻井与试</w:t>
            </w:r>
            <w:r>
              <w:rPr>
                <w:rFonts w:hint="eastAsia" w:eastAsia="宋体" w:cs="Times New Roman"/>
                <w:color w:val="auto"/>
                <w:sz w:val="24"/>
                <w:szCs w:val="24"/>
                <w:lang w:val="en-US" w:eastAsia="zh-CN"/>
              </w:rPr>
              <w:t>油</w:t>
            </w:r>
            <w:r>
              <w:rPr>
                <w:rFonts w:hint="eastAsia" w:cs="Times New Roman"/>
                <w:color w:val="auto"/>
                <w:sz w:val="24"/>
                <w:szCs w:val="24"/>
                <w:lang w:val="en-US" w:eastAsia="zh-CN"/>
              </w:rPr>
              <w:t>、气</w:t>
            </w:r>
            <w:r>
              <w:rPr>
                <w:rFonts w:hint="eastAsia" w:ascii="Times New Roman" w:hAnsi="Times New Roman" w:eastAsia="宋体" w:cs="Times New Roman"/>
                <w:color w:val="auto"/>
                <w:sz w:val="24"/>
                <w:szCs w:val="24"/>
                <w:lang w:val="en-US" w:eastAsia="zh-CN"/>
              </w:rPr>
              <w:t>工程进行验收</w:t>
            </w:r>
            <w:r>
              <w:rPr>
                <w:rFonts w:hint="eastAsia" w:cs="Times New Roman"/>
                <w:color w:val="auto"/>
                <w:sz w:val="24"/>
                <w:szCs w:val="24"/>
                <w:lang w:val="en-US" w:eastAsia="zh-CN"/>
              </w:rPr>
              <w:t>。不包括转为生产井运行的验收，工程实施及现状情况见表4-1。</w:t>
            </w:r>
          </w:p>
          <w:p w14:paraId="6C26B7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bCs/>
                <w:color w:val="auto"/>
                <w:spacing w:val="0"/>
                <w:sz w:val="21"/>
                <w:szCs w:val="21"/>
                <w:highlight w:val="none"/>
                <w:lang w:val="zh-CN" w:eastAsia="zh-CN" w:bidi="ar-SA"/>
              </w:rPr>
            </w:pPr>
            <w:r>
              <w:rPr>
                <w:rFonts w:hint="eastAsia" w:ascii="Times New Roman" w:hAnsi="Times New Roman" w:eastAsia="宋体" w:cs="Times New Roman"/>
                <w:b/>
                <w:bCs/>
                <w:color w:val="auto"/>
                <w:spacing w:val="0"/>
                <w:sz w:val="21"/>
                <w:szCs w:val="21"/>
                <w:highlight w:val="none"/>
                <w:lang w:val="en-US" w:eastAsia="zh-CN" w:bidi="ar-SA"/>
              </w:rPr>
              <w:t xml:space="preserve">表 </w:t>
            </w:r>
            <w:r>
              <w:rPr>
                <w:rFonts w:hint="default" w:ascii="Times New Roman" w:hAnsi="Times New Roman" w:eastAsia="宋体" w:cs="Times New Roman"/>
                <w:b/>
                <w:bCs/>
                <w:color w:val="auto"/>
                <w:spacing w:val="0"/>
                <w:sz w:val="21"/>
                <w:szCs w:val="21"/>
                <w:highlight w:val="none"/>
                <w:lang w:val="en-US" w:eastAsia="zh-CN" w:bidi="ar-SA"/>
              </w:rPr>
              <w:t xml:space="preserve">4-1 </w:t>
            </w:r>
            <w:r>
              <w:rPr>
                <w:rFonts w:hint="eastAsia" w:ascii="Times New Roman" w:hAnsi="Times New Roman" w:eastAsia="宋体" w:cs="Times New Roman"/>
                <w:b/>
                <w:bCs/>
                <w:color w:val="auto"/>
                <w:spacing w:val="0"/>
                <w:sz w:val="21"/>
                <w:szCs w:val="21"/>
                <w:highlight w:val="none"/>
                <w:lang w:val="en-US" w:eastAsia="zh-CN" w:bidi="ar-SA"/>
              </w:rPr>
              <w:t>工程实施及现状情况一览表</w:t>
            </w:r>
          </w:p>
          <w:tbl>
            <w:tblPr>
              <w:tblStyle w:val="26"/>
              <w:tblW w:w="8296"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444"/>
              <w:gridCol w:w="1005"/>
              <w:gridCol w:w="1911"/>
              <w:gridCol w:w="2277"/>
            </w:tblGrid>
            <w:tr w14:paraId="691A6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59" w:type="dxa"/>
                  <w:tcBorders>
                    <w:tl2br w:val="nil"/>
                    <w:tr2bl w:val="nil"/>
                  </w:tcBorders>
                  <w:vAlign w:val="center"/>
                </w:tcPr>
                <w:p w14:paraId="44746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井号</w:t>
                  </w:r>
                </w:p>
              </w:tc>
              <w:tc>
                <w:tcPr>
                  <w:tcW w:w="1444" w:type="dxa"/>
                  <w:tcBorders>
                    <w:tl2br w:val="nil"/>
                    <w:tr2bl w:val="nil"/>
                  </w:tcBorders>
                  <w:vAlign w:val="center"/>
                </w:tcPr>
                <w:p w14:paraId="00C03A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实际井深</w:t>
                  </w:r>
                </w:p>
              </w:tc>
              <w:tc>
                <w:tcPr>
                  <w:tcW w:w="1005" w:type="dxa"/>
                  <w:tcBorders>
                    <w:tl2br w:val="nil"/>
                    <w:tr2bl w:val="nil"/>
                  </w:tcBorders>
                  <w:vAlign w:val="center"/>
                </w:tcPr>
                <w:p w14:paraId="10D4BA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井型</w:t>
                  </w:r>
                </w:p>
              </w:tc>
              <w:tc>
                <w:tcPr>
                  <w:tcW w:w="1911" w:type="dxa"/>
                  <w:tcBorders>
                    <w:tl2br w:val="nil"/>
                    <w:tr2bl w:val="nil"/>
                  </w:tcBorders>
                  <w:vAlign w:val="center"/>
                </w:tcPr>
                <w:p w14:paraId="584DD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是否具备工业油、气流</w:t>
                  </w:r>
                </w:p>
              </w:tc>
              <w:tc>
                <w:tcPr>
                  <w:tcW w:w="2277" w:type="dxa"/>
                  <w:tcBorders>
                    <w:tl2br w:val="nil"/>
                    <w:tr2bl w:val="nil"/>
                  </w:tcBorders>
                  <w:vAlign w:val="center"/>
                </w:tcPr>
                <w:p w14:paraId="3E6EE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目前现状</w:t>
                  </w:r>
                </w:p>
              </w:tc>
            </w:tr>
            <w:tr w14:paraId="1E5523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659" w:type="dxa"/>
                  <w:tcBorders>
                    <w:tl2br w:val="nil"/>
                    <w:tr2bl w:val="nil"/>
                  </w:tcBorders>
                  <w:shd w:val="clear" w:color="auto" w:fill="auto"/>
                  <w:vAlign w:val="center"/>
                </w:tcPr>
                <w:p w14:paraId="1322D4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JH2P42</w:t>
                  </w:r>
                </w:p>
              </w:tc>
              <w:tc>
                <w:tcPr>
                  <w:tcW w:w="1444" w:type="dxa"/>
                  <w:tcBorders>
                    <w:tl2br w:val="nil"/>
                    <w:tr2bl w:val="nil"/>
                  </w:tcBorders>
                  <w:shd w:val="clear" w:color="auto" w:fill="auto"/>
                  <w:vAlign w:val="center"/>
                </w:tcPr>
                <w:p w14:paraId="210B11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2164m</w:t>
                  </w:r>
                </w:p>
              </w:tc>
              <w:tc>
                <w:tcPr>
                  <w:tcW w:w="1005" w:type="dxa"/>
                  <w:tcBorders>
                    <w:tl2br w:val="nil"/>
                    <w:tr2bl w:val="nil"/>
                  </w:tcBorders>
                  <w:vAlign w:val="center"/>
                </w:tcPr>
                <w:p w14:paraId="1C94E9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水平井</w:t>
                  </w:r>
                </w:p>
              </w:tc>
              <w:tc>
                <w:tcPr>
                  <w:tcW w:w="1911" w:type="dxa"/>
                  <w:tcBorders>
                    <w:tl2br w:val="nil"/>
                    <w:tr2bl w:val="nil"/>
                  </w:tcBorders>
                  <w:vAlign w:val="center"/>
                </w:tcPr>
                <w:p w14:paraId="6A2A3F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是</w:t>
                  </w:r>
                </w:p>
              </w:tc>
              <w:tc>
                <w:tcPr>
                  <w:tcW w:w="2277" w:type="dxa"/>
                  <w:tcBorders>
                    <w:tl2br w:val="nil"/>
                    <w:tr2bl w:val="nil"/>
                  </w:tcBorders>
                  <w:vAlign w:val="center"/>
                </w:tcPr>
                <w:p w14:paraId="7D73F1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临时关井，待转产</w:t>
                  </w:r>
                </w:p>
              </w:tc>
            </w:tr>
            <w:tr w14:paraId="52BB58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659" w:type="dxa"/>
                  <w:tcBorders>
                    <w:tl2br w:val="nil"/>
                    <w:tr2bl w:val="nil"/>
                  </w:tcBorders>
                  <w:shd w:val="clear" w:color="auto" w:fill="auto"/>
                  <w:vAlign w:val="center"/>
                </w:tcPr>
                <w:p w14:paraId="285B3E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长探105</w:t>
                  </w:r>
                </w:p>
              </w:tc>
              <w:tc>
                <w:tcPr>
                  <w:tcW w:w="1444" w:type="dxa"/>
                  <w:tcBorders>
                    <w:tl2br w:val="nil"/>
                    <w:tr2bl w:val="nil"/>
                  </w:tcBorders>
                  <w:shd w:val="clear" w:color="auto" w:fill="auto"/>
                  <w:vAlign w:val="center"/>
                </w:tcPr>
                <w:p w14:paraId="49A4E2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4030m</w:t>
                  </w:r>
                </w:p>
              </w:tc>
              <w:tc>
                <w:tcPr>
                  <w:tcW w:w="1005" w:type="dxa"/>
                  <w:tcBorders>
                    <w:tl2br w:val="nil"/>
                    <w:tr2bl w:val="nil"/>
                  </w:tcBorders>
                  <w:vAlign w:val="center"/>
                </w:tcPr>
                <w:p w14:paraId="0FA5C1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直井</w:t>
                  </w:r>
                </w:p>
              </w:tc>
              <w:tc>
                <w:tcPr>
                  <w:tcW w:w="1911" w:type="dxa"/>
                  <w:tcBorders>
                    <w:tl2br w:val="nil"/>
                    <w:tr2bl w:val="nil"/>
                  </w:tcBorders>
                  <w:vAlign w:val="center"/>
                </w:tcPr>
                <w:p w14:paraId="0232B0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否</w:t>
                  </w:r>
                </w:p>
              </w:tc>
              <w:tc>
                <w:tcPr>
                  <w:tcW w:w="2277" w:type="dxa"/>
                  <w:tcBorders>
                    <w:tl2br w:val="nil"/>
                    <w:tr2bl w:val="nil"/>
                  </w:tcBorders>
                  <w:vAlign w:val="center"/>
                </w:tcPr>
                <w:p w14:paraId="058B9D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永久封井</w:t>
                  </w:r>
                </w:p>
              </w:tc>
            </w:tr>
            <w:tr w14:paraId="66E026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659" w:type="dxa"/>
                  <w:tcBorders>
                    <w:tl2br w:val="nil"/>
                    <w:tr2bl w:val="nil"/>
                  </w:tcBorders>
                  <w:shd w:val="clear" w:color="auto" w:fill="auto"/>
                  <w:vAlign w:val="center"/>
                </w:tcPr>
                <w:p w14:paraId="366C7D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JH2P44</w:t>
                  </w:r>
                </w:p>
              </w:tc>
              <w:tc>
                <w:tcPr>
                  <w:tcW w:w="1444" w:type="dxa"/>
                  <w:tcBorders>
                    <w:tl2br w:val="nil"/>
                    <w:tr2bl w:val="nil"/>
                  </w:tcBorders>
                  <w:shd w:val="clear" w:color="auto" w:fill="auto"/>
                  <w:vAlign w:val="center"/>
                </w:tcPr>
                <w:p w14:paraId="73B96C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rPr>
                  </w:pPr>
                  <w:r>
                    <w:rPr>
                      <w:rFonts w:hint="default" w:ascii="Times New Roman" w:hAnsi="Times New Roman" w:eastAsia="宋体" w:cs="Times New Roman"/>
                      <w:color w:val="auto"/>
                      <w:spacing w:val="-4"/>
                      <w:kern w:val="21"/>
                      <w:sz w:val="21"/>
                      <w:szCs w:val="21"/>
                      <w:highlight w:val="none"/>
                      <w:lang w:val="en-US" w:eastAsia="zh-CN"/>
                    </w:rPr>
                    <w:t>2222</w:t>
                  </w:r>
                  <w:r>
                    <w:rPr>
                      <w:rFonts w:hint="eastAsia" w:ascii="Times New Roman" w:hAnsi="Times New Roman" w:eastAsia="宋体" w:cs="Times New Roman"/>
                      <w:color w:val="auto"/>
                      <w:spacing w:val="-4"/>
                      <w:kern w:val="21"/>
                      <w:sz w:val="21"/>
                      <w:szCs w:val="21"/>
                      <w:highlight w:val="none"/>
                      <w:lang w:val="en-US" w:eastAsia="zh-CN"/>
                    </w:rPr>
                    <w:t>m</w:t>
                  </w:r>
                </w:p>
              </w:tc>
              <w:tc>
                <w:tcPr>
                  <w:tcW w:w="1005" w:type="dxa"/>
                  <w:tcBorders>
                    <w:tl2br w:val="nil"/>
                    <w:tr2bl w:val="nil"/>
                  </w:tcBorders>
                  <w:vAlign w:val="center"/>
                </w:tcPr>
                <w:p w14:paraId="1E3A62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水平井</w:t>
                  </w:r>
                </w:p>
              </w:tc>
              <w:tc>
                <w:tcPr>
                  <w:tcW w:w="1911" w:type="dxa"/>
                  <w:tcBorders>
                    <w:tl2br w:val="nil"/>
                    <w:tr2bl w:val="nil"/>
                  </w:tcBorders>
                  <w:vAlign w:val="center"/>
                </w:tcPr>
                <w:p w14:paraId="467200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是</w:t>
                  </w:r>
                </w:p>
              </w:tc>
              <w:tc>
                <w:tcPr>
                  <w:tcW w:w="2277" w:type="dxa"/>
                  <w:tcBorders>
                    <w:tl2br w:val="nil"/>
                    <w:tr2bl w:val="nil"/>
                  </w:tcBorders>
                  <w:vAlign w:val="center"/>
                </w:tcPr>
                <w:p w14:paraId="3326C3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临时关井，待转产</w:t>
                  </w:r>
                </w:p>
              </w:tc>
            </w:tr>
            <w:tr w14:paraId="20AE97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659" w:type="dxa"/>
                  <w:tcBorders>
                    <w:tl2br w:val="nil"/>
                    <w:tr2bl w:val="nil"/>
                  </w:tcBorders>
                  <w:shd w:val="clear" w:color="auto" w:fill="auto"/>
                  <w:vAlign w:val="center"/>
                </w:tcPr>
                <w:p w14:paraId="7A0F70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良平101H</w:t>
                  </w:r>
                </w:p>
              </w:tc>
              <w:tc>
                <w:tcPr>
                  <w:tcW w:w="1444" w:type="dxa"/>
                  <w:tcBorders>
                    <w:tl2br w:val="nil"/>
                    <w:tr2bl w:val="nil"/>
                  </w:tcBorders>
                  <w:shd w:val="clear" w:color="auto" w:fill="auto"/>
                  <w:vAlign w:val="center"/>
                </w:tcPr>
                <w:p w14:paraId="1DA68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2039m</w:t>
                  </w:r>
                </w:p>
              </w:tc>
              <w:tc>
                <w:tcPr>
                  <w:tcW w:w="1005" w:type="dxa"/>
                  <w:tcBorders>
                    <w:tl2br w:val="nil"/>
                    <w:tr2bl w:val="nil"/>
                  </w:tcBorders>
                  <w:vAlign w:val="center"/>
                </w:tcPr>
                <w:p w14:paraId="21B19A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水平井</w:t>
                  </w:r>
                </w:p>
              </w:tc>
              <w:tc>
                <w:tcPr>
                  <w:tcW w:w="1911" w:type="dxa"/>
                  <w:tcBorders>
                    <w:tl2br w:val="nil"/>
                    <w:tr2bl w:val="nil"/>
                  </w:tcBorders>
                  <w:vAlign w:val="center"/>
                </w:tcPr>
                <w:p w14:paraId="2A622F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是</w:t>
                  </w:r>
                </w:p>
              </w:tc>
              <w:tc>
                <w:tcPr>
                  <w:tcW w:w="2277" w:type="dxa"/>
                  <w:tcBorders>
                    <w:tl2br w:val="nil"/>
                    <w:tr2bl w:val="nil"/>
                  </w:tcBorders>
                  <w:vAlign w:val="center"/>
                </w:tcPr>
                <w:p w14:paraId="24E166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临时关井，待转产</w:t>
                  </w:r>
                </w:p>
              </w:tc>
            </w:tr>
          </w:tbl>
          <w:p w14:paraId="46E673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根据实际现场调查情况，工程内容及规模变化情况见表4-2</w:t>
            </w:r>
            <w:r>
              <w:rPr>
                <w:rFonts w:hint="default" w:ascii="Times New Roman" w:hAnsi="Times New Roman" w:eastAsia="宋体" w:cs="Times New Roman"/>
                <w:color w:val="auto"/>
                <w:sz w:val="24"/>
                <w:szCs w:val="24"/>
              </w:rPr>
              <w:t>。</w:t>
            </w:r>
          </w:p>
          <w:p w14:paraId="5B541B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zh-CN" w:eastAsia="zh-CN" w:bidi="ar-SA"/>
              </w:rPr>
              <w:t>表</w:t>
            </w:r>
            <w:r>
              <w:rPr>
                <w:rFonts w:hint="default" w:ascii="Times New Roman" w:hAnsi="Times New Roman" w:eastAsia="宋体" w:cs="Times New Roman"/>
                <w:b/>
                <w:bCs/>
                <w:color w:val="auto"/>
                <w:spacing w:val="0"/>
                <w:sz w:val="21"/>
                <w:szCs w:val="21"/>
                <w:highlight w:val="none"/>
                <w:lang w:val="en-US" w:eastAsia="zh-CN" w:bidi="ar-SA"/>
              </w:rPr>
              <w:t>4-</w:t>
            </w:r>
            <w:r>
              <w:rPr>
                <w:rFonts w:hint="eastAsia" w:ascii="Times New Roman" w:hAnsi="Times New Roman" w:eastAsia="宋体" w:cs="Times New Roman"/>
                <w:b/>
                <w:bCs/>
                <w:color w:val="auto"/>
                <w:spacing w:val="0"/>
                <w:sz w:val="21"/>
                <w:szCs w:val="21"/>
                <w:highlight w:val="none"/>
                <w:lang w:val="en-US" w:eastAsia="zh-CN" w:bidi="ar-SA"/>
              </w:rPr>
              <w:t>2</w:t>
            </w:r>
            <w:r>
              <w:rPr>
                <w:rFonts w:hint="default" w:ascii="Times New Roman" w:hAnsi="Times New Roman" w:eastAsia="宋体" w:cs="Times New Roman"/>
                <w:b/>
                <w:bCs/>
                <w:color w:val="auto"/>
                <w:spacing w:val="0"/>
                <w:sz w:val="21"/>
                <w:szCs w:val="21"/>
                <w:highlight w:val="none"/>
                <w:lang w:val="en-US" w:eastAsia="zh-CN" w:bidi="ar-SA"/>
              </w:rPr>
              <w:t xml:space="preserve"> </w:t>
            </w:r>
            <w:r>
              <w:rPr>
                <w:rFonts w:hint="default" w:ascii="Times New Roman" w:hAnsi="Times New Roman" w:eastAsia="宋体" w:cs="Times New Roman"/>
                <w:b/>
                <w:bCs/>
                <w:color w:val="auto"/>
                <w:spacing w:val="0"/>
                <w:sz w:val="21"/>
                <w:szCs w:val="21"/>
                <w:highlight w:val="none"/>
                <w:lang w:val="zh-CN" w:eastAsia="zh-CN" w:bidi="ar-SA"/>
              </w:rPr>
              <w:t>项目建设内容一览表</w:t>
            </w:r>
          </w:p>
          <w:tbl>
            <w:tblPr>
              <w:tblStyle w:val="25"/>
              <w:tblW w:w="4995"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57" w:type="dxa"/>
                <w:left w:w="108" w:type="dxa"/>
                <w:bottom w:w="57" w:type="dxa"/>
                <w:right w:w="108" w:type="dxa"/>
              </w:tblCellMar>
            </w:tblPr>
            <w:tblGrid>
              <w:gridCol w:w="427"/>
              <w:gridCol w:w="672"/>
              <w:gridCol w:w="2620"/>
              <w:gridCol w:w="2342"/>
              <w:gridCol w:w="715"/>
              <w:gridCol w:w="1492"/>
            </w:tblGrid>
            <w:tr w14:paraId="158C78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tblHeader/>
                <w:jc w:val="center"/>
              </w:trPr>
              <w:tc>
                <w:tcPr>
                  <w:tcW w:w="258" w:type="pct"/>
                  <w:tcBorders>
                    <w:tl2br w:val="nil"/>
                    <w:tr2bl w:val="nil"/>
                  </w:tcBorders>
                  <w:noWrap w:val="0"/>
                  <w:vAlign w:val="center"/>
                </w:tcPr>
                <w:p w14:paraId="14CBD5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类别</w:t>
                  </w:r>
                </w:p>
              </w:tc>
              <w:tc>
                <w:tcPr>
                  <w:tcW w:w="406" w:type="pct"/>
                  <w:tcBorders>
                    <w:tl2br w:val="nil"/>
                    <w:tr2bl w:val="nil"/>
                  </w:tcBorders>
                  <w:noWrap w:val="0"/>
                  <w:vAlign w:val="center"/>
                </w:tcPr>
                <w:p w14:paraId="634D9A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项目名称</w:t>
                  </w:r>
                </w:p>
              </w:tc>
              <w:tc>
                <w:tcPr>
                  <w:tcW w:w="1584" w:type="pct"/>
                  <w:tcBorders>
                    <w:tl2br w:val="nil"/>
                    <w:tr2bl w:val="nil"/>
                  </w:tcBorders>
                  <w:noWrap w:val="0"/>
                  <w:vAlign w:val="center"/>
                </w:tcPr>
                <w:p w14:paraId="37E9A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组成内容及规模</w:t>
                  </w:r>
                </w:p>
              </w:tc>
              <w:tc>
                <w:tcPr>
                  <w:tcW w:w="1416" w:type="pct"/>
                  <w:tcBorders>
                    <w:tl2br w:val="nil"/>
                    <w:tr2bl w:val="nil"/>
                  </w:tcBorders>
                  <w:noWrap w:val="0"/>
                  <w:vAlign w:val="center"/>
                </w:tcPr>
                <w:p w14:paraId="2FA706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实际建设内容</w:t>
                  </w:r>
                </w:p>
              </w:tc>
              <w:tc>
                <w:tcPr>
                  <w:tcW w:w="432" w:type="pct"/>
                  <w:tcBorders>
                    <w:tl2br w:val="nil"/>
                    <w:tr2bl w:val="nil"/>
                  </w:tcBorders>
                  <w:noWrap w:val="0"/>
                  <w:vAlign w:val="center"/>
                </w:tcPr>
                <w:p w14:paraId="58170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是否一致</w:t>
                  </w:r>
                </w:p>
              </w:tc>
              <w:tc>
                <w:tcPr>
                  <w:tcW w:w="902" w:type="pct"/>
                  <w:tcBorders>
                    <w:tl2br w:val="nil"/>
                    <w:tr2bl w:val="nil"/>
                  </w:tcBorders>
                  <w:noWrap w:val="0"/>
                  <w:vAlign w:val="center"/>
                </w:tcPr>
                <w:p w14:paraId="110F0C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变化原因</w:t>
                  </w:r>
                </w:p>
              </w:tc>
            </w:tr>
            <w:tr w14:paraId="5255BB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tcBorders>
                    <w:tl2br w:val="nil"/>
                    <w:tr2bl w:val="nil"/>
                  </w:tcBorders>
                  <w:noWrap w:val="0"/>
                  <w:vAlign w:val="center"/>
                </w:tcPr>
                <w:p w14:paraId="426CCD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主体</w:t>
                  </w:r>
                </w:p>
                <w:p w14:paraId="4D1F93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工程</w:t>
                  </w:r>
                </w:p>
              </w:tc>
              <w:tc>
                <w:tcPr>
                  <w:tcW w:w="406" w:type="pct"/>
                  <w:tcBorders>
                    <w:tl2br w:val="nil"/>
                    <w:tr2bl w:val="nil"/>
                  </w:tcBorders>
                  <w:noWrap w:val="0"/>
                  <w:vAlign w:val="center"/>
                </w:tcPr>
                <w:p w14:paraId="30D723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井场</w:t>
                  </w:r>
                  <w:r>
                    <w:rPr>
                      <w:rFonts w:hint="default" w:ascii="Times New Roman" w:hAnsi="Times New Roman" w:eastAsia="宋体" w:cs="Times New Roman"/>
                      <w:color w:val="auto"/>
                      <w:spacing w:val="0"/>
                      <w:sz w:val="21"/>
                      <w:szCs w:val="21"/>
                      <w:highlight w:val="none"/>
                    </w:rPr>
                    <w:t>工程</w:t>
                  </w:r>
                </w:p>
              </w:tc>
              <w:tc>
                <w:tcPr>
                  <w:tcW w:w="1584" w:type="pct"/>
                  <w:tcBorders>
                    <w:tl2br w:val="nil"/>
                    <w:tr2bl w:val="nil"/>
                  </w:tcBorders>
                  <w:noWrap w:val="0"/>
                  <w:vAlign w:val="center"/>
                </w:tcPr>
                <w:p w14:paraId="29BD63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lang w:val="en-US" w:eastAsia="zh-CN"/>
                    </w:rPr>
                    <w:t>本项目共包括8宗油探井（水平井）、3宗气探井（直井），油探井（水平井）</w:t>
                  </w:r>
                  <w:r>
                    <w:rPr>
                      <w:rFonts w:hint="default" w:ascii="Times New Roman" w:hAnsi="Times New Roman" w:eastAsia="宋体" w:cs="Times New Roman"/>
                      <w:color w:val="auto"/>
                      <w:spacing w:val="0"/>
                      <w:sz w:val="21"/>
                      <w:szCs w:val="21"/>
                      <w:highlight w:val="none"/>
                    </w:rPr>
                    <w:t>设计平均钻井进尺为</w:t>
                  </w:r>
                  <w:r>
                    <w:rPr>
                      <w:rFonts w:hint="default" w:ascii="Times New Roman" w:hAnsi="Times New Roman" w:eastAsia="宋体" w:cs="Times New Roman"/>
                      <w:color w:val="auto"/>
                      <w:spacing w:val="0"/>
                      <w:sz w:val="21"/>
                      <w:szCs w:val="21"/>
                      <w:highlight w:val="none"/>
                      <w:lang w:eastAsia="zh-CN"/>
                    </w:rPr>
                    <w:t>2295</w:t>
                  </w:r>
                  <w:r>
                    <w:rPr>
                      <w:rFonts w:hint="default" w:ascii="Times New Roman" w:hAnsi="Times New Roman" w:eastAsia="宋体" w:cs="Times New Roman"/>
                      <w:color w:val="auto"/>
                      <w:spacing w:val="0"/>
                      <w:sz w:val="21"/>
                      <w:szCs w:val="21"/>
                      <w:highlight w:val="none"/>
                    </w:rPr>
                    <w:t>m，</w:t>
                  </w:r>
                  <w:r>
                    <w:rPr>
                      <w:rFonts w:hint="default" w:ascii="Times New Roman" w:hAnsi="Times New Roman" w:eastAsia="宋体" w:cs="Times New Roman"/>
                      <w:color w:val="auto"/>
                      <w:spacing w:val="0"/>
                      <w:sz w:val="21"/>
                      <w:szCs w:val="21"/>
                      <w:highlight w:val="none"/>
                      <w:lang w:val="en-US" w:eastAsia="zh-CN"/>
                    </w:rPr>
                    <w:t>气探井（直井）钻井进尺为4027m，</w:t>
                  </w:r>
                  <w:r>
                    <w:rPr>
                      <w:rFonts w:hint="default" w:ascii="Times New Roman" w:hAnsi="Times New Roman" w:eastAsia="宋体" w:cs="Times New Roman"/>
                      <w:color w:val="auto"/>
                      <w:spacing w:val="0"/>
                      <w:sz w:val="21"/>
                      <w:szCs w:val="21"/>
                      <w:highlight w:val="none"/>
                    </w:rPr>
                    <w:t>钻机型号为ZJ-40，工程包括钻井成套设备搬运、安装、调试、钻进、录井、测井、固井等环节。</w:t>
                  </w:r>
                </w:p>
              </w:tc>
              <w:tc>
                <w:tcPr>
                  <w:tcW w:w="1416" w:type="pct"/>
                  <w:tcBorders>
                    <w:tl2br w:val="nil"/>
                    <w:tr2bl w:val="nil"/>
                  </w:tcBorders>
                  <w:noWrap w:val="0"/>
                  <w:vAlign w:val="center"/>
                </w:tcPr>
                <w:p w14:paraId="5C0894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JH2P42、长探105、JH2P44、良平101H</w:t>
                  </w:r>
                  <w:r>
                    <w:rPr>
                      <w:rFonts w:hint="default" w:ascii="Times New Roman" w:hAnsi="Times New Roman" w:eastAsia="宋体" w:cs="Times New Roman"/>
                      <w:color w:val="auto"/>
                      <w:spacing w:val="0"/>
                      <w:sz w:val="21"/>
                      <w:szCs w:val="21"/>
                      <w:highlight w:val="none"/>
                      <w:lang w:val="en-US" w:eastAsia="zh-CN"/>
                    </w:rPr>
                    <w:t>实际</w:t>
                  </w:r>
                  <w:r>
                    <w:rPr>
                      <w:rFonts w:hint="default" w:ascii="Times New Roman" w:hAnsi="Times New Roman" w:eastAsia="宋体" w:cs="Times New Roman"/>
                      <w:color w:val="auto"/>
                      <w:spacing w:val="0"/>
                      <w:sz w:val="21"/>
                      <w:szCs w:val="21"/>
                      <w:highlight w:val="none"/>
                    </w:rPr>
                    <w:t>井深</w:t>
                  </w:r>
                  <w:r>
                    <w:rPr>
                      <w:rFonts w:hint="default" w:ascii="Times New Roman" w:hAnsi="Times New Roman" w:eastAsia="宋体" w:cs="Times New Roman"/>
                      <w:color w:val="auto"/>
                      <w:spacing w:val="0"/>
                      <w:sz w:val="21"/>
                      <w:szCs w:val="21"/>
                      <w:highlight w:val="none"/>
                      <w:lang w:val="en-US" w:eastAsia="zh-CN"/>
                    </w:rPr>
                    <w:t>分别为：2164m</w:t>
                  </w:r>
                  <w:r>
                    <w:rPr>
                      <w:rFonts w:hint="eastAsia" w:ascii="Times New Roman" w:hAnsi="Times New Roman" w:eastAsia="宋体" w:cs="Times New Roman"/>
                      <w:color w:val="auto"/>
                      <w:spacing w:val="0"/>
                      <w:sz w:val="21"/>
                      <w:szCs w:val="21"/>
                      <w:highlight w:val="none"/>
                      <w:lang w:val="en-US" w:eastAsia="zh-CN"/>
                    </w:rPr>
                    <w:t>、</w:t>
                  </w:r>
                </w:p>
                <w:p w14:paraId="7CE37C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4030m</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2222m</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2039m</w:t>
                  </w:r>
                  <w:r>
                    <w:rPr>
                      <w:rFonts w:hint="default" w:ascii="Times New Roman" w:hAnsi="Times New Roman" w:eastAsia="宋体" w:cs="Times New Roman"/>
                      <w:color w:val="auto"/>
                      <w:spacing w:val="0"/>
                      <w:sz w:val="21"/>
                      <w:szCs w:val="21"/>
                      <w:highlight w:val="none"/>
                    </w:rPr>
                    <w:t>，</w:t>
                  </w:r>
                  <w:r>
                    <w:rPr>
                      <w:rFonts w:hint="eastAsia" w:ascii="Times New Roman" w:hAnsi="Times New Roman" w:eastAsia="宋体" w:cs="Times New Roman"/>
                      <w:color w:val="auto"/>
                      <w:spacing w:val="0"/>
                      <w:sz w:val="21"/>
                      <w:szCs w:val="21"/>
                      <w:highlight w:val="none"/>
                      <w:lang w:val="en-US" w:eastAsia="zh-CN"/>
                    </w:rPr>
                    <w:t>油探井</w:t>
                  </w:r>
                  <w:r>
                    <w:rPr>
                      <w:rFonts w:hint="default" w:ascii="Times New Roman" w:hAnsi="Times New Roman" w:eastAsia="宋体" w:cs="Times New Roman"/>
                      <w:color w:val="auto"/>
                      <w:spacing w:val="0"/>
                      <w:sz w:val="21"/>
                      <w:szCs w:val="21"/>
                      <w:highlight w:val="none"/>
                    </w:rPr>
                    <w:t>均为</w:t>
                  </w:r>
                  <w:r>
                    <w:rPr>
                      <w:rFonts w:hint="eastAsia" w:ascii="Times New Roman" w:hAnsi="Times New Roman" w:eastAsia="宋体" w:cs="Times New Roman"/>
                      <w:color w:val="auto"/>
                      <w:spacing w:val="0"/>
                      <w:sz w:val="21"/>
                      <w:szCs w:val="21"/>
                      <w:highlight w:val="none"/>
                      <w:lang w:val="en-US" w:eastAsia="zh-CN"/>
                    </w:rPr>
                    <w:t>水平</w:t>
                  </w:r>
                  <w:r>
                    <w:rPr>
                      <w:rFonts w:hint="default" w:ascii="Times New Roman" w:hAnsi="Times New Roman" w:eastAsia="宋体" w:cs="Times New Roman"/>
                      <w:color w:val="auto"/>
                      <w:spacing w:val="0"/>
                      <w:sz w:val="21"/>
                      <w:szCs w:val="21"/>
                      <w:highlight w:val="none"/>
                    </w:rPr>
                    <w:t>井</w:t>
                  </w:r>
                  <w:r>
                    <w:rPr>
                      <w:rFonts w:hint="eastAsia" w:ascii="Times New Roman" w:hAnsi="Times New Roman" w:eastAsia="宋体" w:cs="Times New Roman"/>
                      <w:color w:val="auto"/>
                      <w:spacing w:val="0"/>
                      <w:sz w:val="21"/>
                      <w:szCs w:val="21"/>
                      <w:highlight w:val="none"/>
                      <w:lang w:eastAsia="zh-CN"/>
                    </w:rPr>
                    <w:t>，</w:t>
                  </w:r>
                  <w:r>
                    <w:rPr>
                      <w:rFonts w:hint="eastAsia" w:ascii="Times New Roman" w:hAnsi="Times New Roman" w:eastAsia="宋体" w:cs="Times New Roman"/>
                      <w:color w:val="auto"/>
                      <w:spacing w:val="0"/>
                      <w:sz w:val="21"/>
                      <w:szCs w:val="21"/>
                      <w:highlight w:val="none"/>
                      <w:lang w:val="en-US" w:eastAsia="zh-CN"/>
                    </w:rPr>
                    <w:t>气探井为直井</w:t>
                  </w:r>
                  <w:r>
                    <w:rPr>
                      <w:rFonts w:hint="default" w:ascii="Times New Roman" w:hAnsi="Times New Roman" w:eastAsia="宋体" w:cs="Times New Roman"/>
                      <w:color w:val="auto"/>
                      <w:spacing w:val="0"/>
                      <w:sz w:val="21"/>
                      <w:szCs w:val="21"/>
                      <w:highlight w:val="none"/>
                    </w:rPr>
                    <w:t>，钻机型号为ZJ-40，工程包括钻井成套设备搬运、安装、调试、钻进、录井、测井、固井等环节。</w:t>
                  </w:r>
                </w:p>
              </w:tc>
              <w:tc>
                <w:tcPr>
                  <w:tcW w:w="432" w:type="pct"/>
                  <w:tcBorders>
                    <w:tl2br w:val="nil"/>
                    <w:tr2bl w:val="nil"/>
                  </w:tcBorders>
                  <w:noWrap w:val="0"/>
                  <w:vAlign w:val="center"/>
                </w:tcPr>
                <w:p w14:paraId="2EC9E8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FF0000"/>
                      <w:sz w:val="21"/>
                      <w:szCs w:val="21"/>
                      <w:highlight w:val="none"/>
                      <w:lang w:val="en-US" w:eastAsia="zh-CN"/>
                    </w:rPr>
                    <w:t xml:space="preserve">基本一致                                                                                                                                                                                                                                       </w:t>
                  </w:r>
                </w:p>
              </w:tc>
              <w:tc>
                <w:tcPr>
                  <w:tcW w:w="902" w:type="pct"/>
                  <w:tcBorders>
                    <w:tl2br w:val="nil"/>
                    <w:tr2bl w:val="nil"/>
                  </w:tcBorders>
                  <w:noWrap w:val="0"/>
                  <w:vAlign w:val="center"/>
                </w:tcPr>
                <w:p w14:paraId="3B1793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本次验收只针对环评批复中涉及的</w:t>
                  </w:r>
                  <w:r>
                    <w:rPr>
                      <w:rFonts w:hint="eastAsia"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lang w:val="en-US" w:eastAsia="zh-CN"/>
                    </w:rPr>
                    <w:t>口井，勘探深度变</w:t>
                  </w:r>
                  <w:r>
                    <w:rPr>
                      <w:rFonts w:hint="eastAsia" w:ascii="Times New Roman" w:hAnsi="Times New Roman" w:eastAsia="宋体" w:cs="Times New Roman"/>
                      <w:color w:val="auto"/>
                      <w:sz w:val="21"/>
                      <w:szCs w:val="21"/>
                      <w:highlight w:val="none"/>
                      <w:lang w:val="en-US" w:eastAsia="zh-CN"/>
                    </w:rPr>
                    <w:t>浅</w:t>
                  </w:r>
                  <w:r>
                    <w:rPr>
                      <w:rFonts w:hint="default" w:ascii="Times New Roman" w:hAnsi="Times New Roman" w:eastAsia="宋体" w:cs="Times New Roman"/>
                      <w:color w:val="auto"/>
                      <w:sz w:val="21"/>
                      <w:szCs w:val="21"/>
                      <w:highlight w:val="none"/>
                      <w:lang w:val="en-US" w:eastAsia="zh-CN"/>
                    </w:rPr>
                    <w:t>，根据项目场址处实际地层情况，对钻井深度进行了微调，钻井目的层未发生改变</w:t>
                  </w:r>
                </w:p>
              </w:tc>
            </w:tr>
            <w:tr w14:paraId="16DBE5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5CF930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配套工程</w:t>
                  </w:r>
                </w:p>
              </w:tc>
              <w:tc>
                <w:tcPr>
                  <w:tcW w:w="406" w:type="pct"/>
                  <w:vMerge w:val="restart"/>
                  <w:tcBorders>
                    <w:tl2br w:val="nil"/>
                    <w:tr2bl w:val="nil"/>
                  </w:tcBorders>
                  <w:noWrap w:val="0"/>
                  <w:vAlign w:val="center"/>
                </w:tcPr>
                <w:p w14:paraId="7BAD22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钻前工程</w:t>
                  </w:r>
                </w:p>
              </w:tc>
              <w:tc>
                <w:tcPr>
                  <w:tcW w:w="1584" w:type="pct"/>
                  <w:tcBorders>
                    <w:tl2br w:val="nil"/>
                    <w:tr2bl w:val="nil"/>
                  </w:tcBorders>
                  <w:shd w:val="clear" w:color="auto" w:fill="auto"/>
                  <w:noWrap w:val="0"/>
                  <w:vAlign w:val="center"/>
                </w:tcPr>
                <w:p w14:paraId="762E50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钻前准备工作，包括表土剥离，局部井场平整及硬化，修建临时道路，修建设备基础、降排水（污）措施等。井场配套布置安装泥浆不落地设备、生活区、发电室等，井场设置表土堆放场。</w:t>
                  </w:r>
                </w:p>
              </w:tc>
              <w:tc>
                <w:tcPr>
                  <w:tcW w:w="1416" w:type="pct"/>
                  <w:tcBorders>
                    <w:tl2br w:val="nil"/>
                    <w:tr2bl w:val="nil"/>
                  </w:tcBorders>
                  <w:shd w:val="clear" w:color="auto" w:fill="auto"/>
                  <w:noWrap w:val="0"/>
                  <w:vAlign w:val="center"/>
                </w:tcPr>
                <w:p w14:paraId="769B57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钻前准备工作，包括局部井场平整及硬化，修建临时道路，修建设备基础、降排水（污）措施、泥浆罐等。井场配套布置安装泥浆设备、发电室等，</w:t>
                  </w:r>
                  <w:r>
                    <w:rPr>
                      <w:rFonts w:hint="default" w:ascii="Times New Roman" w:hAnsi="Times New Roman" w:eastAsia="宋体" w:cs="Times New Roman"/>
                      <w:color w:val="auto"/>
                      <w:spacing w:val="0"/>
                      <w:sz w:val="21"/>
                      <w:szCs w:val="21"/>
                      <w:highlight w:val="none"/>
                      <w:lang w:eastAsia="zh-CN"/>
                    </w:rPr>
                    <w:t>井场设置表土堆放场</w:t>
                  </w:r>
                </w:p>
              </w:tc>
              <w:tc>
                <w:tcPr>
                  <w:tcW w:w="432" w:type="pct"/>
                  <w:tcBorders>
                    <w:tl2br w:val="nil"/>
                    <w:tr2bl w:val="nil"/>
                  </w:tcBorders>
                  <w:noWrap w:val="0"/>
                  <w:vAlign w:val="center"/>
                </w:tcPr>
                <w:p w14:paraId="7280B1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3599B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16B3E9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7EDDFA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57051B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584" w:type="pct"/>
                  <w:tcBorders>
                    <w:tl2br w:val="nil"/>
                    <w:tr2bl w:val="nil"/>
                  </w:tcBorders>
                  <w:shd w:val="clear" w:color="auto" w:fill="auto"/>
                  <w:noWrap w:val="0"/>
                  <w:vAlign w:val="center"/>
                </w:tcPr>
                <w:p w14:paraId="604690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需在钻井前进行场地平整等作业，每个井场各安装钻井基础设备1套。</w:t>
                  </w:r>
                </w:p>
              </w:tc>
              <w:tc>
                <w:tcPr>
                  <w:tcW w:w="1416" w:type="pct"/>
                  <w:tcBorders>
                    <w:tl2br w:val="nil"/>
                    <w:tr2bl w:val="nil"/>
                  </w:tcBorders>
                  <w:shd w:val="clear" w:color="auto" w:fill="auto"/>
                  <w:noWrap w:val="0"/>
                  <w:vAlign w:val="center"/>
                </w:tcPr>
                <w:p w14:paraId="0E2E9F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需在钻井前进行场地平整等作业，每个井场各安装钻井基础设备1套。</w:t>
                  </w:r>
                </w:p>
              </w:tc>
              <w:tc>
                <w:tcPr>
                  <w:tcW w:w="432" w:type="pct"/>
                  <w:tcBorders>
                    <w:tl2br w:val="nil"/>
                    <w:tr2bl w:val="nil"/>
                  </w:tcBorders>
                  <w:noWrap w:val="0"/>
                  <w:vAlign w:val="center"/>
                </w:tcPr>
                <w:p w14:paraId="4C9E01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71455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243F0E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A62B1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18EC5E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584" w:type="pct"/>
                  <w:tcBorders>
                    <w:tl2br w:val="nil"/>
                    <w:tr2bl w:val="nil"/>
                  </w:tcBorders>
                  <w:shd w:val="clear" w:color="auto" w:fill="auto"/>
                  <w:noWrap w:val="0"/>
                  <w:vAlign w:val="center"/>
                </w:tcPr>
                <w:p w14:paraId="390050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井场井口位于井场中部，占地面积约3</w:t>
                  </w:r>
                  <w:r>
                    <w:rPr>
                      <w:rFonts w:hint="eastAsia" w:ascii="Times New Roman" w:hAnsi="Times New Roman" w:eastAsia="宋体" w:cs="Times New Roman"/>
                      <w:color w:val="auto"/>
                      <w:spacing w:val="0"/>
                      <w:sz w:val="21"/>
                      <w:szCs w:val="21"/>
                      <w:highlight w:val="none"/>
                      <w:lang w:val="en-US" w:eastAsia="zh-CN"/>
                    </w:rPr>
                    <w:t>0</w:t>
                  </w:r>
                  <w:r>
                    <w:rPr>
                      <w:rFonts w:hint="default" w:ascii="Times New Roman" w:hAnsi="Times New Roman" w:eastAsia="宋体" w:cs="Times New Roman"/>
                      <w:color w:val="auto"/>
                      <w:spacing w:val="0"/>
                      <w:sz w:val="21"/>
                      <w:szCs w:val="21"/>
                      <w:highlight w:val="none"/>
                      <w:lang w:eastAsia="zh-CN"/>
                    </w:rPr>
                    <w:t>0m</w:t>
                  </w:r>
                  <w:r>
                    <w:rPr>
                      <w:rFonts w:hint="default" w:ascii="Times New Roman" w:hAnsi="Times New Roman" w:eastAsia="宋体" w:cs="Times New Roman"/>
                      <w:color w:val="auto"/>
                      <w:spacing w:val="0"/>
                      <w:sz w:val="21"/>
                      <w:szCs w:val="21"/>
                      <w:highlight w:val="none"/>
                      <w:vertAlign w:val="superscript"/>
                      <w:lang w:eastAsia="zh-CN"/>
                    </w:rPr>
                    <w:t>2</w:t>
                  </w:r>
                  <w:r>
                    <w:rPr>
                      <w:rFonts w:hint="default" w:ascii="Times New Roman" w:hAnsi="Times New Roman" w:eastAsia="宋体" w:cs="Times New Roman"/>
                      <w:color w:val="auto"/>
                      <w:spacing w:val="0"/>
                      <w:sz w:val="21"/>
                      <w:szCs w:val="21"/>
                      <w:highlight w:val="none"/>
                      <w:lang w:eastAsia="zh-CN"/>
                    </w:rPr>
                    <w:t>，钻机设备安装基础</w:t>
                  </w:r>
                  <w:r>
                    <w:rPr>
                      <w:rFonts w:hint="eastAsia" w:ascii="Times New Roman" w:hAnsi="Times New Roman" w:eastAsia="宋体" w:cs="Times New Roman"/>
                      <w:color w:val="auto"/>
                      <w:spacing w:val="0"/>
                      <w:sz w:val="21"/>
                      <w:szCs w:val="21"/>
                      <w:highlight w:val="none"/>
                      <w:lang w:eastAsia="zh-CN"/>
                    </w:rPr>
                    <w:t>。</w:t>
                  </w:r>
                </w:p>
              </w:tc>
              <w:tc>
                <w:tcPr>
                  <w:tcW w:w="1416" w:type="pct"/>
                  <w:tcBorders>
                    <w:tl2br w:val="nil"/>
                    <w:tr2bl w:val="nil"/>
                  </w:tcBorders>
                  <w:shd w:val="clear" w:color="auto" w:fill="auto"/>
                  <w:noWrap w:val="0"/>
                  <w:vAlign w:val="center"/>
                </w:tcPr>
                <w:p w14:paraId="002EAC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井场井口位于井场中部，占地面积约3</w:t>
                  </w:r>
                  <w:r>
                    <w:rPr>
                      <w:rFonts w:hint="eastAsia" w:ascii="Times New Roman" w:hAnsi="Times New Roman" w:eastAsia="宋体" w:cs="Times New Roman"/>
                      <w:color w:val="auto"/>
                      <w:spacing w:val="-4"/>
                      <w:kern w:val="21"/>
                      <w:sz w:val="21"/>
                      <w:szCs w:val="21"/>
                      <w:highlight w:val="none"/>
                      <w:lang w:val="en-US" w:eastAsia="zh-CN"/>
                    </w:rPr>
                    <w:t>0</w:t>
                  </w:r>
                  <w:r>
                    <w:rPr>
                      <w:rFonts w:hint="default" w:ascii="Times New Roman" w:hAnsi="Times New Roman" w:eastAsia="宋体" w:cs="Times New Roman"/>
                      <w:color w:val="auto"/>
                      <w:spacing w:val="-4"/>
                      <w:kern w:val="21"/>
                      <w:sz w:val="21"/>
                      <w:szCs w:val="21"/>
                      <w:highlight w:val="none"/>
                      <w:lang w:val="en-US" w:eastAsia="zh-CN"/>
                    </w:rPr>
                    <w:t>0m</w:t>
                  </w:r>
                  <w:r>
                    <w:rPr>
                      <w:rFonts w:hint="default" w:ascii="Times New Roman" w:hAnsi="Times New Roman" w:eastAsia="宋体" w:cs="Times New Roman"/>
                      <w:color w:val="auto"/>
                      <w:spacing w:val="-4"/>
                      <w:kern w:val="21"/>
                      <w:sz w:val="21"/>
                      <w:szCs w:val="21"/>
                      <w:highlight w:val="none"/>
                      <w:vertAlign w:val="superscript"/>
                      <w:lang w:val="en-US" w:eastAsia="zh-CN"/>
                    </w:rPr>
                    <w:t>2</w:t>
                  </w:r>
                  <w:r>
                    <w:rPr>
                      <w:rFonts w:hint="default" w:ascii="Times New Roman" w:hAnsi="Times New Roman" w:eastAsia="宋体" w:cs="Times New Roman"/>
                      <w:color w:val="auto"/>
                      <w:spacing w:val="-4"/>
                      <w:kern w:val="21"/>
                      <w:sz w:val="21"/>
                      <w:szCs w:val="21"/>
                      <w:highlight w:val="none"/>
                      <w:lang w:val="en-US" w:eastAsia="zh-CN"/>
                    </w:rPr>
                    <w:t>，钻机设备安装基础。</w:t>
                  </w:r>
                </w:p>
              </w:tc>
              <w:tc>
                <w:tcPr>
                  <w:tcW w:w="432" w:type="pct"/>
                  <w:tcBorders>
                    <w:tl2br w:val="nil"/>
                    <w:tr2bl w:val="nil"/>
                  </w:tcBorders>
                  <w:noWrap w:val="0"/>
                  <w:vAlign w:val="center"/>
                </w:tcPr>
                <w:p w14:paraId="7E02EE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1219D6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6A86F9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F3E8D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59DCD1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584" w:type="pct"/>
                  <w:tcBorders>
                    <w:tl2br w:val="nil"/>
                    <w:tr2bl w:val="nil"/>
                  </w:tcBorders>
                  <w:shd w:val="clear" w:color="auto" w:fill="auto"/>
                  <w:noWrap w:val="0"/>
                  <w:vAlign w:val="center"/>
                </w:tcPr>
                <w:p w14:paraId="7940B4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井架基础采用钢木结构活动基础（2m×4m×0.2m），承载能力不小于0.15MPa，使用完后拉至下一井场继续使用</w:t>
                  </w:r>
                  <w:r>
                    <w:rPr>
                      <w:rFonts w:hint="eastAsia" w:ascii="Times New Roman" w:hAnsi="Times New Roman" w:eastAsia="宋体" w:cs="Times New Roman"/>
                      <w:color w:val="auto"/>
                      <w:spacing w:val="0"/>
                      <w:sz w:val="21"/>
                      <w:szCs w:val="21"/>
                      <w:highlight w:val="none"/>
                      <w:lang w:eastAsia="zh-CN"/>
                    </w:rPr>
                    <w:t>。</w:t>
                  </w:r>
                </w:p>
              </w:tc>
              <w:tc>
                <w:tcPr>
                  <w:tcW w:w="1416" w:type="pct"/>
                  <w:tcBorders>
                    <w:tl2br w:val="nil"/>
                    <w:tr2bl w:val="nil"/>
                  </w:tcBorders>
                  <w:shd w:val="clear" w:color="auto" w:fill="auto"/>
                  <w:noWrap w:val="0"/>
                  <w:vAlign w:val="center"/>
                </w:tcPr>
                <w:p w14:paraId="3519E7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井架基础采用钢木结构活动基础（2m×4m×0.2m），承载能力不小于0.15MPa，使用完后拉至下一井场继续使用。</w:t>
                  </w:r>
                </w:p>
              </w:tc>
              <w:tc>
                <w:tcPr>
                  <w:tcW w:w="432" w:type="pct"/>
                  <w:tcBorders>
                    <w:tl2br w:val="nil"/>
                    <w:tr2bl w:val="nil"/>
                  </w:tcBorders>
                  <w:noWrap w:val="0"/>
                  <w:vAlign w:val="center"/>
                </w:tcPr>
                <w:p w14:paraId="1E4BDB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9BEFA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114E24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F9A9D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tcBorders>
                    <w:tl2br w:val="nil"/>
                    <w:tr2bl w:val="nil"/>
                  </w:tcBorders>
                  <w:shd w:val="clear" w:color="auto" w:fill="auto"/>
                  <w:noWrap w:val="0"/>
                  <w:vAlign w:val="center"/>
                </w:tcPr>
                <w:p w14:paraId="058A00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完井测试</w:t>
                  </w:r>
                </w:p>
              </w:tc>
              <w:tc>
                <w:tcPr>
                  <w:tcW w:w="1584" w:type="pct"/>
                  <w:tcBorders>
                    <w:tl2br w:val="nil"/>
                    <w:tr2bl w:val="nil"/>
                  </w:tcBorders>
                  <w:shd w:val="clear" w:color="auto" w:fill="auto"/>
                  <w:noWrap w:val="0"/>
                  <w:vAlign w:val="center"/>
                </w:tcPr>
                <w:p w14:paraId="2BA0D8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当钻至目的层后，对钻井进行完井测试，以取得施工段流体性质、测试产能、底层压力等详细工程资料。完井作业包括洗井、射孔、压裂、试油</w:t>
                  </w:r>
                  <w:r>
                    <w:rPr>
                      <w:rFonts w:hint="eastAsia" w:ascii="Times New Roman" w:hAnsi="Times New Roman" w:eastAsia="宋体" w:cs="Times New Roman"/>
                      <w:color w:val="auto"/>
                      <w:spacing w:val="0"/>
                      <w:sz w:val="21"/>
                      <w:szCs w:val="21"/>
                      <w:highlight w:val="none"/>
                      <w:lang w:eastAsia="zh-CN"/>
                    </w:rPr>
                    <w:t>（</w:t>
                  </w:r>
                  <w:r>
                    <w:rPr>
                      <w:rFonts w:hint="eastAsia" w:ascii="Times New Roman" w:hAnsi="Times New Roman" w:eastAsia="宋体" w:cs="Times New Roman"/>
                      <w:color w:val="auto"/>
                      <w:spacing w:val="0"/>
                      <w:sz w:val="21"/>
                      <w:szCs w:val="21"/>
                      <w:highlight w:val="none"/>
                      <w:lang w:val="en-US" w:eastAsia="zh-CN"/>
                    </w:rPr>
                    <w:t>气</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等过程。</w:t>
                  </w:r>
                </w:p>
              </w:tc>
              <w:tc>
                <w:tcPr>
                  <w:tcW w:w="1416" w:type="pct"/>
                  <w:tcBorders>
                    <w:tl2br w:val="nil"/>
                    <w:tr2bl w:val="nil"/>
                  </w:tcBorders>
                  <w:shd w:val="clear" w:color="auto" w:fill="auto"/>
                  <w:noWrap w:val="0"/>
                  <w:vAlign w:val="center"/>
                </w:tcPr>
                <w:p w14:paraId="1B97C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当钻至目的层后，对钻井进行完井测试，以取得施工段流体性质、测试产能、底层压力等详细工程资料。完井作业包括洗井、射孔、压裂、试油</w:t>
                  </w:r>
                  <w:r>
                    <w:rPr>
                      <w:rFonts w:hint="eastAsia" w:ascii="Times New Roman" w:hAnsi="Times New Roman" w:eastAsia="宋体" w:cs="Times New Roman"/>
                      <w:color w:val="auto"/>
                      <w:spacing w:val="0"/>
                      <w:sz w:val="21"/>
                      <w:szCs w:val="21"/>
                      <w:highlight w:val="none"/>
                      <w:lang w:eastAsia="zh-CN"/>
                    </w:rPr>
                    <w:t>、</w:t>
                  </w:r>
                  <w:r>
                    <w:rPr>
                      <w:rFonts w:hint="eastAsia" w:ascii="Times New Roman" w:hAnsi="Times New Roman" w:eastAsia="宋体" w:cs="Times New Roman"/>
                      <w:color w:val="auto"/>
                      <w:spacing w:val="0"/>
                      <w:sz w:val="21"/>
                      <w:szCs w:val="21"/>
                      <w:highlight w:val="none"/>
                      <w:lang w:val="en-US" w:eastAsia="zh-CN"/>
                    </w:rPr>
                    <w:t>气</w:t>
                  </w:r>
                  <w:r>
                    <w:rPr>
                      <w:rFonts w:hint="default" w:ascii="Times New Roman" w:hAnsi="Times New Roman" w:eastAsia="宋体" w:cs="Times New Roman"/>
                      <w:color w:val="auto"/>
                      <w:spacing w:val="0"/>
                      <w:sz w:val="21"/>
                      <w:szCs w:val="21"/>
                      <w:highlight w:val="none"/>
                      <w:lang w:eastAsia="zh-CN"/>
                    </w:rPr>
                    <w:t>等过程。</w:t>
                  </w:r>
                </w:p>
              </w:tc>
              <w:tc>
                <w:tcPr>
                  <w:tcW w:w="432" w:type="pct"/>
                  <w:tcBorders>
                    <w:tl2br w:val="nil"/>
                    <w:tr2bl w:val="nil"/>
                  </w:tcBorders>
                  <w:shd w:val="clear" w:color="auto" w:fill="auto"/>
                  <w:noWrap w:val="0"/>
                  <w:vAlign w:val="center"/>
                </w:tcPr>
                <w:p w14:paraId="6F15DB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2CA2C9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199998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7AFAB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tcBorders>
                    <w:tl2br w:val="nil"/>
                    <w:tr2bl w:val="nil"/>
                  </w:tcBorders>
                  <w:shd w:val="clear" w:color="auto" w:fill="auto"/>
                  <w:noWrap w:val="0"/>
                  <w:vAlign w:val="center"/>
                </w:tcPr>
                <w:p w14:paraId="1CC8DD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封井作业</w:t>
                  </w:r>
                </w:p>
              </w:tc>
              <w:tc>
                <w:tcPr>
                  <w:tcW w:w="1584" w:type="pct"/>
                  <w:tcBorders>
                    <w:tl2br w:val="nil"/>
                    <w:tr2bl w:val="nil"/>
                  </w:tcBorders>
                  <w:shd w:val="clear" w:color="auto" w:fill="auto"/>
                  <w:noWrap w:val="0"/>
                  <w:vAlign w:val="center"/>
                </w:tcPr>
                <w:p w14:paraId="21F3E0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单井完成测井、录井、井下资料收集后，根据勘探结果，不具备开采价值的井口进行永久封井，并进行站场恢复；具有开采价值的井口暂停开采，临时封井，作为储备井待今后开发，移交</w:t>
                  </w:r>
                  <w:r>
                    <w:rPr>
                      <w:rFonts w:hint="eastAsia" w:ascii="Times New Roman" w:hAnsi="Times New Roman" w:eastAsia="宋体" w:cs="Times New Roman"/>
                      <w:color w:val="auto"/>
                      <w:spacing w:val="0"/>
                      <w:sz w:val="21"/>
                      <w:szCs w:val="21"/>
                      <w:highlight w:val="none"/>
                      <w:lang w:val="en-US" w:eastAsia="zh-CN"/>
                    </w:rPr>
                    <w:t>评价</w:t>
                  </w:r>
                  <w:r>
                    <w:rPr>
                      <w:rFonts w:hint="default" w:ascii="Times New Roman" w:hAnsi="Times New Roman" w:eastAsia="宋体" w:cs="Times New Roman"/>
                      <w:color w:val="auto"/>
                      <w:spacing w:val="0"/>
                      <w:sz w:val="21"/>
                      <w:szCs w:val="21"/>
                      <w:highlight w:val="none"/>
                      <w:lang w:eastAsia="zh-CN"/>
                    </w:rPr>
                    <w:t>井所在井场</w:t>
                  </w:r>
                  <w:r>
                    <w:rPr>
                      <w:rFonts w:hint="eastAsia" w:ascii="Times New Roman" w:hAnsi="Times New Roman" w:eastAsia="宋体" w:cs="Times New Roman"/>
                      <w:color w:val="auto"/>
                      <w:spacing w:val="0"/>
                      <w:sz w:val="21"/>
                      <w:szCs w:val="21"/>
                      <w:highlight w:val="none"/>
                      <w:lang w:val="en-US" w:eastAsia="zh-CN"/>
                    </w:rPr>
                    <w:t>的区域</w:t>
                  </w:r>
                  <w:r>
                    <w:rPr>
                      <w:rFonts w:hint="default" w:ascii="Times New Roman" w:hAnsi="Times New Roman" w:eastAsia="宋体" w:cs="Times New Roman"/>
                      <w:color w:val="auto"/>
                      <w:spacing w:val="0"/>
                      <w:sz w:val="21"/>
                      <w:szCs w:val="21"/>
                      <w:highlight w:val="none"/>
                      <w:lang w:eastAsia="zh-CN"/>
                    </w:rPr>
                    <w:t>进行管理，后期若利用</w:t>
                  </w:r>
                  <w:r>
                    <w:rPr>
                      <w:rFonts w:hint="eastAsia" w:ascii="Times New Roman" w:hAnsi="Times New Roman" w:eastAsia="宋体" w:cs="Times New Roman"/>
                      <w:color w:val="auto"/>
                      <w:spacing w:val="0"/>
                      <w:sz w:val="21"/>
                      <w:szCs w:val="21"/>
                      <w:highlight w:val="none"/>
                      <w:lang w:val="en-US" w:eastAsia="zh-CN"/>
                    </w:rPr>
                    <w:t>评价</w:t>
                  </w:r>
                  <w:r>
                    <w:rPr>
                      <w:rFonts w:hint="default" w:ascii="Times New Roman" w:hAnsi="Times New Roman" w:eastAsia="宋体" w:cs="Times New Roman"/>
                      <w:color w:val="auto"/>
                      <w:spacing w:val="0"/>
                      <w:sz w:val="21"/>
                      <w:szCs w:val="21"/>
                      <w:highlight w:val="none"/>
                      <w:lang w:eastAsia="zh-CN"/>
                    </w:rPr>
                    <w:t>井转生产井，需另行履行环保手续。</w:t>
                  </w:r>
                </w:p>
              </w:tc>
              <w:tc>
                <w:tcPr>
                  <w:tcW w:w="1416" w:type="pct"/>
                  <w:tcBorders>
                    <w:tl2br w:val="nil"/>
                    <w:tr2bl w:val="nil"/>
                  </w:tcBorders>
                  <w:noWrap w:val="0"/>
                  <w:vAlign w:val="center"/>
                </w:tcPr>
                <w:p w14:paraId="78F375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单井完成测井、录井、井下资料收集后，根据勘探结果，</w:t>
                  </w:r>
                  <w:r>
                    <w:rPr>
                      <w:rFonts w:hint="eastAsia" w:ascii="Times New Roman" w:hAnsi="Times New Roman" w:eastAsia="宋体" w:cs="Times New Roman"/>
                      <w:color w:val="auto"/>
                      <w:sz w:val="21"/>
                      <w:szCs w:val="21"/>
                      <w:lang w:eastAsia="zh-CN"/>
                    </w:rPr>
                    <w:t>JH2P42、JH2P44、良平101H</w:t>
                  </w:r>
                  <w:r>
                    <w:rPr>
                      <w:rFonts w:hint="default" w:ascii="Times New Roman" w:hAnsi="Times New Roman" w:eastAsia="宋体" w:cs="Times New Roman"/>
                      <w:color w:val="auto"/>
                      <w:sz w:val="21"/>
                      <w:szCs w:val="21"/>
                    </w:rPr>
                    <w:t>具有开采价值，</w:t>
                  </w:r>
                  <w:r>
                    <w:rPr>
                      <w:rFonts w:hint="default" w:ascii="Times New Roman" w:hAnsi="Times New Roman" w:eastAsia="宋体" w:cs="Times New Roman"/>
                      <w:color w:val="auto"/>
                      <w:sz w:val="21"/>
                      <w:szCs w:val="21"/>
                      <w:lang w:val="en-US" w:eastAsia="zh-CN"/>
                    </w:rPr>
                    <w:t>已</w:t>
                  </w:r>
                  <w:r>
                    <w:rPr>
                      <w:rFonts w:hint="default" w:ascii="Times New Roman" w:hAnsi="Times New Roman" w:eastAsia="宋体" w:cs="Times New Roman"/>
                      <w:color w:val="auto"/>
                      <w:sz w:val="21"/>
                      <w:szCs w:val="21"/>
                    </w:rPr>
                    <w:t>临时</w:t>
                  </w:r>
                  <w:r>
                    <w:rPr>
                      <w:rFonts w:hint="eastAsia" w:ascii="Times New Roman" w:hAnsi="Times New Roman" w:eastAsia="宋体" w:cs="Times New Roman"/>
                      <w:color w:val="auto"/>
                      <w:sz w:val="21"/>
                      <w:szCs w:val="21"/>
                      <w:lang w:val="en-US" w:eastAsia="zh-CN"/>
                    </w:rPr>
                    <w:t>关</w:t>
                  </w:r>
                  <w:r>
                    <w:rPr>
                      <w:rFonts w:hint="default" w:ascii="Times New Roman" w:hAnsi="Times New Roman" w:eastAsia="宋体" w:cs="Times New Roman"/>
                      <w:color w:val="auto"/>
                      <w:sz w:val="21"/>
                      <w:szCs w:val="21"/>
                    </w:rPr>
                    <w:t>井，作为储备井待今后开发，后期利用勘探井转生产井，</w:t>
                  </w:r>
                  <w:r>
                    <w:rPr>
                      <w:rFonts w:hint="default" w:ascii="Times New Roman" w:hAnsi="Times New Roman" w:eastAsia="宋体" w:cs="Times New Roman"/>
                      <w:color w:val="auto"/>
                      <w:spacing w:val="0"/>
                      <w:sz w:val="21"/>
                      <w:szCs w:val="21"/>
                      <w:highlight w:val="none"/>
                      <w:lang w:eastAsia="zh-CN"/>
                    </w:rPr>
                    <w:t>移交</w:t>
                  </w:r>
                  <w:r>
                    <w:rPr>
                      <w:rFonts w:hint="eastAsia" w:ascii="Times New Roman" w:hAnsi="Times New Roman" w:eastAsia="宋体" w:cs="Times New Roman"/>
                      <w:color w:val="auto"/>
                      <w:spacing w:val="0"/>
                      <w:sz w:val="21"/>
                      <w:szCs w:val="21"/>
                      <w:highlight w:val="none"/>
                      <w:lang w:val="en-US" w:eastAsia="zh-CN"/>
                    </w:rPr>
                    <w:t>评价</w:t>
                  </w:r>
                  <w:r>
                    <w:rPr>
                      <w:rFonts w:hint="default" w:ascii="Times New Roman" w:hAnsi="Times New Roman" w:eastAsia="宋体" w:cs="Times New Roman"/>
                      <w:color w:val="auto"/>
                      <w:spacing w:val="0"/>
                      <w:sz w:val="21"/>
                      <w:szCs w:val="21"/>
                      <w:highlight w:val="none"/>
                      <w:lang w:eastAsia="zh-CN"/>
                    </w:rPr>
                    <w:t>井所在井场</w:t>
                  </w:r>
                  <w:r>
                    <w:rPr>
                      <w:rFonts w:hint="eastAsia" w:ascii="Times New Roman" w:hAnsi="Times New Roman" w:eastAsia="宋体" w:cs="Times New Roman"/>
                      <w:color w:val="auto"/>
                      <w:spacing w:val="0"/>
                      <w:sz w:val="21"/>
                      <w:szCs w:val="21"/>
                      <w:highlight w:val="none"/>
                      <w:lang w:val="en-US" w:eastAsia="zh-CN"/>
                    </w:rPr>
                    <w:t>的区域</w:t>
                  </w:r>
                  <w:r>
                    <w:rPr>
                      <w:rFonts w:hint="default" w:ascii="Times New Roman" w:hAnsi="Times New Roman" w:eastAsia="宋体" w:cs="Times New Roman"/>
                      <w:color w:val="auto"/>
                      <w:spacing w:val="0"/>
                      <w:sz w:val="21"/>
                      <w:szCs w:val="21"/>
                      <w:highlight w:val="none"/>
                      <w:lang w:eastAsia="zh-CN"/>
                    </w:rPr>
                    <w:t>进行管理</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z w:val="21"/>
                      <w:szCs w:val="21"/>
                    </w:rPr>
                    <w:t>需另行履行环保手续。</w:t>
                  </w:r>
                  <w:r>
                    <w:rPr>
                      <w:rFonts w:hint="eastAsia" w:ascii="Times New Roman" w:hAnsi="Times New Roman" w:eastAsia="宋体" w:cs="Times New Roman"/>
                      <w:color w:val="auto"/>
                      <w:sz w:val="21"/>
                      <w:szCs w:val="21"/>
                      <w:lang w:eastAsia="zh-CN"/>
                    </w:rPr>
                    <w:t>长探105</w:t>
                  </w:r>
                  <w:r>
                    <w:rPr>
                      <w:rFonts w:hint="eastAsia" w:ascii="Times New Roman" w:hAnsi="Times New Roman" w:eastAsia="宋体" w:cs="Times New Roman"/>
                      <w:color w:val="auto"/>
                      <w:sz w:val="21"/>
                      <w:szCs w:val="21"/>
                      <w:lang w:val="en-US" w:eastAsia="zh-CN"/>
                    </w:rPr>
                    <w:t>不具备开采价值，井口现已永久封井</w:t>
                  </w:r>
                  <w:r>
                    <w:rPr>
                      <w:rFonts w:hint="default" w:ascii="Times New Roman" w:hAnsi="Times New Roman" w:eastAsia="宋体" w:cs="Times New Roman"/>
                      <w:color w:val="auto"/>
                      <w:spacing w:val="0"/>
                      <w:sz w:val="21"/>
                      <w:szCs w:val="21"/>
                      <w:highlight w:val="none"/>
                      <w:lang w:eastAsia="zh-CN"/>
                    </w:rPr>
                    <w:t>，并</w:t>
                  </w:r>
                  <w:r>
                    <w:rPr>
                      <w:rFonts w:hint="eastAsia" w:ascii="Times New Roman" w:hAnsi="Times New Roman" w:eastAsia="宋体" w:cs="Times New Roman"/>
                      <w:color w:val="auto"/>
                      <w:spacing w:val="0"/>
                      <w:sz w:val="21"/>
                      <w:szCs w:val="21"/>
                      <w:highlight w:val="none"/>
                      <w:lang w:val="en-US" w:eastAsia="zh-CN"/>
                    </w:rPr>
                    <w:t>对井场</w:t>
                  </w:r>
                  <w:r>
                    <w:rPr>
                      <w:rFonts w:hint="default" w:ascii="Times New Roman" w:hAnsi="Times New Roman" w:eastAsia="宋体" w:cs="Times New Roman"/>
                      <w:color w:val="auto"/>
                      <w:spacing w:val="0"/>
                      <w:sz w:val="21"/>
                      <w:szCs w:val="21"/>
                      <w:highlight w:val="none"/>
                      <w:lang w:eastAsia="zh-CN"/>
                    </w:rPr>
                    <w:t>进行</w:t>
                  </w:r>
                  <w:r>
                    <w:rPr>
                      <w:rFonts w:hint="eastAsia"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lang w:eastAsia="zh-CN"/>
                    </w:rPr>
                    <w:t>恢复</w:t>
                  </w:r>
                </w:p>
              </w:tc>
              <w:tc>
                <w:tcPr>
                  <w:tcW w:w="432" w:type="pct"/>
                  <w:tcBorders>
                    <w:tl2br w:val="nil"/>
                    <w:tr2bl w:val="nil"/>
                  </w:tcBorders>
                  <w:shd w:val="clear" w:color="auto" w:fill="auto"/>
                  <w:noWrap w:val="0"/>
                  <w:vAlign w:val="center"/>
                </w:tcPr>
                <w:p w14:paraId="6679E3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2FD93F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67DF0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shd w:val="clear" w:color="auto" w:fill="auto"/>
                  <w:noWrap w:val="0"/>
                  <w:vAlign w:val="center"/>
                </w:tcPr>
                <w:p w14:paraId="4B1EAA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辅助工程和储运工程</w:t>
                  </w:r>
                </w:p>
                <w:p w14:paraId="75233D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3A0AAC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柴油罐</w:t>
                  </w:r>
                </w:p>
              </w:tc>
              <w:tc>
                <w:tcPr>
                  <w:tcW w:w="1584" w:type="pct"/>
                  <w:tcBorders>
                    <w:tl2br w:val="nil"/>
                    <w:tr2bl w:val="nil"/>
                  </w:tcBorders>
                  <w:shd w:val="clear" w:color="auto" w:fill="auto"/>
                  <w:noWrap w:val="0"/>
                  <w:vAlign w:val="center"/>
                </w:tcPr>
                <w:p w14:paraId="7A240D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3具/探井</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地上罐，单罐有效容积60m³，用于储存柴油，底部采用重点防渗处理，并设围堰</w:t>
                  </w:r>
                </w:p>
              </w:tc>
              <w:tc>
                <w:tcPr>
                  <w:tcW w:w="1416" w:type="pct"/>
                  <w:tcBorders>
                    <w:tl2br w:val="nil"/>
                    <w:tr2bl w:val="nil"/>
                  </w:tcBorders>
                  <w:shd w:val="clear" w:color="auto" w:fill="auto"/>
                  <w:noWrap w:val="0"/>
                  <w:vAlign w:val="center"/>
                </w:tcPr>
                <w:p w14:paraId="23BF3A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3具/探井</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地上罐，单罐容积60m³，用于储存柴油，底部采用重点防渗处理，并设</w:t>
                  </w:r>
                  <w:r>
                    <w:rPr>
                      <w:rFonts w:hint="eastAsia" w:ascii="Times New Roman" w:hAnsi="Times New Roman" w:eastAsia="宋体" w:cs="Times New Roman"/>
                      <w:color w:val="auto"/>
                      <w:spacing w:val="0"/>
                      <w:kern w:val="21"/>
                      <w:sz w:val="21"/>
                      <w:szCs w:val="21"/>
                      <w:highlight w:val="none"/>
                      <w:lang w:val="en-US" w:eastAsia="zh-CN"/>
                    </w:rPr>
                    <w:t>20cm土</w:t>
                  </w:r>
                  <w:r>
                    <w:rPr>
                      <w:rFonts w:hint="default" w:ascii="Times New Roman" w:hAnsi="Times New Roman" w:eastAsia="宋体" w:cs="Times New Roman"/>
                      <w:color w:val="auto"/>
                      <w:spacing w:val="0"/>
                      <w:kern w:val="21"/>
                      <w:sz w:val="21"/>
                      <w:szCs w:val="21"/>
                      <w:highlight w:val="none"/>
                      <w:lang w:eastAsia="zh-CN"/>
                    </w:rPr>
                    <w:t>围堰</w:t>
                  </w:r>
                </w:p>
              </w:tc>
              <w:tc>
                <w:tcPr>
                  <w:tcW w:w="432" w:type="pct"/>
                  <w:tcBorders>
                    <w:tl2br w:val="nil"/>
                    <w:tr2bl w:val="nil"/>
                  </w:tcBorders>
                  <w:noWrap w:val="0"/>
                  <w:vAlign w:val="center"/>
                </w:tcPr>
                <w:p w14:paraId="47FF8A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72647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6C496A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440AF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5E90E5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清水罐</w:t>
                  </w:r>
                </w:p>
              </w:tc>
              <w:tc>
                <w:tcPr>
                  <w:tcW w:w="1584" w:type="pct"/>
                  <w:tcBorders>
                    <w:tl2br w:val="nil"/>
                    <w:tr2bl w:val="nil"/>
                  </w:tcBorders>
                  <w:shd w:val="clear" w:color="auto" w:fill="auto"/>
                  <w:noWrap w:val="0"/>
                  <w:vAlign w:val="center"/>
                </w:tcPr>
                <w:p w14:paraId="5CE859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1具/探井</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单罐容积60m³，存储新鲜水</w:t>
                  </w:r>
                </w:p>
              </w:tc>
              <w:tc>
                <w:tcPr>
                  <w:tcW w:w="1416" w:type="pct"/>
                  <w:tcBorders>
                    <w:tl2br w:val="nil"/>
                    <w:tr2bl w:val="nil"/>
                  </w:tcBorders>
                  <w:shd w:val="clear" w:color="auto" w:fill="auto"/>
                  <w:noWrap w:val="0"/>
                  <w:vAlign w:val="center"/>
                </w:tcPr>
                <w:p w14:paraId="750E36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1具/探井</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单罐容积60m³，存储新鲜水</w:t>
                  </w:r>
                </w:p>
              </w:tc>
              <w:tc>
                <w:tcPr>
                  <w:tcW w:w="432" w:type="pct"/>
                  <w:tcBorders>
                    <w:tl2br w:val="nil"/>
                    <w:tr2bl w:val="nil"/>
                  </w:tcBorders>
                  <w:noWrap w:val="0"/>
                  <w:vAlign w:val="center"/>
                </w:tcPr>
                <w:p w14:paraId="683E49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40C3A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441A7A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5E997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215909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泥浆不落地装置</w:t>
                  </w:r>
                </w:p>
              </w:tc>
              <w:tc>
                <w:tcPr>
                  <w:tcW w:w="1584" w:type="pct"/>
                  <w:tcBorders>
                    <w:tl2br w:val="nil"/>
                    <w:tr2bl w:val="nil"/>
                  </w:tcBorders>
                  <w:shd w:val="clear" w:color="auto" w:fill="auto"/>
                  <w:noWrap w:val="0"/>
                  <w:vAlign w:val="center"/>
                </w:tcPr>
                <w:p w14:paraId="1D7E96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1套/探井</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泥浆循环系统，储存钻井液、产生的废弃泥浆、钻井岩屑等</w:t>
                  </w:r>
                </w:p>
              </w:tc>
              <w:tc>
                <w:tcPr>
                  <w:tcW w:w="1416" w:type="pct"/>
                  <w:tcBorders>
                    <w:tl2br w:val="nil"/>
                    <w:tr2bl w:val="nil"/>
                  </w:tcBorders>
                  <w:shd w:val="clear" w:color="auto" w:fill="auto"/>
                  <w:noWrap w:val="0"/>
                  <w:vAlign w:val="center"/>
                </w:tcPr>
                <w:p w14:paraId="3DCE72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1套/探井</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泥浆循环系统，储存钻井液、产生的废弃泥浆、钻井岩屑等</w:t>
                  </w:r>
                </w:p>
              </w:tc>
              <w:tc>
                <w:tcPr>
                  <w:tcW w:w="432" w:type="pct"/>
                  <w:tcBorders>
                    <w:tl2br w:val="nil"/>
                    <w:tr2bl w:val="nil"/>
                  </w:tcBorders>
                  <w:noWrap w:val="0"/>
                  <w:vAlign w:val="center"/>
                </w:tcPr>
                <w:p w14:paraId="30C2EC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5D01D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01F63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787D41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公用工程</w:t>
                  </w:r>
                </w:p>
              </w:tc>
              <w:tc>
                <w:tcPr>
                  <w:tcW w:w="406" w:type="pct"/>
                  <w:tcBorders>
                    <w:tl2br w:val="nil"/>
                    <w:tr2bl w:val="nil"/>
                  </w:tcBorders>
                  <w:shd w:val="clear" w:color="auto" w:fill="auto"/>
                  <w:noWrap w:val="0"/>
                  <w:vAlign w:val="center"/>
                </w:tcPr>
                <w:p w14:paraId="5A38D0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供水</w:t>
                  </w:r>
                </w:p>
              </w:tc>
              <w:tc>
                <w:tcPr>
                  <w:tcW w:w="1584" w:type="pct"/>
                  <w:tcBorders>
                    <w:tl2br w:val="nil"/>
                    <w:tr2bl w:val="nil"/>
                  </w:tcBorders>
                  <w:shd w:val="clear" w:color="auto" w:fill="auto"/>
                  <w:noWrap w:val="0"/>
                  <w:vAlign w:val="center"/>
                </w:tcPr>
                <w:p w14:paraId="4FA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生产用水采用水罐车拉运</w:t>
                  </w:r>
                  <w:r>
                    <w:rPr>
                      <w:rFonts w:hint="eastAsia" w:ascii="Times New Roman" w:hAnsi="Times New Roman" w:eastAsia="宋体" w:cs="Times New Roman"/>
                      <w:color w:val="auto"/>
                      <w:spacing w:val="0"/>
                      <w:kern w:val="21"/>
                      <w:sz w:val="21"/>
                      <w:szCs w:val="21"/>
                      <w:highlight w:val="none"/>
                      <w:lang w:val="en-US" w:eastAsia="zh-CN"/>
                    </w:rPr>
                    <w:t>地表水</w:t>
                  </w:r>
                  <w:r>
                    <w:rPr>
                      <w:rFonts w:hint="default" w:ascii="Times New Roman" w:hAnsi="Times New Roman" w:eastAsia="宋体" w:cs="Times New Roman"/>
                      <w:color w:val="auto"/>
                      <w:spacing w:val="0"/>
                      <w:kern w:val="21"/>
                      <w:sz w:val="21"/>
                      <w:szCs w:val="21"/>
                      <w:highlight w:val="none"/>
                      <w:lang w:eastAsia="zh-CN"/>
                    </w:rPr>
                    <w:t>、生活用水采用桶装水</w:t>
                  </w:r>
                </w:p>
              </w:tc>
              <w:tc>
                <w:tcPr>
                  <w:tcW w:w="1416" w:type="pct"/>
                  <w:tcBorders>
                    <w:tl2br w:val="nil"/>
                    <w:tr2bl w:val="nil"/>
                  </w:tcBorders>
                  <w:noWrap w:val="0"/>
                  <w:vAlign w:val="center"/>
                </w:tcPr>
                <w:p w14:paraId="241630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井场</w:t>
                  </w:r>
                  <w:r>
                    <w:rPr>
                      <w:rFonts w:hint="default" w:ascii="Times New Roman" w:hAnsi="Times New Roman" w:eastAsia="宋体" w:cs="Times New Roman"/>
                      <w:color w:val="auto"/>
                      <w:spacing w:val="0"/>
                      <w:kern w:val="21"/>
                      <w:sz w:val="21"/>
                      <w:szCs w:val="21"/>
                      <w:highlight w:val="none"/>
                      <w:lang w:eastAsia="zh-CN"/>
                    </w:rPr>
                    <w:t>生产用水</w:t>
                  </w:r>
                  <w:r>
                    <w:rPr>
                      <w:rFonts w:hint="eastAsia" w:ascii="Times New Roman" w:hAnsi="Times New Roman" w:eastAsia="宋体" w:cs="Times New Roman"/>
                      <w:color w:val="auto"/>
                      <w:spacing w:val="0"/>
                      <w:kern w:val="21"/>
                      <w:sz w:val="21"/>
                      <w:szCs w:val="21"/>
                      <w:highlight w:val="none"/>
                      <w:lang w:val="en-US" w:eastAsia="zh-CN"/>
                    </w:rPr>
                    <w:t>由</w:t>
                  </w:r>
                  <w:r>
                    <w:rPr>
                      <w:rFonts w:hint="default" w:ascii="Times New Roman" w:hAnsi="Times New Roman" w:eastAsia="宋体" w:cs="Times New Roman"/>
                      <w:color w:val="auto"/>
                      <w:spacing w:val="0"/>
                      <w:kern w:val="21"/>
                      <w:sz w:val="21"/>
                      <w:szCs w:val="21"/>
                      <w:highlight w:val="none"/>
                      <w:lang w:eastAsia="zh-CN"/>
                    </w:rPr>
                    <w:t>附近地表水供给</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生活用水采用桶装水</w:t>
                  </w:r>
                </w:p>
              </w:tc>
              <w:tc>
                <w:tcPr>
                  <w:tcW w:w="432" w:type="pct"/>
                  <w:tcBorders>
                    <w:tl2br w:val="nil"/>
                    <w:tr2bl w:val="nil"/>
                  </w:tcBorders>
                  <w:noWrap w:val="0"/>
                  <w:vAlign w:val="center"/>
                </w:tcPr>
                <w:p w14:paraId="2331C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E3921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6159C2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0407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1802B2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排水</w:t>
                  </w:r>
                </w:p>
              </w:tc>
              <w:tc>
                <w:tcPr>
                  <w:tcW w:w="1584" w:type="pct"/>
                  <w:tcBorders>
                    <w:tl2br w:val="nil"/>
                    <w:tr2bl w:val="nil"/>
                  </w:tcBorders>
                  <w:shd w:val="clear" w:color="auto" w:fill="auto"/>
                  <w:noWrap w:val="0"/>
                  <w:vAlign w:val="center"/>
                </w:tcPr>
                <w:p w14:paraId="6854B5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施工期生活污水均排入移动式环保厕所，粪便定期清运，盥洗废水可就地泼洒用于施工场地抑尘</w:t>
                  </w:r>
                </w:p>
              </w:tc>
              <w:tc>
                <w:tcPr>
                  <w:tcW w:w="1416" w:type="pct"/>
                  <w:tcBorders>
                    <w:tl2br w:val="nil"/>
                    <w:tr2bl w:val="nil"/>
                  </w:tcBorders>
                  <w:noWrap w:val="0"/>
                  <w:vAlign w:val="center"/>
                </w:tcPr>
                <w:p w14:paraId="7AFD0D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每个井</w:t>
                  </w:r>
                  <w:r>
                    <w:rPr>
                      <w:rFonts w:hint="default" w:ascii="Times New Roman" w:hAnsi="Times New Roman" w:eastAsia="宋体" w:cs="Times New Roman"/>
                      <w:color w:val="auto"/>
                      <w:spacing w:val="0"/>
                      <w:kern w:val="21"/>
                      <w:sz w:val="21"/>
                      <w:szCs w:val="21"/>
                      <w:highlight w:val="none"/>
                      <w:lang w:eastAsia="zh-CN"/>
                    </w:rPr>
                    <w:t>场内设置</w:t>
                  </w:r>
                  <w:r>
                    <w:rPr>
                      <w:rFonts w:hint="eastAsia" w:ascii="Times New Roman" w:hAnsi="Times New Roman" w:eastAsia="宋体" w:cs="Times New Roman"/>
                      <w:color w:val="auto"/>
                      <w:spacing w:val="0"/>
                      <w:kern w:val="21"/>
                      <w:sz w:val="21"/>
                      <w:szCs w:val="21"/>
                      <w:highlight w:val="none"/>
                      <w:lang w:val="en-US" w:eastAsia="zh-CN"/>
                    </w:rPr>
                    <w:t>1座移动式环保厕所</w:t>
                  </w:r>
                  <w:r>
                    <w:rPr>
                      <w:rFonts w:hint="default" w:ascii="Times New Roman" w:hAnsi="Times New Roman" w:eastAsia="宋体" w:cs="Times New Roman"/>
                      <w:color w:val="auto"/>
                      <w:spacing w:val="0"/>
                      <w:kern w:val="21"/>
                      <w:sz w:val="21"/>
                      <w:szCs w:val="21"/>
                      <w:highlight w:val="none"/>
                      <w:lang w:eastAsia="zh-CN"/>
                    </w:rPr>
                    <w:t>，定期清掏，用于周边农田堆肥</w:t>
                  </w:r>
                </w:p>
              </w:tc>
              <w:tc>
                <w:tcPr>
                  <w:tcW w:w="432" w:type="pct"/>
                  <w:tcBorders>
                    <w:tl2br w:val="nil"/>
                    <w:tr2bl w:val="nil"/>
                  </w:tcBorders>
                  <w:noWrap w:val="0"/>
                  <w:vAlign w:val="center"/>
                </w:tcPr>
                <w:p w14:paraId="688BCD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DF5A5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0704A8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F3B26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5A3E0E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供电</w:t>
                  </w:r>
                </w:p>
              </w:tc>
              <w:tc>
                <w:tcPr>
                  <w:tcW w:w="1584" w:type="pct"/>
                  <w:tcBorders>
                    <w:tl2br w:val="nil"/>
                    <w:tr2bl w:val="nil"/>
                  </w:tcBorders>
                  <w:shd w:val="clear" w:color="auto" w:fill="auto"/>
                  <w:noWrap w:val="0"/>
                  <w:vAlign w:val="center"/>
                </w:tcPr>
                <w:p w14:paraId="3352DF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由自备柴油发电机组发电</w:t>
                  </w:r>
                  <w:r>
                    <w:rPr>
                      <w:rFonts w:hint="eastAsia" w:ascii="Times New Roman" w:hAnsi="Times New Roman" w:eastAsia="宋体" w:cs="Times New Roman"/>
                      <w:color w:val="auto"/>
                      <w:spacing w:val="0"/>
                      <w:kern w:val="21"/>
                      <w:sz w:val="21"/>
                      <w:szCs w:val="21"/>
                      <w:highlight w:val="none"/>
                      <w:lang w:val="en-US" w:eastAsia="zh-CN"/>
                    </w:rPr>
                    <w:t>2</w:t>
                  </w:r>
                  <w:r>
                    <w:rPr>
                      <w:rFonts w:hint="default" w:ascii="Times New Roman" w:hAnsi="Times New Roman" w:eastAsia="宋体" w:cs="Times New Roman"/>
                      <w:color w:val="auto"/>
                      <w:spacing w:val="0"/>
                      <w:kern w:val="21"/>
                      <w:sz w:val="21"/>
                      <w:szCs w:val="21"/>
                      <w:highlight w:val="none"/>
                      <w:lang w:eastAsia="zh-CN"/>
                    </w:rPr>
                    <w:t>套</w:t>
                  </w:r>
                </w:p>
              </w:tc>
              <w:tc>
                <w:tcPr>
                  <w:tcW w:w="1416" w:type="pct"/>
                  <w:tcBorders>
                    <w:tl2br w:val="nil"/>
                    <w:tr2bl w:val="nil"/>
                  </w:tcBorders>
                  <w:noWrap w:val="0"/>
                  <w:vAlign w:val="center"/>
                </w:tcPr>
                <w:p w14:paraId="49AD73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pacing w:val="0"/>
                      <w:kern w:val="21"/>
                      <w:sz w:val="21"/>
                      <w:szCs w:val="21"/>
                      <w:highlight w:val="none"/>
                      <w:lang w:val="en-US" w:eastAsia="zh-CN"/>
                    </w:rPr>
                    <w:t>每个井</w:t>
                  </w:r>
                  <w:r>
                    <w:rPr>
                      <w:rFonts w:hint="default" w:ascii="Times New Roman" w:hAnsi="Times New Roman" w:eastAsia="宋体" w:cs="Times New Roman"/>
                      <w:color w:val="auto"/>
                      <w:spacing w:val="0"/>
                      <w:kern w:val="21"/>
                      <w:sz w:val="21"/>
                      <w:szCs w:val="21"/>
                      <w:highlight w:val="none"/>
                      <w:lang w:eastAsia="zh-CN"/>
                    </w:rPr>
                    <w:t>场</w:t>
                  </w:r>
                  <w:r>
                    <w:rPr>
                      <w:rFonts w:hint="eastAsia" w:ascii="Times New Roman" w:hAnsi="Times New Roman" w:eastAsia="宋体" w:cs="Times New Roman"/>
                      <w:color w:val="auto"/>
                      <w:spacing w:val="0"/>
                      <w:kern w:val="21"/>
                      <w:sz w:val="21"/>
                      <w:szCs w:val="21"/>
                      <w:highlight w:val="none"/>
                      <w:lang w:val="en-US" w:eastAsia="zh-CN"/>
                    </w:rPr>
                    <w:t>内设置2套</w:t>
                  </w:r>
                  <w:r>
                    <w:rPr>
                      <w:rFonts w:hint="default" w:ascii="Times New Roman" w:hAnsi="Times New Roman" w:eastAsia="宋体" w:cs="Times New Roman"/>
                      <w:color w:val="auto"/>
                      <w:spacing w:val="0"/>
                      <w:kern w:val="21"/>
                      <w:sz w:val="21"/>
                      <w:szCs w:val="21"/>
                      <w:highlight w:val="none"/>
                      <w:lang w:eastAsia="zh-CN"/>
                    </w:rPr>
                    <w:t>柴油发电机</w:t>
                  </w:r>
                </w:p>
              </w:tc>
              <w:tc>
                <w:tcPr>
                  <w:tcW w:w="432" w:type="pct"/>
                  <w:tcBorders>
                    <w:tl2br w:val="nil"/>
                    <w:tr2bl w:val="nil"/>
                  </w:tcBorders>
                  <w:noWrap w:val="0"/>
                  <w:vAlign w:val="center"/>
                </w:tcPr>
                <w:p w14:paraId="1AB6C6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013C54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4F4C8F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3F065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5544E7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道路</w:t>
                  </w:r>
                </w:p>
              </w:tc>
              <w:tc>
                <w:tcPr>
                  <w:tcW w:w="1584" w:type="pct"/>
                  <w:tcBorders>
                    <w:tl2br w:val="nil"/>
                    <w:tr2bl w:val="nil"/>
                  </w:tcBorders>
                  <w:shd w:val="clear" w:color="auto" w:fill="auto"/>
                  <w:noWrap w:val="0"/>
                  <w:vAlign w:val="center"/>
                </w:tcPr>
                <w:p w14:paraId="1BB10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井场外有乡村道路，新建进场道路，与乡村道路相连接；施工期配套建设临时道路。据统计，探井临时道路长度730m。施工便道临时占地按6m宽设计，为砂石路，配备洒水车定期洒水抑尘。</w:t>
                  </w:r>
                </w:p>
              </w:tc>
              <w:tc>
                <w:tcPr>
                  <w:tcW w:w="1416" w:type="pct"/>
                  <w:tcBorders>
                    <w:tl2br w:val="nil"/>
                    <w:tr2bl w:val="nil"/>
                  </w:tcBorders>
                  <w:noWrap w:val="0"/>
                  <w:vAlign w:val="center"/>
                </w:tcPr>
                <w:p w14:paraId="5E74D8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井场外有乡村道路，新建进场道路，与乡村道路相连接；施工期配套建设临时道路。</w:t>
                  </w:r>
                  <w:r>
                    <w:rPr>
                      <w:rFonts w:hint="default" w:ascii="Times New Roman" w:hAnsi="Times New Roman" w:eastAsia="宋体" w:cs="Times New Roman"/>
                      <w:color w:val="auto"/>
                      <w:spacing w:val="0"/>
                      <w:kern w:val="21"/>
                      <w:sz w:val="21"/>
                      <w:szCs w:val="21"/>
                      <w:highlight w:val="none"/>
                      <w:lang w:eastAsia="zh-CN"/>
                    </w:rPr>
                    <w:t>道路</w:t>
                  </w:r>
                  <w:r>
                    <w:rPr>
                      <w:rFonts w:hint="eastAsia" w:ascii="Times New Roman" w:hAnsi="Times New Roman" w:eastAsia="宋体" w:cs="Times New Roman"/>
                      <w:color w:val="auto"/>
                      <w:spacing w:val="0"/>
                      <w:kern w:val="21"/>
                      <w:sz w:val="21"/>
                      <w:szCs w:val="21"/>
                      <w:highlight w:val="none"/>
                      <w:lang w:val="en-US" w:eastAsia="zh-CN"/>
                    </w:rPr>
                    <w:t>长度410m，</w:t>
                  </w:r>
                  <w:r>
                    <w:rPr>
                      <w:rFonts w:hint="default" w:ascii="Times New Roman" w:hAnsi="Times New Roman" w:eastAsia="宋体" w:cs="Times New Roman"/>
                      <w:color w:val="auto"/>
                      <w:spacing w:val="0"/>
                      <w:kern w:val="21"/>
                      <w:sz w:val="21"/>
                      <w:szCs w:val="21"/>
                      <w:highlight w:val="none"/>
                      <w:lang w:eastAsia="zh-CN"/>
                    </w:rPr>
                    <w:t>宽度为6m</w:t>
                  </w:r>
                  <w:r>
                    <w:rPr>
                      <w:rFonts w:hint="eastAsia" w:ascii="Times New Roman" w:hAnsi="Times New Roman" w:eastAsia="宋体" w:cs="Times New Roman"/>
                      <w:color w:val="auto"/>
                      <w:spacing w:val="0"/>
                      <w:kern w:val="21"/>
                      <w:sz w:val="21"/>
                      <w:szCs w:val="21"/>
                      <w:highlight w:val="none"/>
                      <w:lang w:eastAsia="zh-CN"/>
                    </w:rPr>
                    <w:t>，</w:t>
                  </w:r>
                  <w:r>
                    <w:rPr>
                      <w:rFonts w:hint="eastAsia" w:ascii="Times New Roman" w:hAnsi="Times New Roman" w:eastAsia="宋体" w:cs="Times New Roman"/>
                      <w:color w:val="auto"/>
                      <w:spacing w:val="0"/>
                      <w:kern w:val="21"/>
                      <w:sz w:val="21"/>
                      <w:szCs w:val="21"/>
                      <w:highlight w:val="none"/>
                      <w:lang w:val="en-US" w:eastAsia="zh-CN"/>
                    </w:rPr>
                    <w:t>采用砂石压实，</w:t>
                  </w:r>
                  <w:r>
                    <w:rPr>
                      <w:rFonts w:hint="default" w:ascii="Times New Roman" w:hAnsi="Times New Roman" w:eastAsia="宋体" w:cs="Times New Roman"/>
                      <w:color w:val="auto"/>
                      <w:spacing w:val="0"/>
                      <w:kern w:val="21"/>
                      <w:sz w:val="21"/>
                      <w:szCs w:val="21"/>
                      <w:highlight w:val="none"/>
                      <w:lang w:eastAsia="zh-CN"/>
                    </w:rPr>
                    <w:t>配备洒水车定期洒水抑尘。</w:t>
                  </w:r>
                </w:p>
              </w:tc>
              <w:tc>
                <w:tcPr>
                  <w:tcW w:w="432" w:type="pct"/>
                  <w:tcBorders>
                    <w:tl2br w:val="nil"/>
                    <w:tr2bl w:val="nil"/>
                  </w:tcBorders>
                  <w:noWrap w:val="0"/>
                  <w:vAlign w:val="center"/>
                </w:tcPr>
                <w:p w14:paraId="2FB583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7DCCF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142695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120F24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pacing w:val="0"/>
                      <w:kern w:val="21"/>
                      <w:sz w:val="21"/>
                      <w:szCs w:val="21"/>
                      <w:highlight w:val="none"/>
                      <w:lang w:val="en-US" w:eastAsia="zh-CN"/>
                    </w:rPr>
                    <w:t>依托</w:t>
                  </w:r>
                  <w:r>
                    <w:rPr>
                      <w:rFonts w:hint="default" w:ascii="Times New Roman" w:hAnsi="Times New Roman" w:eastAsia="宋体" w:cs="Times New Roman"/>
                      <w:color w:val="auto"/>
                      <w:spacing w:val="0"/>
                      <w:kern w:val="21"/>
                      <w:sz w:val="21"/>
                      <w:szCs w:val="21"/>
                      <w:highlight w:val="none"/>
                      <w:lang w:eastAsia="zh-CN"/>
                    </w:rPr>
                    <w:t>工程</w:t>
                  </w:r>
                </w:p>
              </w:tc>
              <w:tc>
                <w:tcPr>
                  <w:tcW w:w="406" w:type="pct"/>
                  <w:tcBorders>
                    <w:tl2br w:val="nil"/>
                    <w:tr2bl w:val="nil"/>
                  </w:tcBorders>
                  <w:noWrap w:val="0"/>
                  <w:vAlign w:val="center"/>
                </w:tcPr>
                <w:p w14:paraId="285CFD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废水</w:t>
                  </w:r>
                </w:p>
              </w:tc>
              <w:tc>
                <w:tcPr>
                  <w:tcW w:w="1584" w:type="pct"/>
                  <w:tcBorders>
                    <w:tl2br w:val="nil"/>
                    <w:tr2bl w:val="nil"/>
                  </w:tcBorders>
                  <w:noWrap w:val="0"/>
                  <w:vAlign w:val="center"/>
                </w:tcPr>
                <w:p w14:paraId="33FFF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项目钻井各类废水拉运至</w:t>
                  </w:r>
                  <w:r>
                    <w:rPr>
                      <w:rFonts w:hint="eastAsia" w:ascii="Times New Roman" w:hAnsi="Times New Roman" w:eastAsia="宋体" w:cs="Times New Roman"/>
                      <w:color w:val="auto"/>
                      <w:spacing w:val="0"/>
                      <w:kern w:val="21"/>
                      <w:sz w:val="21"/>
                      <w:szCs w:val="21"/>
                      <w:highlight w:val="none"/>
                      <w:lang w:eastAsia="zh-CN"/>
                    </w:rPr>
                    <w:t>泾河8撬装式水净化站</w:t>
                  </w:r>
                  <w:r>
                    <w:rPr>
                      <w:rFonts w:hint="default" w:ascii="Times New Roman" w:hAnsi="Times New Roman" w:eastAsia="宋体" w:cs="Times New Roman"/>
                      <w:color w:val="auto"/>
                      <w:spacing w:val="0"/>
                      <w:kern w:val="21"/>
                      <w:sz w:val="21"/>
                      <w:szCs w:val="21"/>
                      <w:highlight w:val="none"/>
                      <w:lang w:eastAsia="zh-CN"/>
                    </w:rPr>
                    <w:t>处理达标后回注地层</w:t>
                  </w:r>
                </w:p>
              </w:tc>
              <w:tc>
                <w:tcPr>
                  <w:tcW w:w="1416" w:type="pct"/>
                  <w:tcBorders>
                    <w:tl2br w:val="nil"/>
                    <w:tr2bl w:val="nil"/>
                  </w:tcBorders>
                  <w:noWrap w:val="0"/>
                  <w:vAlign w:val="center"/>
                </w:tcPr>
                <w:p w14:paraId="6F2CFF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项目钻井各类废水拉运至泾河8撬装式水净化站处理达标后回注地层</w:t>
                  </w:r>
                  <w:r>
                    <w:rPr>
                      <w:rFonts w:hint="eastAsia" w:ascii="Times New Roman" w:hAnsi="Times New Roman" w:eastAsia="宋体" w:cs="Times New Roman"/>
                      <w:color w:val="auto"/>
                      <w:spacing w:val="0"/>
                      <w:kern w:val="21"/>
                      <w:sz w:val="21"/>
                      <w:szCs w:val="21"/>
                      <w:highlight w:val="none"/>
                      <w:lang w:val="en-US" w:eastAsia="zh-CN"/>
                    </w:rPr>
                    <w:t>，未外排</w:t>
                  </w:r>
                </w:p>
              </w:tc>
              <w:tc>
                <w:tcPr>
                  <w:tcW w:w="432" w:type="pct"/>
                  <w:tcBorders>
                    <w:tl2br w:val="nil"/>
                    <w:tr2bl w:val="nil"/>
                  </w:tcBorders>
                  <w:noWrap w:val="0"/>
                  <w:vAlign w:val="center"/>
                </w:tcPr>
                <w:p w14:paraId="4E139B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5CB20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4D7588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1BEF6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noWrap w:val="0"/>
                  <w:vAlign w:val="center"/>
                </w:tcPr>
                <w:p w14:paraId="301F46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固体废物</w:t>
                  </w:r>
                </w:p>
              </w:tc>
              <w:tc>
                <w:tcPr>
                  <w:tcW w:w="1584" w:type="pct"/>
                  <w:tcBorders>
                    <w:tl2br w:val="nil"/>
                    <w:tr2bl w:val="nil"/>
                  </w:tcBorders>
                  <w:noWrap w:val="0"/>
                  <w:vAlign w:val="center"/>
                </w:tcPr>
                <w:p w14:paraId="459C38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项目钻井泥浆及岩屑暂存后，清运至一般工业固废集中填埋场安全填埋处置或制作烧结砖资源化综合利用</w:t>
                  </w:r>
                </w:p>
              </w:tc>
              <w:tc>
                <w:tcPr>
                  <w:tcW w:w="1416" w:type="pct"/>
                  <w:tcBorders>
                    <w:tl2br w:val="nil"/>
                    <w:tr2bl w:val="nil"/>
                  </w:tcBorders>
                  <w:noWrap w:val="0"/>
                  <w:vAlign w:val="center"/>
                </w:tcPr>
                <w:p w14:paraId="4809B3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w:t>
                  </w:r>
                </w:p>
              </w:tc>
              <w:tc>
                <w:tcPr>
                  <w:tcW w:w="432" w:type="pct"/>
                  <w:tcBorders>
                    <w:tl2br w:val="nil"/>
                    <w:tr2bl w:val="nil"/>
                  </w:tcBorders>
                  <w:noWrap w:val="0"/>
                  <w:vAlign w:val="center"/>
                </w:tcPr>
                <w:p w14:paraId="6986E3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53629D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6506ED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173E53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初期雨水</w:t>
                  </w:r>
                </w:p>
              </w:tc>
              <w:tc>
                <w:tcPr>
                  <w:tcW w:w="1584" w:type="pct"/>
                  <w:tcBorders>
                    <w:tl2br w:val="nil"/>
                    <w:tr2bl w:val="nil"/>
                  </w:tcBorders>
                  <w:noWrap w:val="0"/>
                  <w:vAlign w:val="center"/>
                </w:tcPr>
                <w:p w14:paraId="56193A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井场内设置30m</w:t>
                  </w:r>
                  <w:r>
                    <w:rPr>
                      <w:rFonts w:hint="default" w:ascii="Times New Roman" w:hAnsi="Times New Roman" w:eastAsia="宋体" w:cs="Times New Roman"/>
                      <w:color w:val="auto"/>
                      <w:spacing w:val="0"/>
                      <w:kern w:val="21"/>
                      <w:sz w:val="21"/>
                      <w:szCs w:val="21"/>
                      <w:highlight w:val="none"/>
                      <w:vertAlign w:val="superscript"/>
                      <w:lang w:eastAsia="zh-CN"/>
                    </w:rPr>
                    <w:t>3</w:t>
                  </w:r>
                  <w:r>
                    <w:rPr>
                      <w:rFonts w:hint="default" w:ascii="Times New Roman" w:hAnsi="Times New Roman" w:eastAsia="宋体" w:cs="Times New Roman"/>
                      <w:color w:val="auto"/>
                      <w:spacing w:val="0"/>
                      <w:kern w:val="21"/>
                      <w:sz w:val="21"/>
                      <w:szCs w:val="21"/>
                      <w:highlight w:val="none"/>
                      <w:lang w:eastAsia="zh-CN"/>
                    </w:rPr>
                    <w:t>初期雨水收集罐，井场四周设置不低于20cm的土围堰，且井场大门处修建挡土梁；初期雨水收集后和钻井废水运至</w:t>
                  </w:r>
                  <w:r>
                    <w:rPr>
                      <w:rFonts w:hint="eastAsia" w:ascii="Times New Roman" w:hAnsi="Times New Roman" w:eastAsia="宋体" w:cs="Times New Roman"/>
                      <w:color w:val="auto"/>
                      <w:spacing w:val="0"/>
                      <w:kern w:val="21"/>
                      <w:sz w:val="21"/>
                      <w:szCs w:val="21"/>
                      <w:highlight w:val="none"/>
                      <w:lang w:eastAsia="zh-CN"/>
                    </w:rPr>
                    <w:t>泾河8撬装式水净化站处理达标后回注</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eastAsia="zh-CN"/>
                    </w:rPr>
                    <w:t>不外排</w:t>
                  </w:r>
                </w:p>
              </w:tc>
              <w:tc>
                <w:tcPr>
                  <w:tcW w:w="1416" w:type="pct"/>
                  <w:tcBorders>
                    <w:tl2br w:val="nil"/>
                    <w:tr2bl w:val="nil"/>
                  </w:tcBorders>
                  <w:noWrap w:val="0"/>
                  <w:vAlign w:val="center"/>
                </w:tcPr>
                <w:p w14:paraId="234262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井场内设置30m</w:t>
                  </w:r>
                  <w:r>
                    <w:rPr>
                      <w:rFonts w:hint="default" w:ascii="Times New Roman" w:hAnsi="Times New Roman" w:eastAsia="宋体" w:cs="Times New Roman"/>
                      <w:color w:val="auto"/>
                      <w:spacing w:val="0"/>
                      <w:kern w:val="21"/>
                      <w:sz w:val="21"/>
                      <w:szCs w:val="21"/>
                      <w:highlight w:val="none"/>
                      <w:vertAlign w:val="superscript"/>
                      <w:lang w:eastAsia="zh-CN"/>
                    </w:rPr>
                    <w:t>3</w:t>
                  </w:r>
                  <w:r>
                    <w:rPr>
                      <w:rFonts w:hint="default" w:ascii="Times New Roman" w:hAnsi="Times New Roman" w:eastAsia="宋体" w:cs="Times New Roman"/>
                      <w:color w:val="auto"/>
                      <w:spacing w:val="0"/>
                      <w:kern w:val="21"/>
                      <w:sz w:val="21"/>
                      <w:szCs w:val="21"/>
                      <w:highlight w:val="none"/>
                      <w:lang w:eastAsia="zh-CN"/>
                    </w:rPr>
                    <w:t>初期雨水收集罐，</w:t>
                  </w:r>
                  <w:r>
                    <w:rPr>
                      <w:rFonts w:hint="default" w:ascii="Times New Roman" w:hAnsi="Times New Roman" w:cs="Times New Roman" w:eastAsiaTheme="minorEastAsia"/>
                      <w:color w:val="0000FF"/>
                      <w:sz w:val="21"/>
                      <w:szCs w:val="21"/>
                      <w:lang w:val="en-US" w:eastAsia="zh-CN"/>
                    </w:rPr>
                    <w:t>防渗布四周设20cm高围堰，井场周围设20cm的土围堰</w:t>
                  </w:r>
                  <w:r>
                    <w:rPr>
                      <w:rFonts w:hint="default" w:ascii="Times New Roman" w:hAnsi="Times New Roman" w:eastAsia="宋体" w:cs="Times New Roman"/>
                      <w:color w:val="auto"/>
                      <w:spacing w:val="0"/>
                      <w:kern w:val="21"/>
                      <w:sz w:val="21"/>
                      <w:szCs w:val="21"/>
                      <w:highlight w:val="none"/>
                      <w:lang w:eastAsia="zh-CN"/>
                    </w:rPr>
                    <w:t>，且井场大门处修建挡土梁；初期雨水收集后和钻井废水运至</w:t>
                  </w:r>
                  <w:r>
                    <w:rPr>
                      <w:rFonts w:hint="eastAsia" w:ascii="Times New Roman" w:hAnsi="Times New Roman" w:eastAsia="宋体" w:cs="Times New Roman"/>
                      <w:color w:val="auto"/>
                      <w:spacing w:val="0"/>
                      <w:kern w:val="21"/>
                      <w:sz w:val="21"/>
                      <w:szCs w:val="21"/>
                      <w:highlight w:val="none"/>
                      <w:lang w:eastAsia="zh-CN"/>
                    </w:rPr>
                    <w:t>泾河8撬装式水净化站处理达标后回注</w:t>
                  </w:r>
                  <w:r>
                    <w:rPr>
                      <w:rFonts w:hint="eastAsia" w:ascii="Times New Roman" w:hAnsi="Times New Roman" w:eastAsia="宋体" w:cs="Times New Roman"/>
                      <w:color w:val="auto"/>
                      <w:spacing w:val="0"/>
                      <w:kern w:val="21"/>
                      <w:sz w:val="21"/>
                      <w:szCs w:val="21"/>
                      <w:highlight w:val="none"/>
                      <w:lang w:val="en-US" w:eastAsia="zh-CN"/>
                    </w:rPr>
                    <w:t>，未</w:t>
                  </w:r>
                  <w:r>
                    <w:rPr>
                      <w:rFonts w:hint="default" w:ascii="Times New Roman" w:hAnsi="Times New Roman" w:eastAsia="宋体" w:cs="Times New Roman"/>
                      <w:color w:val="auto"/>
                      <w:spacing w:val="0"/>
                      <w:kern w:val="21"/>
                      <w:sz w:val="21"/>
                      <w:szCs w:val="21"/>
                      <w:highlight w:val="none"/>
                      <w:lang w:eastAsia="zh-CN"/>
                    </w:rPr>
                    <w:t>外排</w:t>
                  </w:r>
                </w:p>
              </w:tc>
              <w:tc>
                <w:tcPr>
                  <w:tcW w:w="432" w:type="pct"/>
                  <w:tcBorders>
                    <w:tl2br w:val="nil"/>
                    <w:tr2bl w:val="nil"/>
                  </w:tcBorders>
                  <w:shd w:val="clear" w:color="auto" w:fill="auto"/>
                  <w:noWrap w:val="0"/>
                  <w:vAlign w:val="center"/>
                </w:tcPr>
                <w:p w14:paraId="345CBE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6C3AB0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14D279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358860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环保工程</w:t>
                  </w:r>
                </w:p>
              </w:tc>
              <w:tc>
                <w:tcPr>
                  <w:tcW w:w="406" w:type="pct"/>
                  <w:vMerge w:val="restart"/>
                  <w:tcBorders>
                    <w:tl2br w:val="nil"/>
                    <w:tr2bl w:val="nil"/>
                  </w:tcBorders>
                  <w:noWrap w:val="0"/>
                  <w:vAlign w:val="center"/>
                </w:tcPr>
                <w:p w14:paraId="6815819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w:t>
                  </w:r>
                  <w:r>
                    <w:rPr>
                      <w:rFonts w:hint="default" w:ascii="Times New Roman" w:hAnsi="Times New Roman" w:eastAsia="宋体" w:cs="Times New Roman"/>
                      <w:color w:val="auto"/>
                      <w:spacing w:val="0"/>
                      <w:kern w:val="21"/>
                      <w:sz w:val="21"/>
                      <w:szCs w:val="21"/>
                      <w:highlight w:val="none"/>
                      <w:lang w:eastAsia="zh-CN"/>
                    </w:rPr>
                    <w:t>气</w:t>
                  </w:r>
                  <w:r>
                    <w:rPr>
                      <w:rFonts w:hint="default" w:ascii="Times New Roman" w:hAnsi="Times New Roman" w:eastAsia="宋体" w:cs="Times New Roman"/>
                      <w:color w:val="auto"/>
                      <w:spacing w:val="0"/>
                      <w:kern w:val="21"/>
                      <w:sz w:val="21"/>
                      <w:szCs w:val="21"/>
                      <w:highlight w:val="none"/>
                    </w:rPr>
                    <w:t>处理设施</w:t>
                  </w:r>
                </w:p>
              </w:tc>
              <w:tc>
                <w:tcPr>
                  <w:tcW w:w="1584" w:type="pct"/>
                  <w:tcBorders>
                    <w:tl2br w:val="nil"/>
                    <w:tr2bl w:val="nil"/>
                  </w:tcBorders>
                  <w:noWrap w:val="0"/>
                  <w:vAlign w:val="center"/>
                </w:tcPr>
                <w:p w14:paraId="3D9F9A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施工扬尘：井场洒水抑尘，表土及建材堆放设置挡板、上覆遮盖材料，施工运输车辆采取密闭措施或加盖防尘布，临时道路配备洒水车定期洒水抑尘</w:t>
                  </w:r>
                </w:p>
              </w:tc>
              <w:tc>
                <w:tcPr>
                  <w:tcW w:w="1416" w:type="pct"/>
                  <w:tcBorders>
                    <w:tl2br w:val="nil"/>
                    <w:tr2bl w:val="nil"/>
                  </w:tcBorders>
                  <w:noWrap w:val="0"/>
                  <w:vAlign w:val="center"/>
                </w:tcPr>
                <w:p w14:paraId="15E201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施工扬尘：</w:t>
                  </w:r>
                  <w:r>
                    <w:rPr>
                      <w:rFonts w:hint="default" w:ascii="Times New Roman" w:hAnsi="Times New Roman" w:eastAsia="宋体" w:cs="Times New Roman"/>
                      <w:color w:val="auto"/>
                      <w:spacing w:val="0"/>
                      <w:sz w:val="21"/>
                      <w:szCs w:val="21"/>
                      <w:highlight w:val="none"/>
                    </w:rPr>
                    <w:t>井场洒水抑尘，</w:t>
                  </w:r>
                  <w:r>
                    <w:rPr>
                      <w:rFonts w:hint="default" w:ascii="Times New Roman" w:hAnsi="Times New Roman" w:eastAsia="宋体" w:cs="Times New Roman"/>
                      <w:color w:val="auto"/>
                      <w:spacing w:val="0"/>
                      <w:sz w:val="21"/>
                      <w:szCs w:val="21"/>
                      <w:highlight w:val="none"/>
                      <w:lang w:eastAsia="zh-CN"/>
                    </w:rPr>
                    <w:t>表土及建材堆放设置挡板、上覆遮盖材料</w:t>
                  </w:r>
                  <w:r>
                    <w:rPr>
                      <w:rFonts w:hint="default" w:ascii="Times New Roman" w:hAnsi="Times New Roman" w:eastAsia="宋体" w:cs="Times New Roman"/>
                      <w:color w:val="auto"/>
                      <w:spacing w:val="0"/>
                      <w:sz w:val="21"/>
                      <w:szCs w:val="21"/>
                      <w:highlight w:val="none"/>
                    </w:rPr>
                    <w:t>，施工运输车辆采取密闭措施</w:t>
                  </w:r>
                  <w:r>
                    <w:rPr>
                      <w:rFonts w:hint="eastAsia" w:ascii="Times New Roman" w:hAnsi="Times New Roman" w:eastAsia="宋体" w:cs="Times New Roman"/>
                      <w:color w:val="auto"/>
                      <w:spacing w:val="0"/>
                      <w:sz w:val="21"/>
                      <w:szCs w:val="21"/>
                      <w:highlight w:val="none"/>
                      <w:lang w:val="en-US" w:eastAsia="zh-CN"/>
                    </w:rPr>
                    <w:t>并</w:t>
                  </w:r>
                  <w:r>
                    <w:rPr>
                      <w:rFonts w:hint="default" w:ascii="Times New Roman" w:hAnsi="Times New Roman" w:eastAsia="宋体" w:cs="Times New Roman"/>
                      <w:color w:val="auto"/>
                      <w:spacing w:val="0"/>
                      <w:sz w:val="21"/>
                      <w:szCs w:val="21"/>
                      <w:highlight w:val="none"/>
                    </w:rPr>
                    <w:t>加盖防尘布，临时道路配备洒水车定期洒水抑尘</w:t>
                  </w:r>
                </w:p>
              </w:tc>
              <w:tc>
                <w:tcPr>
                  <w:tcW w:w="432" w:type="pct"/>
                  <w:tcBorders>
                    <w:tl2br w:val="nil"/>
                    <w:tr2bl w:val="nil"/>
                  </w:tcBorders>
                  <w:noWrap w:val="0"/>
                  <w:vAlign w:val="center"/>
                </w:tcPr>
                <w:p w14:paraId="132A87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CB101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714E7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34B98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1C4A983D">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584" w:type="pct"/>
                  <w:tcBorders>
                    <w:tl2br w:val="nil"/>
                    <w:tr2bl w:val="nil"/>
                  </w:tcBorders>
                  <w:noWrap w:val="0"/>
                  <w:vAlign w:val="center"/>
                </w:tcPr>
                <w:p w14:paraId="757137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柴油发电机燃烧烟气</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选用环保型柴油发电机，使用优质轻柴油，简易排气筒排放；排气管朝向避开农户分布及项目区工作人员办公生活的方位</w:t>
                  </w:r>
                </w:p>
              </w:tc>
              <w:tc>
                <w:tcPr>
                  <w:tcW w:w="1416" w:type="pct"/>
                  <w:tcBorders>
                    <w:tl2br w:val="nil"/>
                    <w:tr2bl w:val="nil"/>
                  </w:tcBorders>
                  <w:noWrap w:val="0"/>
                  <w:vAlign w:val="center"/>
                </w:tcPr>
                <w:p w14:paraId="1BA3B8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柴油发电机燃烧烟气：选用环保型柴油发电机，使用优质轻柴油，简易排气筒排放；排气管朝避开</w:t>
                  </w:r>
                  <w:r>
                    <w:rPr>
                      <w:rFonts w:hint="eastAsia"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lang w:eastAsia="zh-CN"/>
                    </w:rPr>
                    <w:t>农户分布及项目区工作人员办公生活的方位</w:t>
                  </w:r>
                </w:p>
              </w:tc>
              <w:tc>
                <w:tcPr>
                  <w:tcW w:w="432" w:type="pct"/>
                  <w:tcBorders>
                    <w:tl2br w:val="nil"/>
                    <w:tr2bl w:val="nil"/>
                  </w:tcBorders>
                  <w:noWrap w:val="0"/>
                  <w:vAlign w:val="center"/>
                </w:tcPr>
                <w:p w14:paraId="4B715E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B2380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02C51A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2D271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7F85C52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584" w:type="pct"/>
                  <w:tcBorders>
                    <w:tl2br w:val="nil"/>
                    <w:tr2bl w:val="nil"/>
                  </w:tcBorders>
                  <w:noWrap w:val="0"/>
                  <w:vAlign w:val="center"/>
                </w:tcPr>
                <w:p w14:paraId="5B1D2E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汽车尾气</w:t>
                  </w:r>
                  <w:r>
                    <w:rPr>
                      <w:rFonts w:hint="eastAsia" w:ascii="Times New Roman" w:hAnsi="Times New Roman" w:eastAsia="宋体" w:cs="Times New Roman"/>
                      <w:color w:val="auto"/>
                      <w:sz w:val="21"/>
                      <w:szCs w:val="21"/>
                      <w:lang w:val="en-US" w:eastAsia="zh-CN"/>
                    </w:rPr>
                    <w:t>：车辆排放的尾气为流动的线源，影响范围较大，但其污染不集中且扩散能力相对较快，影响较小</w:t>
                  </w:r>
                </w:p>
              </w:tc>
              <w:tc>
                <w:tcPr>
                  <w:tcW w:w="1416" w:type="pct"/>
                  <w:tcBorders>
                    <w:tl2br w:val="nil"/>
                    <w:tr2bl w:val="nil"/>
                  </w:tcBorders>
                  <w:noWrap w:val="0"/>
                  <w:vAlign w:val="center"/>
                </w:tcPr>
                <w:p w14:paraId="586E49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加强管理、定期保养</w:t>
                  </w:r>
                </w:p>
              </w:tc>
              <w:tc>
                <w:tcPr>
                  <w:tcW w:w="432" w:type="pct"/>
                  <w:tcBorders>
                    <w:tl2br w:val="nil"/>
                    <w:tr2bl w:val="nil"/>
                  </w:tcBorders>
                  <w:noWrap w:val="0"/>
                  <w:vAlign w:val="center"/>
                </w:tcPr>
                <w:p w14:paraId="224C60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5BD9BD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7A3E0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1B222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4F70F010">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584" w:type="pct"/>
                  <w:tcBorders>
                    <w:tl2br w:val="nil"/>
                    <w:tr2bl w:val="nil"/>
                  </w:tcBorders>
                  <w:noWrap w:val="0"/>
                  <w:vAlign w:val="center"/>
                </w:tcPr>
                <w:p w14:paraId="35D085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伴生气：</w:t>
                  </w:r>
                  <w:r>
                    <w:rPr>
                      <w:rFonts w:hint="eastAsia" w:ascii="Times New Roman" w:hAnsi="Times New Roman" w:eastAsia="宋体" w:cs="Times New Roman"/>
                      <w:color w:val="auto"/>
                      <w:sz w:val="21"/>
                      <w:szCs w:val="21"/>
                      <w:lang w:val="en-US" w:eastAsia="zh-CN"/>
                    </w:rPr>
                    <w:t>伴生气产生量很小，无法量化，无组织排放</w:t>
                  </w:r>
                </w:p>
              </w:tc>
              <w:tc>
                <w:tcPr>
                  <w:tcW w:w="1416" w:type="pct"/>
                  <w:tcBorders>
                    <w:tl2br w:val="nil"/>
                    <w:tr2bl w:val="nil"/>
                  </w:tcBorders>
                  <w:noWrap w:val="0"/>
                  <w:vAlign w:val="center"/>
                </w:tcPr>
                <w:p w14:paraId="094E2D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z w:val="21"/>
                      <w:szCs w:val="21"/>
                      <w:lang w:val="en-US" w:eastAsia="zh-CN"/>
                    </w:rPr>
                    <w:t>无组织排放</w:t>
                  </w:r>
                </w:p>
              </w:tc>
              <w:tc>
                <w:tcPr>
                  <w:tcW w:w="432" w:type="pct"/>
                  <w:tcBorders>
                    <w:tl2br w:val="nil"/>
                    <w:tr2bl w:val="nil"/>
                  </w:tcBorders>
                  <w:noWrap w:val="0"/>
                  <w:vAlign w:val="center"/>
                </w:tcPr>
                <w:p w14:paraId="0A139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CEBEA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05E18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67BE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restart"/>
                  <w:tcBorders>
                    <w:tl2br w:val="nil"/>
                    <w:tr2bl w:val="nil"/>
                  </w:tcBorders>
                  <w:noWrap w:val="0"/>
                  <w:vAlign w:val="center"/>
                </w:tcPr>
                <w:p w14:paraId="6A64CD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废水处理设施</w:t>
                  </w:r>
                </w:p>
              </w:tc>
              <w:tc>
                <w:tcPr>
                  <w:tcW w:w="1584" w:type="pct"/>
                  <w:tcBorders>
                    <w:tl2br w:val="nil"/>
                    <w:tr2bl w:val="nil"/>
                  </w:tcBorders>
                  <w:noWrap w:val="0"/>
                  <w:vAlign w:val="center"/>
                </w:tcPr>
                <w:p w14:paraId="21C344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生活污水</w:t>
                  </w:r>
                  <w:r>
                    <w:rPr>
                      <w:rFonts w:hint="eastAsia" w:ascii="Times New Roman" w:hAnsi="Times New Roman" w:eastAsia="宋体" w:cs="Times New Roman"/>
                      <w:color w:val="auto"/>
                      <w:spacing w:val="0"/>
                      <w:kern w:val="21"/>
                      <w:sz w:val="21"/>
                      <w:szCs w:val="21"/>
                      <w:highlight w:val="none"/>
                      <w:lang w:eastAsia="zh-CN"/>
                    </w:rPr>
                    <w:t>：施工期生活污水均排入移动式环保厕所，粪便定期清运，盥洗废水可就地泼洒用于施工场地抑尘。</w:t>
                  </w:r>
                </w:p>
              </w:tc>
              <w:tc>
                <w:tcPr>
                  <w:tcW w:w="1416" w:type="pct"/>
                  <w:tcBorders>
                    <w:tl2br w:val="nil"/>
                    <w:tr2bl w:val="nil"/>
                  </w:tcBorders>
                  <w:noWrap w:val="0"/>
                  <w:vAlign w:val="center"/>
                </w:tcPr>
                <w:p w14:paraId="4FB4CF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井场内设置移动式环保厕所，定期清掏，用于周边农田堆肥</w:t>
                  </w:r>
                  <w:r>
                    <w:rPr>
                      <w:rFonts w:hint="eastAsia" w:ascii="Times New Roman" w:hAnsi="Times New Roman" w:eastAsia="宋体" w:cs="Times New Roman"/>
                      <w:color w:val="auto"/>
                      <w:spacing w:val="0"/>
                      <w:kern w:val="21"/>
                      <w:sz w:val="21"/>
                      <w:szCs w:val="21"/>
                      <w:highlight w:val="none"/>
                      <w:lang w:eastAsia="zh-CN"/>
                    </w:rPr>
                    <w:t>；盥洗废水就地泼洒用于施工场地抑尘。</w:t>
                  </w:r>
                </w:p>
              </w:tc>
              <w:tc>
                <w:tcPr>
                  <w:tcW w:w="432" w:type="pct"/>
                  <w:tcBorders>
                    <w:tl2br w:val="nil"/>
                    <w:tr2bl w:val="nil"/>
                  </w:tcBorders>
                  <w:noWrap w:val="0"/>
                  <w:vAlign w:val="center"/>
                </w:tcPr>
                <w:p w14:paraId="38DDB6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027C69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7E078A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1F65E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1D33C7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5A84D8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pacing w:val="0"/>
                      <w:kern w:val="21"/>
                      <w:sz w:val="21"/>
                      <w:szCs w:val="21"/>
                      <w:highlight w:val="none"/>
                      <w:lang w:eastAsia="zh-CN"/>
                    </w:rPr>
                    <w:t>生产废水：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w:t>
                  </w:r>
                  <w:r>
                    <w:rPr>
                      <w:rFonts w:hint="eastAsia" w:ascii="Times New Roman" w:hAnsi="Times New Roman" w:eastAsia="宋体" w:cs="Times New Roman"/>
                      <w:color w:val="auto"/>
                      <w:spacing w:val="0"/>
                      <w:kern w:val="21"/>
                      <w:sz w:val="21"/>
                      <w:szCs w:val="21"/>
                      <w:highlight w:val="none"/>
                      <w:lang w:val="en-US" w:eastAsia="zh-CN"/>
                    </w:rPr>
                    <w:t>气</w:t>
                  </w:r>
                  <w:r>
                    <w:rPr>
                      <w:rFonts w:hint="eastAsia" w:ascii="Times New Roman" w:hAnsi="Times New Roman" w:eastAsia="宋体" w:cs="Times New Roman"/>
                      <w:color w:val="auto"/>
                      <w:spacing w:val="0"/>
                      <w:kern w:val="21"/>
                      <w:sz w:val="21"/>
                      <w:szCs w:val="21"/>
                      <w:highlight w:val="none"/>
                      <w:lang w:eastAsia="zh-CN"/>
                    </w:rPr>
                    <w:t>）等井下作业废水收集至地上废水罐（</w:t>
                  </w:r>
                  <w:r>
                    <w:rPr>
                      <w:rFonts w:hint="eastAsia" w:ascii="Times New Roman" w:hAnsi="Times New Roman" w:eastAsia="宋体" w:cs="Times New Roman"/>
                      <w:color w:val="auto"/>
                      <w:spacing w:val="0"/>
                      <w:kern w:val="21"/>
                      <w:sz w:val="21"/>
                      <w:szCs w:val="21"/>
                      <w:highlight w:val="none"/>
                      <w:lang w:val="en-US" w:eastAsia="zh-CN"/>
                    </w:rPr>
                    <w:t>位于泥浆循环罐区</w:t>
                  </w:r>
                  <w:r>
                    <w:rPr>
                      <w:rFonts w:hint="eastAsia" w:ascii="Times New Roman" w:hAnsi="Times New Roman" w:eastAsia="宋体" w:cs="Times New Roman"/>
                      <w:color w:val="auto"/>
                      <w:spacing w:val="0"/>
                      <w:kern w:val="21"/>
                      <w:sz w:val="21"/>
                      <w:szCs w:val="21"/>
                      <w:highlight w:val="none"/>
                      <w:lang w:eastAsia="zh-CN"/>
                    </w:rPr>
                    <w:t>）临时贮存，由罐车拉运至泾河8撬装式水净化站处理达标后回注，不外排。</w:t>
                  </w:r>
                </w:p>
              </w:tc>
              <w:tc>
                <w:tcPr>
                  <w:tcW w:w="1416" w:type="pct"/>
                  <w:tcBorders>
                    <w:tl2br w:val="nil"/>
                    <w:tr2bl w:val="nil"/>
                  </w:tcBorders>
                  <w:noWrap w:val="0"/>
                  <w:vAlign w:val="center"/>
                </w:tcPr>
                <w:p w14:paraId="5771A8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eastAsia="zh-CN"/>
                    </w:rPr>
                    <w:t>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w:t>
                  </w:r>
                  <w:r>
                    <w:rPr>
                      <w:rFonts w:hint="eastAsia" w:ascii="Times New Roman" w:hAnsi="Times New Roman" w:eastAsia="宋体" w:cs="Times New Roman"/>
                      <w:color w:val="auto"/>
                      <w:spacing w:val="0"/>
                      <w:kern w:val="21"/>
                      <w:sz w:val="21"/>
                      <w:szCs w:val="21"/>
                      <w:highlight w:val="none"/>
                      <w:lang w:val="en-US" w:eastAsia="zh-CN"/>
                    </w:rPr>
                    <w:t>气</w:t>
                  </w:r>
                  <w:r>
                    <w:rPr>
                      <w:rFonts w:hint="eastAsia" w:ascii="Times New Roman" w:hAnsi="Times New Roman" w:eastAsia="宋体" w:cs="Times New Roman"/>
                      <w:color w:val="auto"/>
                      <w:spacing w:val="0"/>
                      <w:kern w:val="21"/>
                      <w:sz w:val="21"/>
                      <w:szCs w:val="21"/>
                      <w:highlight w:val="none"/>
                      <w:lang w:eastAsia="zh-CN"/>
                    </w:rPr>
                    <w:t>）等井下作业废水收集至地上废水罐（</w:t>
                  </w:r>
                  <w:r>
                    <w:rPr>
                      <w:rFonts w:hint="eastAsia" w:ascii="Times New Roman" w:hAnsi="Times New Roman" w:eastAsia="宋体" w:cs="Times New Roman"/>
                      <w:color w:val="auto"/>
                      <w:spacing w:val="0"/>
                      <w:kern w:val="21"/>
                      <w:sz w:val="21"/>
                      <w:szCs w:val="21"/>
                      <w:highlight w:val="none"/>
                      <w:lang w:val="en-US" w:eastAsia="zh-CN"/>
                    </w:rPr>
                    <w:t>位于泥浆循环罐区</w:t>
                  </w:r>
                  <w:r>
                    <w:rPr>
                      <w:rFonts w:hint="eastAsia" w:ascii="Times New Roman" w:hAnsi="Times New Roman" w:eastAsia="宋体" w:cs="Times New Roman"/>
                      <w:color w:val="auto"/>
                      <w:spacing w:val="0"/>
                      <w:kern w:val="21"/>
                      <w:sz w:val="21"/>
                      <w:szCs w:val="21"/>
                      <w:highlight w:val="none"/>
                      <w:lang w:eastAsia="zh-CN"/>
                    </w:rPr>
                    <w:t>）临时贮存，由罐车拉运至泾河8撬装式水净化站处理达标后回注，不外排。</w:t>
                  </w:r>
                </w:p>
              </w:tc>
              <w:tc>
                <w:tcPr>
                  <w:tcW w:w="432" w:type="pct"/>
                  <w:tcBorders>
                    <w:tl2br w:val="nil"/>
                    <w:tr2bl w:val="nil"/>
                  </w:tcBorders>
                  <w:noWrap w:val="0"/>
                  <w:vAlign w:val="center"/>
                </w:tcPr>
                <w:p w14:paraId="2725A9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0F483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74A570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07630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restart"/>
                  <w:tcBorders>
                    <w:tl2br w:val="nil"/>
                    <w:tr2bl w:val="nil"/>
                  </w:tcBorders>
                  <w:noWrap w:val="0"/>
                  <w:vAlign w:val="center"/>
                </w:tcPr>
                <w:p w14:paraId="254514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固体废物处理设施</w:t>
                  </w:r>
                </w:p>
              </w:tc>
              <w:tc>
                <w:tcPr>
                  <w:tcW w:w="1584" w:type="pct"/>
                  <w:tcBorders>
                    <w:tl2br w:val="nil"/>
                    <w:tr2bl w:val="nil"/>
                  </w:tcBorders>
                  <w:noWrap w:val="0"/>
                  <w:vAlign w:val="center"/>
                </w:tcPr>
                <w:p w14:paraId="2BBF1393">
                  <w:pPr>
                    <w:pStyle w:val="94"/>
                    <w:keepNext w:val="0"/>
                    <w:keepLines w:val="0"/>
                    <w:suppressLineNumbers w:val="0"/>
                    <w:spacing w:before="0" w:beforeAutospacing="0" w:after="0" w:afterAutospacing="0"/>
                    <w:ind w:left="0" w:right="0"/>
                    <w:jc w:val="both"/>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color w:val="auto"/>
                      <w:szCs w:val="21"/>
                    </w:rPr>
                    <w:t>废弃钻井泥浆</w:t>
                  </w:r>
                  <w:r>
                    <w:rPr>
                      <w:rFonts w:hint="eastAsia" w:ascii="Times New Roman" w:hAnsi="Times New Roman"/>
                      <w:color w:val="auto"/>
                      <w:szCs w:val="21"/>
                      <w:lang w:eastAsia="zh-CN"/>
                    </w:rPr>
                    <w:t>、</w:t>
                  </w:r>
                  <w:r>
                    <w:rPr>
                      <w:rFonts w:hint="default" w:ascii="Times New Roman" w:hAnsi="Times New Roman"/>
                      <w:color w:val="auto"/>
                      <w:szCs w:val="21"/>
                    </w:rPr>
                    <w:t>钻井岩屑</w:t>
                  </w:r>
                  <w:r>
                    <w:rPr>
                      <w:rFonts w:hint="default" w:ascii="Times New Roman" w:hAnsi="Times New Roman"/>
                      <w:color w:val="auto"/>
                      <w:szCs w:val="21"/>
                      <w:lang w:eastAsia="zh-CN"/>
                    </w:rPr>
                    <w:t>（</w:t>
                  </w:r>
                  <w:r>
                    <w:rPr>
                      <w:rFonts w:hint="default" w:ascii="Times New Roman" w:hAnsi="Times New Roman"/>
                      <w:color w:val="auto"/>
                      <w:szCs w:val="21"/>
                      <w:lang w:val="en-US" w:eastAsia="zh-CN"/>
                    </w:rPr>
                    <w:t>不含油</w:t>
                  </w:r>
                  <w:r>
                    <w:rPr>
                      <w:rFonts w:hint="default" w:ascii="Times New Roman" w:hAnsi="Times New Roman"/>
                      <w:color w:val="auto"/>
                      <w:szCs w:val="21"/>
                      <w:lang w:eastAsia="zh-CN"/>
                    </w:rPr>
                    <w:t>）</w:t>
                  </w:r>
                  <w:r>
                    <w:rPr>
                      <w:rFonts w:hint="eastAsia" w:ascii="Times New Roman" w:hAnsi="Times New Roman"/>
                      <w:color w:val="auto"/>
                      <w:szCs w:val="21"/>
                      <w:lang w:eastAsia="zh-CN"/>
                    </w:rPr>
                    <w:t>：</w:t>
                  </w:r>
                  <w:r>
                    <w:rPr>
                      <w:rFonts w:hint="default" w:ascii="Times New Roman" w:hAnsi="Times New Roman"/>
                      <w:color w:val="auto"/>
                      <w:szCs w:val="21"/>
                    </w:rPr>
                    <w:t>钻井废弃泥浆、岩屑采取不落地收集+板框压滤装置处置，产生的泥饼（固相含水率不大于60%）暂存井场，泥饼临时暂存要落实“三防”措施并加强管理，井场内暂存时间不得超过</w:t>
                  </w:r>
                  <w:r>
                    <w:rPr>
                      <w:rFonts w:hint="eastAsia" w:ascii="Times New Roman" w:hAnsi="Times New Roman"/>
                      <w:color w:val="auto"/>
                      <w:szCs w:val="21"/>
                    </w:rPr>
                    <w:t>1个月</w:t>
                  </w:r>
                  <w:r>
                    <w:rPr>
                      <w:rFonts w:hint="default" w:ascii="Times New Roman" w:hAnsi="Times New Roman"/>
                      <w:color w:val="auto"/>
                      <w:szCs w:val="21"/>
                    </w:rPr>
                    <w:t>，采用“下铺上盖”方式，四周设置0.2m高围堰。板框压滤产生的泥饼（固相），</w:t>
                  </w:r>
                  <w:r>
                    <w:rPr>
                      <w:rFonts w:hint="default"/>
                      <w:color w:val="auto"/>
                      <w:szCs w:val="21"/>
                    </w:rPr>
                    <w:t>清运至一般工业固废集中填埋场安全填埋处置</w:t>
                  </w:r>
                  <w:r>
                    <w:rPr>
                      <w:rFonts w:hint="default"/>
                      <w:color w:val="auto"/>
                      <w:kern w:val="0"/>
                      <w:szCs w:val="21"/>
                    </w:rPr>
                    <w:t>或制作烧结砖资源化综合利用</w:t>
                  </w:r>
                </w:p>
              </w:tc>
              <w:tc>
                <w:tcPr>
                  <w:tcW w:w="1416" w:type="pct"/>
                  <w:tcBorders>
                    <w:tl2br w:val="nil"/>
                    <w:tr2bl w:val="nil"/>
                  </w:tcBorders>
                  <w:noWrap w:val="0"/>
                  <w:vAlign w:val="center"/>
                </w:tcPr>
                <w:p w14:paraId="61C49B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，产生的泥饼（固相含水率不大于60%）暂存井场，泥饼临时暂存要落实“三防”措施并加强管理，井场内暂存时间</w:t>
                  </w:r>
                  <w:r>
                    <w:rPr>
                      <w:rFonts w:hint="eastAsia" w:ascii="Times New Roman" w:hAnsi="Times New Roman" w:eastAsia="宋体" w:cs="Times New Roman"/>
                      <w:bCs/>
                      <w:color w:val="auto"/>
                      <w:sz w:val="21"/>
                      <w:szCs w:val="21"/>
                      <w:highlight w:val="none"/>
                      <w:lang w:val="en-US" w:eastAsia="zh-CN"/>
                    </w:rPr>
                    <w:t>未</w:t>
                  </w:r>
                  <w:r>
                    <w:rPr>
                      <w:rFonts w:hint="eastAsia" w:ascii="Times New Roman" w:hAnsi="Times New Roman" w:eastAsia="宋体" w:cs="Times New Roman"/>
                      <w:bCs/>
                      <w:color w:val="auto"/>
                      <w:sz w:val="21"/>
                      <w:szCs w:val="21"/>
                      <w:highlight w:val="none"/>
                      <w:lang w:eastAsia="zh-CN"/>
                    </w:rPr>
                    <w:t>超过1个月。采用“下铺上盖”方式，四周设置0.2m高围堰；</w:t>
                  </w:r>
                  <w:r>
                    <w:rPr>
                      <w:rFonts w:hint="default" w:ascii="Times New Roman" w:hAnsi="Times New Roman" w:eastAsia="宋体" w:cs="Times New Roman"/>
                      <w:bCs/>
                      <w:color w:val="auto"/>
                      <w:sz w:val="21"/>
                      <w:szCs w:val="21"/>
                      <w:highlight w:val="none"/>
                      <w:lang w:eastAsia="zh-CN"/>
                    </w:rPr>
                    <w:t>废弃泥浆由收集罐收集、钻井岩屑暂存于固渣暂存处，由防渗漏、防溢流的运输车辆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w:t>
                  </w:r>
                  <w:r>
                    <w:rPr>
                      <w:rFonts w:hint="eastAsia" w:ascii="Times New Roman" w:hAnsi="Times New Roman" w:eastAsia="宋体" w:cs="Times New Roman"/>
                      <w:color w:val="auto"/>
                      <w:sz w:val="21"/>
                      <w:szCs w:val="21"/>
                      <w:lang w:val="en-US" w:eastAsia="zh-CN"/>
                    </w:rPr>
                    <w:t>庆阳市昊鑫恒益环境工程有限公司</w:t>
                  </w:r>
                  <w:r>
                    <w:rPr>
                      <w:rFonts w:hint="eastAsia" w:ascii="Times New Roman" w:hAnsi="Times New Roman" w:eastAsia="宋体" w:cs="Times New Roman"/>
                      <w:color w:val="auto"/>
                      <w:sz w:val="21"/>
                      <w:szCs w:val="21"/>
                      <w:lang w:eastAsia="zh-CN"/>
                    </w:rPr>
                    <w:t>处置</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color w:val="auto"/>
                      <w:spacing w:val="0"/>
                      <w:sz w:val="21"/>
                      <w:szCs w:val="21"/>
                      <w:highlight w:val="none"/>
                      <w:lang w:val="en-US" w:eastAsia="zh-CN"/>
                    </w:rPr>
                    <w:t>未产生二次污染</w:t>
                  </w:r>
                </w:p>
              </w:tc>
              <w:tc>
                <w:tcPr>
                  <w:tcW w:w="432" w:type="pct"/>
                  <w:tcBorders>
                    <w:tl2br w:val="nil"/>
                    <w:tr2bl w:val="nil"/>
                  </w:tcBorders>
                  <w:noWrap w:val="0"/>
                  <w:vAlign w:val="center"/>
                </w:tcPr>
                <w:p w14:paraId="7B4300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0D188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eastAsia" w:ascii="Times New Roman" w:hAnsi="Times New Roman" w:eastAsia="宋体" w:cs="Times New Roman"/>
                      <w:bCs/>
                      <w:color w:val="auto"/>
                      <w:spacing w:val="0"/>
                      <w:sz w:val="21"/>
                      <w:szCs w:val="21"/>
                      <w:highlight w:val="none"/>
                      <w:lang w:val="en-US" w:eastAsia="zh-CN"/>
                    </w:rPr>
                    <w:t>/</w:t>
                  </w:r>
                </w:p>
              </w:tc>
            </w:tr>
            <w:tr w14:paraId="5B213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A2420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3FCE2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4C7C0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z w:val="21"/>
                      <w:szCs w:val="21"/>
                    </w:rPr>
                    <w:t>纯碱、膨润土废弃包装</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pacing w:val="0"/>
                      <w:sz w:val="21"/>
                      <w:szCs w:val="21"/>
                      <w:highlight w:val="none"/>
                      <w:lang w:val="en-US" w:eastAsia="zh-CN"/>
                    </w:rPr>
                    <w:t>统一收集后由钻井施工企业回收综合利用</w:t>
                  </w:r>
                </w:p>
              </w:tc>
              <w:tc>
                <w:tcPr>
                  <w:tcW w:w="1416" w:type="pct"/>
                  <w:tcBorders>
                    <w:tl2br w:val="nil"/>
                    <w:tr2bl w:val="nil"/>
                  </w:tcBorders>
                  <w:shd w:val="clear" w:color="auto" w:fill="auto"/>
                  <w:noWrap w:val="0"/>
                  <w:vAlign w:val="center"/>
                </w:tcPr>
                <w:p w14:paraId="0785FD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w:t>
                  </w:r>
                  <w:r>
                    <w:rPr>
                      <w:rFonts w:hint="eastAsia" w:ascii="Times New Roman" w:hAnsi="Times New Roman" w:eastAsia="宋体" w:cs="Times New Roman"/>
                      <w:color w:val="auto"/>
                      <w:spacing w:val="0"/>
                      <w:sz w:val="21"/>
                      <w:szCs w:val="21"/>
                      <w:highlight w:val="none"/>
                      <w:lang w:val="en-US" w:eastAsia="zh-CN"/>
                    </w:rPr>
                    <w:t>袋经收集后由志丹永宏50718队、五普50839HB、五普50839HB、五普40837HB处置，未产生二次污染</w:t>
                  </w:r>
                </w:p>
              </w:tc>
              <w:tc>
                <w:tcPr>
                  <w:tcW w:w="432" w:type="pct"/>
                  <w:tcBorders>
                    <w:tl2br w:val="nil"/>
                    <w:tr2bl w:val="nil"/>
                  </w:tcBorders>
                  <w:shd w:val="clear" w:color="auto" w:fill="auto"/>
                  <w:noWrap w:val="0"/>
                  <w:vAlign w:val="center"/>
                </w:tcPr>
                <w:p w14:paraId="3600BE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5872D2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448490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DCD01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378879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713FBB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不含油压裂砂：由厂家回收利用</w:t>
                  </w:r>
                </w:p>
              </w:tc>
              <w:tc>
                <w:tcPr>
                  <w:tcW w:w="1416" w:type="pct"/>
                  <w:tcBorders>
                    <w:tl2br w:val="nil"/>
                    <w:tr2bl w:val="nil"/>
                  </w:tcBorders>
                  <w:shd w:val="clear" w:color="auto" w:fill="auto"/>
                  <w:noWrap w:val="0"/>
                  <w:vAlign w:val="center"/>
                </w:tcPr>
                <w:p w14:paraId="3E072F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不含油压裂砂由厂家回收利用</w:t>
                  </w:r>
                </w:p>
              </w:tc>
              <w:tc>
                <w:tcPr>
                  <w:tcW w:w="432" w:type="pct"/>
                  <w:tcBorders>
                    <w:tl2br w:val="nil"/>
                    <w:tr2bl w:val="nil"/>
                  </w:tcBorders>
                  <w:shd w:val="clear" w:color="auto" w:fill="auto"/>
                  <w:noWrap w:val="0"/>
                  <w:vAlign w:val="center"/>
                </w:tcPr>
                <w:p w14:paraId="2AFC32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shd w:val="clear" w:color="auto" w:fill="auto"/>
                  <w:noWrap w:val="0"/>
                  <w:vAlign w:val="center"/>
                </w:tcPr>
                <w:p w14:paraId="09FE62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w:t>
                  </w:r>
                </w:p>
              </w:tc>
            </w:tr>
            <w:tr w14:paraId="30108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CB344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40845F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5DE9CE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废防渗布（不含油）</w:t>
                  </w:r>
                  <w:r>
                    <w:rPr>
                      <w:rFonts w:hint="eastAsia" w:ascii="Times New Roman" w:hAnsi="Times New Roman" w:eastAsia="宋体" w:cs="Times New Roman"/>
                      <w:color w:val="auto"/>
                      <w:spacing w:val="0"/>
                      <w:sz w:val="21"/>
                      <w:szCs w:val="21"/>
                      <w:highlight w:val="none"/>
                      <w:lang w:val="en-US" w:eastAsia="zh-CN"/>
                    </w:rPr>
                    <w:t>：统一收集后由钻井施工企业回收综合利用</w:t>
                  </w:r>
                </w:p>
              </w:tc>
              <w:tc>
                <w:tcPr>
                  <w:tcW w:w="1416" w:type="pct"/>
                  <w:tcBorders>
                    <w:tl2br w:val="nil"/>
                    <w:tr2bl w:val="nil"/>
                  </w:tcBorders>
                  <w:shd w:val="clear" w:color="auto" w:fill="auto"/>
                  <w:noWrap w:val="0"/>
                  <w:vAlign w:val="center"/>
                </w:tcPr>
                <w:p w14:paraId="57FFB9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w:t>
                  </w:r>
                  <w:r>
                    <w:rPr>
                      <w:rFonts w:hint="eastAsia" w:ascii="Times New Roman" w:hAnsi="Times New Roman" w:eastAsia="宋体" w:cs="Times New Roman"/>
                      <w:color w:val="auto"/>
                      <w:spacing w:val="0"/>
                      <w:sz w:val="21"/>
                      <w:szCs w:val="21"/>
                      <w:highlight w:val="none"/>
                      <w:lang w:val="en-US" w:eastAsia="zh-CN"/>
                    </w:rPr>
                    <w:t>经收集后由志丹永宏50718队、五普50839HB、五普50839HB、五普40837HB处置，未产生二次污染</w:t>
                  </w:r>
                </w:p>
              </w:tc>
              <w:tc>
                <w:tcPr>
                  <w:tcW w:w="432" w:type="pct"/>
                  <w:tcBorders>
                    <w:tl2br w:val="nil"/>
                    <w:tr2bl w:val="nil"/>
                  </w:tcBorders>
                  <w:shd w:val="clear" w:color="auto" w:fill="auto"/>
                  <w:noWrap w:val="0"/>
                  <w:vAlign w:val="center"/>
                </w:tcPr>
                <w:p w14:paraId="570FB7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77A33F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720675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E9470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7B5542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19423F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建筑垃圾</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回收利用</w:t>
                  </w:r>
                </w:p>
              </w:tc>
              <w:tc>
                <w:tcPr>
                  <w:tcW w:w="1416" w:type="pct"/>
                  <w:tcBorders>
                    <w:tl2br w:val="nil"/>
                    <w:tr2bl w:val="nil"/>
                  </w:tcBorders>
                  <w:shd w:val="clear" w:color="auto" w:fill="auto"/>
                  <w:noWrap w:val="0"/>
                  <w:vAlign w:val="center"/>
                </w:tcPr>
                <w:p w14:paraId="17F371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未产生</w:t>
                  </w:r>
                </w:p>
              </w:tc>
              <w:tc>
                <w:tcPr>
                  <w:tcW w:w="432" w:type="pct"/>
                  <w:tcBorders>
                    <w:tl2br w:val="nil"/>
                    <w:tr2bl w:val="nil"/>
                  </w:tcBorders>
                  <w:shd w:val="clear" w:color="auto" w:fill="auto"/>
                  <w:noWrap w:val="0"/>
                  <w:vAlign w:val="center"/>
                </w:tcPr>
                <w:p w14:paraId="617827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7EFAB5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59150C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7613F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CBBCC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36FBD9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废过硫酸钾包装袋</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废过硫酸钾包装袋入桶</w:t>
                  </w:r>
                  <w:r>
                    <w:rPr>
                      <w:rFonts w:hint="eastAsia" w:ascii="Times New Roman" w:hAnsi="Times New Roman" w:eastAsia="宋体" w:cs="Times New Roman"/>
                      <w:color w:val="auto"/>
                      <w:spacing w:val="0"/>
                      <w:sz w:val="21"/>
                      <w:szCs w:val="21"/>
                      <w:highlight w:val="none"/>
                      <w:lang w:eastAsia="zh-CN"/>
                    </w:rPr>
                    <w:t>（</w:t>
                  </w:r>
                  <w:r>
                    <w:rPr>
                      <w:rFonts w:hint="eastAsia" w:ascii="Times New Roman" w:hAnsi="Times New Roman" w:eastAsia="宋体" w:cs="Times New Roman"/>
                      <w:color w:val="auto"/>
                      <w:spacing w:val="0"/>
                      <w:sz w:val="21"/>
                      <w:szCs w:val="21"/>
                      <w:highlight w:val="none"/>
                      <w:lang w:val="en-US" w:eastAsia="zh-CN"/>
                    </w:rPr>
                    <w:t>0.5m</w:t>
                  </w:r>
                  <w:r>
                    <w:rPr>
                      <w:rFonts w:hint="eastAsia" w:ascii="Times New Roman" w:hAnsi="Times New Roman" w:eastAsia="宋体" w:cs="Times New Roman"/>
                      <w:color w:val="auto"/>
                      <w:spacing w:val="0"/>
                      <w:sz w:val="21"/>
                      <w:szCs w:val="21"/>
                      <w:highlight w:val="none"/>
                      <w:vertAlign w:val="superscript"/>
                      <w:lang w:val="en-US" w:eastAsia="zh-CN"/>
                    </w:rPr>
                    <w:t>3</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收集至</w:t>
                  </w:r>
                  <w:r>
                    <w:rPr>
                      <w:rFonts w:hint="eastAsia"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spacing w:val="0"/>
                      <w:sz w:val="21"/>
                      <w:szCs w:val="21"/>
                      <w:highlight w:val="none"/>
                      <w:lang w:val="en-US" w:eastAsia="zh-CN"/>
                    </w:rPr>
                    <w:t>暂存后，定期</w:t>
                  </w:r>
                  <w:r>
                    <w:rPr>
                      <w:rFonts w:hint="default" w:ascii="Times New Roman" w:hAnsi="Times New Roman" w:eastAsia="宋体" w:cs="Times New Roman"/>
                      <w:color w:val="auto"/>
                      <w:spacing w:val="0"/>
                      <w:sz w:val="21"/>
                      <w:szCs w:val="21"/>
                      <w:highlight w:val="none"/>
                    </w:rPr>
                    <w:t>委托有资质单位处置</w:t>
                  </w:r>
                </w:p>
              </w:tc>
              <w:tc>
                <w:tcPr>
                  <w:tcW w:w="1416" w:type="pct"/>
                  <w:tcBorders>
                    <w:tl2br w:val="nil"/>
                    <w:tr2bl w:val="nil"/>
                  </w:tcBorders>
                  <w:shd w:val="clear" w:color="auto" w:fill="auto"/>
                  <w:noWrap w:val="0"/>
                  <w:vAlign w:val="center"/>
                </w:tcPr>
                <w:p w14:paraId="25927B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废过硫酸钾包装袋</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67163F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197435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1CA63A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B9230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7D1EC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2B5D70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rPr>
                    <w:t>废弃防渗布（沾落地油）</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袋装后收集</w:t>
                  </w:r>
                  <w:r>
                    <w:rPr>
                      <w:rFonts w:hint="default" w:ascii="Times New Roman" w:hAnsi="Times New Roman" w:eastAsia="宋体" w:cs="Times New Roman"/>
                      <w:color w:val="auto"/>
                      <w:spacing w:val="0"/>
                      <w:sz w:val="21"/>
                      <w:szCs w:val="21"/>
                      <w:highlight w:val="none"/>
                      <w:lang w:val="en-US" w:eastAsia="zh-CN"/>
                    </w:rPr>
                    <w:t>至</w:t>
                  </w:r>
                  <w:r>
                    <w:rPr>
                      <w:rFonts w:hint="eastAsia"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spacing w:val="0"/>
                      <w:sz w:val="21"/>
                      <w:szCs w:val="21"/>
                      <w:highlight w:val="none"/>
                      <w:lang w:val="en-US" w:eastAsia="zh-CN"/>
                    </w:rPr>
                    <w:t>暂存后，定期</w:t>
                  </w:r>
                  <w:r>
                    <w:rPr>
                      <w:rFonts w:hint="default" w:ascii="Times New Roman" w:hAnsi="Times New Roman" w:eastAsia="宋体" w:cs="Times New Roman"/>
                      <w:color w:val="auto"/>
                      <w:spacing w:val="0"/>
                      <w:sz w:val="21"/>
                      <w:szCs w:val="21"/>
                      <w:highlight w:val="none"/>
                    </w:rPr>
                    <w:t>委托有资质单位外运处置</w:t>
                  </w:r>
                </w:p>
              </w:tc>
              <w:tc>
                <w:tcPr>
                  <w:tcW w:w="1416" w:type="pct"/>
                  <w:tcBorders>
                    <w:tl2br w:val="nil"/>
                    <w:tr2bl w:val="nil"/>
                  </w:tcBorders>
                  <w:shd w:val="clear" w:color="auto" w:fill="auto"/>
                  <w:noWrap w:val="0"/>
                  <w:vAlign w:val="center"/>
                </w:tcPr>
                <w:p w14:paraId="2B31CA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废弃防渗布（沾落地油）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752208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30DE51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231BEF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414E4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FCBC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5AEAFF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rPr>
                    <w:t>落地油</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落地油泥收集桶</w:t>
                  </w:r>
                  <w:r>
                    <w:rPr>
                      <w:rFonts w:hint="eastAsia" w:ascii="Times New Roman" w:hAnsi="Times New Roman" w:eastAsia="宋体" w:cs="Times New Roman"/>
                      <w:color w:val="auto"/>
                      <w:spacing w:val="0"/>
                      <w:sz w:val="21"/>
                      <w:szCs w:val="21"/>
                      <w:highlight w:val="none"/>
                      <w:lang w:val="en-US" w:eastAsia="zh-CN"/>
                    </w:rPr>
                    <w:t>收集（</w:t>
                  </w:r>
                  <w:r>
                    <w:rPr>
                      <w:rFonts w:hint="default" w:ascii="Times New Roman" w:hAnsi="Times New Roman" w:eastAsia="宋体" w:cs="Times New Roman"/>
                      <w:color w:val="auto"/>
                      <w:spacing w:val="0"/>
                      <w:sz w:val="21"/>
                      <w:szCs w:val="21"/>
                      <w:highlight w:val="none"/>
                    </w:rPr>
                    <w:t>铁桶，容量约500L，地上式设置，可以移动）</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定期委托有资质的单位进行安全处置</w:t>
                  </w:r>
                </w:p>
              </w:tc>
              <w:tc>
                <w:tcPr>
                  <w:tcW w:w="1416" w:type="pct"/>
                  <w:tcBorders>
                    <w:tl2br w:val="nil"/>
                    <w:tr2bl w:val="nil"/>
                  </w:tcBorders>
                  <w:shd w:val="clear" w:color="auto" w:fill="auto"/>
                  <w:noWrap w:val="0"/>
                  <w:vAlign w:val="center"/>
                </w:tcPr>
                <w:p w14:paraId="599F3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282213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30D68C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4228C2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376B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7C784F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63A233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废机油、废润滑油</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采用</w:t>
                  </w:r>
                  <w:r>
                    <w:rPr>
                      <w:rFonts w:hint="default" w:ascii="Times New Roman" w:hAnsi="Times New Roman" w:eastAsia="宋体" w:cs="Times New Roman"/>
                      <w:color w:val="auto"/>
                      <w:spacing w:val="0"/>
                      <w:sz w:val="21"/>
                      <w:szCs w:val="21"/>
                      <w:highlight w:val="none"/>
                    </w:rPr>
                    <w:t>废油回收桶</w:t>
                  </w:r>
                  <w:r>
                    <w:rPr>
                      <w:rFonts w:hint="eastAsia" w:ascii="Times New Roman" w:hAnsi="Times New Roman" w:eastAsia="宋体" w:cs="Times New Roman"/>
                      <w:color w:val="auto"/>
                      <w:spacing w:val="0"/>
                      <w:sz w:val="21"/>
                      <w:szCs w:val="21"/>
                      <w:highlight w:val="none"/>
                      <w:lang w:eastAsia="zh-CN"/>
                    </w:rPr>
                    <w:t>（</w:t>
                  </w:r>
                  <w:r>
                    <w:rPr>
                      <w:rFonts w:hint="eastAsia" w:ascii="Times New Roman" w:hAnsi="Times New Roman" w:eastAsia="宋体" w:cs="Times New Roman"/>
                      <w:color w:val="auto"/>
                      <w:spacing w:val="0"/>
                      <w:sz w:val="21"/>
                      <w:szCs w:val="21"/>
                      <w:highlight w:val="none"/>
                      <w:lang w:val="en-US" w:eastAsia="zh-CN"/>
                    </w:rPr>
                    <w:t>0.5m</w:t>
                  </w:r>
                  <w:r>
                    <w:rPr>
                      <w:rFonts w:hint="eastAsia" w:ascii="Times New Roman" w:hAnsi="Times New Roman" w:eastAsia="宋体" w:cs="Times New Roman"/>
                      <w:color w:val="auto"/>
                      <w:spacing w:val="0"/>
                      <w:sz w:val="21"/>
                      <w:szCs w:val="21"/>
                      <w:highlight w:val="none"/>
                      <w:vertAlign w:val="superscript"/>
                      <w:lang w:val="en-US" w:eastAsia="zh-CN"/>
                    </w:rPr>
                    <w:t>3</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w:t>
                  </w:r>
                  <w:r>
                    <w:rPr>
                      <w:rFonts w:hint="eastAsia"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spacing w:val="0"/>
                      <w:sz w:val="21"/>
                      <w:szCs w:val="21"/>
                      <w:highlight w:val="none"/>
                      <w:lang w:val="en-US" w:eastAsia="zh-CN"/>
                    </w:rPr>
                    <w:t>暂存后，定期</w:t>
                  </w:r>
                  <w:r>
                    <w:rPr>
                      <w:rFonts w:hint="default" w:ascii="Times New Roman" w:hAnsi="Times New Roman" w:eastAsia="宋体" w:cs="Times New Roman"/>
                      <w:color w:val="auto"/>
                      <w:spacing w:val="0"/>
                      <w:sz w:val="21"/>
                      <w:szCs w:val="21"/>
                      <w:highlight w:val="none"/>
                    </w:rPr>
                    <w:t>委托有资质单位外运处置</w:t>
                  </w:r>
                </w:p>
              </w:tc>
              <w:tc>
                <w:tcPr>
                  <w:tcW w:w="1416" w:type="pct"/>
                  <w:tcBorders>
                    <w:tl2br w:val="nil"/>
                    <w:tr2bl w:val="nil"/>
                  </w:tcBorders>
                  <w:shd w:val="clear" w:color="auto" w:fill="auto"/>
                  <w:noWrap w:val="0"/>
                  <w:vAlign w:val="center"/>
                </w:tcPr>
                <w:p w14:paraId="00172A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废机油、废润滑油采用废油回收桶（0.5m</w:t>
                  </w:r>
                  <w:r>
                    <w:rPr>
                      <w:rFonts w:hint="eastAsia" w:ascii="Times New Roman" w:hAnsi="Times New Roman" w:eastAsia="宋体" w:cs="Times New Roman"/>
                      <w:color w:val="auto"/>
                      <w:spacing w:val="0"/>
                      <w:sz w:val="21"/>
                      <w:szCs w:val="21"/>
                      <w:highlight w:val="none"/>
                      <w:vertAlign w:val="superscript"/>
                      <w:lang w:val="en-US" w:eastAsia="zh-CN" w:bidi="ar-SA"/>
                    </w:rPr>
                    <w:t>3</w:t>
                  </w:r>
                  <w:r>
                    <w:rPr>
                      <w:rFonts w:hint="eastAsia" w:ascii="Times New Roman" w:hAnsi="Times New Roman" w:eastAsia="宋体" w:cs="Times New Roman"/>
                      <w:color w:val="auto"/>
                      <w:spacing w:val="0"/>
                      <w:sz w:val="21"/>
                      <w:szCs w:val="21"/>
                      <w:highlight w:val="none"/>
                      <w:lang w:val="en-US" w:eastAsia="zh-CN" w:bidi="ar-SA"/>
                    </w:rPr>
                    <w:t>）收集至临时危废贮存库暂存后，定期委托平凉海螺环保科技有限责任公司外运处置</w:t>
                  </w:r>
                </w:p>
              </w:tc>
              <w:tc>
                <w:tcPr>
                  <w:tcW w:w="432" w:type="pct"/>
                  <w:tcBorders>
                    <w:tl2br w:val="nil"/>
                    <w:tr2bl w:val="nil"/>
                  </w:tcBorders>
                  <w:shd w:val="clear" w:color="auto" w:fill="auto"/>
                  <w:noWrap w:val="0"/>
                  <w:vAlign w:val="center"/>
                </w:tcPr>
                <w:p w14:paraId="379E8A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6C06B5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7D12C0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9E3EA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5AAEC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534207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废含油抹布</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采用</w:t>
                  </w:r>
                  <w:r>
                    <w:rPr>
                      <w:rFonts w:hint="default" w:ascii="Times New Roman" w:hAnsi="Times New Roman" w:eastAsia="宋体" w:cs="Times New Roman"/>
                      <w:color w:val="auto"/>
                      <w:spacing w:val="0"/>
                      <w:sz w:val="21"/>
                      <w:szCs w:val="21"/>
                      <w:highlight w:val="none"/>
                      <w:lang w:eastAsia="zh-CN"/>
                    </w:rPr>
                    <w:t>废含油抹布</w:t>
                  </w:r>
                  <w:r>
                    <w:rPr>
                      <w:rFonts w:hint="default" w:ascii="Times New Roman" w:hAnsi="Times New Roman" w:eastAsia="宋体" w:cs="Times New Roman"/>
                      <w:color w:val="auto"/>
                      <w:spacing w:val="0"/>
                      <w:sz w:val="21"/>
                      <w:szCs w:val="21"/>
                      <w:highlight w:val="none"/>
                    </w:rPr>
                    <w:t>回收桶</w:t>
                  </w:r>
                  <w:r>
                    <w:rPr>
                      <w:rFonts w:hint="eastAsia" w:ascii="Times New Roman" w:hAnsi="Times New Roman" w:eastAsia="宋体" w:cs="Times New Roman"/>
                      <w:color w:val="auto"/>
                      <w:spacing w:val="0"/>
                      <w:sz w:val="21"/>
                      <w:szCs w:val="21"/>
                      <w:highlight w:val="none"/>
                      <w:lang w:eastAsia="zh-CN"/>
                    </w:rPr>
                    <w:t>（</w:t>
                  </w:r>
                  <w:r>
                    <w:rPr>
                      <w:rFonts w:hint="eastAsia" w:ascii="Times New Roman" w:hAnsi="Times New Roman" w:eastAsia="宋体" w:cs="Times New Roman"/>
                      <w:color w:val="auto"/>
                      <w:spacing w:val="0"/>
                      <w:sz w:val="21"/>
                      <w:szCs w:val="21"/>
                      <w:highlight w:val="none"/>
                      <w:lang w:val="en-US" w:eastAsia="zh-CN"/>
                    </w:rPr>
                    <w:t>0.5m</w:t>
                  </w:r>
                  <w:r>
                    <w:rPr>
                      <w:rFonts w:hint="eastAsia" w:ascii="Times New Roman" w:hAnsi="Times New Roman" w:eastAsia="宋体" w:cs="Times New Roman"/>
                      <w:color w:val="auto"/>
                      <w:spacing w:val="0"/>
                      <w:sz w:val="21"/>
                      <w:szCs w:val="21"/>
                      <w:highlight w:val="none"/>
                      <w:vertAlign w:val="superscript"/>
                      <w:lang w:val="en-US" w:eastAsia="zh-CN"/>
                    </w:rPr>
                    <w:t>3</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w:t>
                  </w:r>
                  <w:r>
                    <w:rPr>
                      <w:rFonts w:hint="eastAsia"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spacing w:val="0"/>
                      <w:sz w:val="21"/>
                      <w:szCs w:val="21"/>
                      <w:highlight w:val="none"/>
                      <w:lang w:val="en-US" w:eastAsia="zh-CN"/>
                    </w:rPr>
                    <w:t>暂存后，定期</w:t>
                  </w:r>
                  <w:r>
                    <w:rPr>
                      <w:rFonts w:hint="default" w:ascii="Times New Roman" w:hAnsi="Times New Roman" w:eastAsia="宋体" w:cs="Times New Roman"/>
                      <w:color w:val="auto"/>
                      <w:spacing w:val="0"/>
                      <w:sz w:val="21"/>
                      <w:szCs w:val="21"/>
                      <w:highlight w:val="none"/>
                    </w:rPr>
                    <w:t>委托有资质单位外运处置</w:t>
                  </w:r>
                </w:p>
              </w:tc>
              <w:tc>
                <w:tcPr>
                  <w:tcW w:w="1416" w:type="pct"/>
                  <w:tcBorders>
                    <w:tl2br w:val="nil"/>
                    <w:tr2bl w:val="nil"/>
                  </w:tcBorders>
                  <w:shd w:val="clear" w:color="auto" w:fill="auto"/>
                  <w:noWrap w:val="0"/>
                  <w:vAlign w:val="center"/>
                </w:tcPr>
                <w:p w14:paraId="76E148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废含油抹布</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2FC3BF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11DA44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247065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C8E65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6F744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4A5253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eastAsia="zh-CN"/>
                    </w:rPr>
                    <w:t>含油压裂砂、含油岩屑：</w:t>
                  </w:r>
                  <w:r>
                    <w:rPr>
                      <w:rFonts w:hint="eastAsia" w:ascii="Times New Roman" w:hAnsi="Times New Roman" w:eastAsia="宋体" w:cs="Times New Roman"/>
                      <w:color w:val="auto"/>
                      <w:spacing w:val="0"/>
                      <w:sz w:val="21"/>
                      <w:szCs w:val="21"/>
                      <w:highlight w:val="none"/>
                      <w:lang w:val="en-US" w:eastAsia="zh-CN"/>
                    </w:rPr>
                    <w:t>产生后</w:t>
                  </w:r>
                  <w:r>
                    <w:rPr>
                      <w:rFonts w:hint="default" w:ascii="Times New Roman" w:hAnsi="Times New Roman" w:eastAsia="宋体" w:cs="Times New Roman"/>
                      <w:color w:val="auto"/>
                      <w:spacing w:val="0"/>
                      <w:sz w:val="21"/>
                      <w:szCs w:val="21"/>
                      <w:highlight w:val="none"/>
                    </w:rPr>
                    <w:t>立即装袋、密封</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全部由专用车辆运送至污油泥临时储存点暂存，最终交由有资质单位进行妥善处理</w:t>
                  </w:r>
                </w:p>
              </w:tc>
              <w:tc>
                <w:tcPr>
                  <w:tcW w:w="1416" w:type="pct"/>
                  <w:tcBorders>
                    <w:tl2br w:val="nil"/>
                    <w:tr2bl w:val="nil"/>
                  </w:tcBorders>
                  <w:shd w:val="clear" w:color="auto" w:fill="auto"/>
                  <w:noWrap w:val="0"/>
                  <w:vAlign w:val="center"/>
                </w:tcPr>
                <w:p w14:paraId="159C48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eastAsia="zh-CN"/>
                    </w:rPr>
                    <w:t>含油压裂砂、</w:t>
                  </w:r>
                  <w:r>
                    <w:rPr>
                      <w:rFonts w:hint="default" w:ascii="Times New Roman" w:hAnsi="Times New Roman" w:eastAsia="宋体" w:cs="Times New Roman"/>
                      <w:color w:val="auto"/>
                      <w:spacing w:val="0"/>
                      <w:sz w:val="21"/>
                      <w:szCs w:val="21"/>
                      <w:highlight w:val="none"/>
                    </w:rPr>
                    <w:t>含油岩屑</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3282F2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63AAF4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284278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A6BAB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2F0229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372A91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生活垃圾</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集中收集</w:t>
                  </w:r>
                  <w:r>
                    <w:rPr>
                      <w:rFonts w:hint="eastAsia" w:ascii="Times New Roman" w:hAnsi="Times New Roman" w:eastAsia="宋体" w:cs="Times New Roman"/>
                      <w:color w:val="auto"/>
                      <w:spacing w:val="0"/>
                      <w:sz w:val="21"/>
                      <w:szCs w:val="21"/>
                      <w:highlight w:val="none"/>
                      <w:lang w:val="en-US" w:eastAsia="zh-CN"/>
                    </w:rPr>
                    <w:t>运至当地政府</w:t>
                  </w:r>
                  <w:r>
                    <w:rPr>
                      <w:rFonts w:hint="default" w:ascii="Times New Roman" w:hAnsi="Times New Roman" w:eastAsia="宋体" w:cs="Times New Roman"/>
                      <w:color w:val="auto"/>
                      <w:spacing w:val="0"/>
                      <w:sz w:val="21"/>
                      <w:szCs w:val="21"/>
                      <w:highlight w:val="none"/>
                      <w:lang w:val="en-US" w:eastAsia="zh-CN"/>
                    </w:rPr>
                    <w:t>部门</w:t>
                  </w:r>
                  <w:r>
                    <w:rPr>
                      <w:rFonts w:hint="eastAsia" w:ascii="Times New Roman" w:hAnsi="Times New Roman" w:eastAsia="宋体" w:cs="Times New Roman"/>
                      <w:color w:val="auto"/>
                      <w:spacing w:val="0"/>
                      <w:sz w:val="21"/>
                      <w:szCs w:val="21"/>
                      <w:highlight w:val="none"/>
                      <w:lang w:val="en-US" w:eastAsia="zh-CN"/>
                    </w:rPr>
                    <w:t>指定地点</w:t>
                  </w:r>
                  <w:r>
                    <w:rPr>
                      <w:rFonts w:hint="default" w:ascii="Times New Roman" w:hAnsi="Times New Roman" w:eastAsia="宋体" w:cs="Times New Roman"/>
                      <w:color w:val="auto"/>
                      <w:spacing w:val="0"/>
                      <w:sz w:val="21"/>
                      <w:szCs w:val="21"/>
                      <w:highlight w:val="none"/>
                      <w:lang w:val="en-US" w:eastAsia="zh-CN"/>
                    </w:rPr>
                    <w:t>处置</w:t>
                  </w:r>
                </w:p>
              </w:tc>
              <w:tc>
                <w:tcPr>
                  <w:tcW w:w="1416" w:type="pct"/>
                  <w:tcBorders>
                    <w:tl2br w:val="nil"/>
                    <w:tr2bl w:val="nil"/>
                  </w:tcBorders>
                  <w:shd w:val="clear" w:color="auto" w:fill="auto"/>
                  <w:noWrap w:val="0"/>
                  <w:vAlign w:val="center"/>
                </w:tcPr>
                <w:p w14:paraId="61D87E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施工场地设置生活垃圾箱（桶）收集后交由就近的</w:t>
                  </w:r>
                  <w:r>
                    <w:rPr>
                      <w:rFonts w:hint="eastAsia" w:ascii="Times New Roman" w:hAnsi="Times New Roman" w:eastAsia="宋体" w:cs="Times New Roman"/>
                      <w:color w:val="auto"/>
                      <w:spacing w:val="0"/>
                      <w:sz w:val="21"/>
                      <w:szCs w:val="21"/>
                      <w:highlight w:val="none"/>
                      <w:lang w:val="en-US" w:eastAsia="zh-CN"/>
                    </w:rPr>
                    <w:t>生活垃圾中转站，未产生二次污染</w:t>
                  </w:r>
                </w:p>
              </w:tc>
              <w:tc>
                <w:tcPr>
                  <w:tcW w:w="432" w:type="pct"/>
                  <w:tcBorders>
                    <w:tl2br w:val="nil"/>
                    <w:tr2bl w:val="nil"/>
                  </w:tcBorders>
                  <w:shd w:val="clear" w:color="auto" w:fill="auto"/>
                  <w:noWrap w:val="0"/>
                  <w:vAlign w:val="center"/>
                </w:tcPr>
                <w:p w14:paraId="3EB2AD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2EF73B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w:t>
                  </w:r>
                </w:p>
              </w:tc>
            </w:tr>
            <w:tr w14:paraId="3CF149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283" w:hRule="atLeast"/>
                <w:jc w:val="center"/>
              </w:trPr>
              <w:tc>
                <w:tcPr>
                  <w:tcW w:w="258" w:type="pct"/>
                  <w:vMerge w:val="continue"/>
                  <w:tcBorders>
                    <w:tl2br w:val="nil"/>
                    <w:tr2bl w:val="nil"/>
                  </w:tcBorders>
                  <w:noWrap w:val="0"/>
                  <w:vAlign w:val="center"/>
                </w:tcPr>
                <w:p w14:paraId="1DDD3B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noWrap w:val="0"/>
                  <w:vAlign w:val="center"/>
                </w:tcPr>
                <w:p w14:paraId="4BE4DFCA">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噪声治理</w:t>
                  </w:r>
                </w:p>
              </w:tc>
              <w:tc>
                <w:tcPr>
                  <w:tcW w:w="1584" w:type="pct"/>
                  <w:tcBorders>
                    <w:tl2br w:val="nil"/>
                    <w:tr2bl w:val="nil"/>
                  </w:tcBorders>
                  <w:noWrap w:val="0"/>
                  <w:vAlign w:val="center"/>
                </w:tcPr>
                <w:p w14:paraId="316B07BD">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eastAsia="zh-CN"/>
                    </w:rPr>
                    <w:t>合理布局、选用低噪设备；泥浆泵加衬弹性垫料，管理和作业过程中平稳操作，避免特种作业时产生非正常的噪声；柴油发电机设置基础减震等，</w:t>
                  </w:r>
                  <w:r>
                    <w:rPr>
                      <w:rFonts w:hint="default" w:ascii="Times New Roman" w:hAnsi="Times New Roman" w:eastAsia="宋体" w:cs="Times New Roman"/>
                      <w:bCs/>
                      <w:color w:val="auto"/>
                      <w:spacing w:val="0"/>
                      <w:sz w:val="21"/>
                      <w:szCs w:val="21"/>
                      <w:highlight w:val="none"/>
                      <w:lang w:val="en-US" w:eastAsia="zh-CN"/>
                    </w:rPr>
                    <w:t>运输车辆运输车辆可以通过加强管理、疏通道路、控制运输时间，减少鸣笛和防止车辆堵塞等方法减轻其影响。</w:t>
                  </w:r>
                </w:p>
              </w:tc>
              <w:tc>
                <w:tcPr>
                  <w:tcW w:w="1416" w:type="pct"/>
                  <w:tcBorders>
                    <w:tl2br w:val="nil"/>
                    <w:tr2bl w:val="nil"/>
                  </w:tcBorders>
                  <w:noWrap w:val="0"/>
                  <w:vAlign w:val="center"/>
                </w:tcPr>
                <w:p w14:paraId="191D2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bCs/>
                      <w:color w:val="auto"/>
                      <w:spacing w:val="0"/>
                      <w:sz w:val="21"/>
                      <w:szCs w:val="21"/>
                      <w:highlight w:val="none"/>
                      <w:lang w:val="en-US" w:eastAsia="zh-CN"/>
                    </w:rPr>
                    <w:t>施工过程</w:t>
                  </w:r>
                  <w:r>
                    <w:rPr>
                      <w:rFonts w:hint="default" w:ascii="Times New Roman" w:hAnsi="Times New Roman" w:eastAsia="宋体" w:cs="Times New Roman"/>
                      <w:bCs/>
                      <w:color w:val="auto"/>
                      <w:spacing w:val="0"/>
                      <w:sz w:val="21"/>
                      <w:szCs w:val="21"/>
                      <w:highlight w:val="none"/>
                      <w:lang w:eastAsia="zh-CN"/>
                    </w:rPr>
                    <w:t>合理布局、选用低噪设备；泥浆泵加衬弹性垫料，管理和作业过程中平稳操作，避免特种作业时产生非正常的噪声；柴油发电机设置基础减震等，</w:t>
                  </w:r>
                  <w:r>
                    <w:rPr>
                      <w:rFonts w:hint="default" w:ascii="Times New Roman" w:hAnsi="Times New Roman" w:eastAsia="宋体" w:cs="Times New Roman"/>
                      <w:bCs/>
                      <w:color w:val="auto"/>
                      <w:spacing w:val="0"/>
                      <w:sz w:val="21"/>
                      <w:szCs w:val="21"/>
                      <w:highlight w:val="none"/>
                      <w:lang w:val="en-US" w:eastAsia="zh-CN"/>
                    </w:rPr>
                    <w:t>运输车辆可以通过加强管理、疏通道路、控制运输时间，减少鸣笛和防止车辆堵塞等方法减轻其影响。</w:t>
                  </w:r>
                  <w:r>
                    <w:rPr>
                      <w:rFonts w:hint="default" w:ascii="Times New Roman" w:hAnsi="Times New Roman" w:eastAsia="宋体" w:cs="Times New Roman"/>
                      <w:color w:val="auto"/>
                      <w:spacing w:val="0"/>
                      <w:sz w:val="21"/>
                      <w:szCs w:val="21"/>
                      <w:highlight w:val="none"/>
                      <w:lang w:val="en-US" w:eastAsia="zh-CN"/>
                    </w:rPr>
                    <w:t>未出现投诉现象</w:t>
                  </w:r>
                </w:p>
              </w:tc>
              <w:tc>
                <w:tcPr>
                  <w:tcW w:w="432" w:type="pct"/>
                  <w:tcBorders>
                    <w:tl2br w:val="nil"/>
                    <w:tr2bl w:val="nil"/>
                  </w:tcBorders>
                  <w:noWrap w:val="0"/>
                  <w:vAlign w:val="center"/>
                </w:tcPr>
                <w:p w14:paraId="48C369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noWrap w:val="0"/>
                  <w:vAlign w:val="center"/>
                </w:tcPr>
                <w:p w14:paraId="1FEB55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pacing w:val="0"/>
                      <w:sz w:val="21"/>
                      <w:szCs w:val="21"/>
                      <w:highlight w:val="none"/>
                      <w:lang w:val="en-US" w:eastAsia="zh-CN"/>
                    </w:rPr>
                    <w:t>/</w:t>
                  </w:r>
                </w:p>
              </w:tc>
            </w:tr>
            <w:tr w14:paraId="48C458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17AA4523">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pacing w:val="0"/>
                      <w:kern w:val="21"/>
                      <w:sz w:val="21"/>
                      <w:szCs w:val="21"/>
                      <w:highlight w:val="none"/>
                    </w:rPr>
                  </w:pPr>
                  <w:r>
                    <w:rPr>
                      <w:rFonts w:hint="default" w:ascii="Times New Roman" w:hAnsi="Times New Roman"/>
                      <w:color w:val="auto"/>
                      <w:szCs w:val="21"/>
                    </w:rPr>
                    <w:t>土壤、地下水防范</w:t>
                  </w:r>
                  <w:r>
                    <w:rPr>
                      <w:rFonts w:hint="default" w:ascii="Times New Roman" w:hAnsi="Times New Roman"/>
                      <w:color w:val="auto"/>
                    </w:rPr>
                    <w:t>措施</w:t>
                  </w:r>
                </w:p>
              </w:tc>
              <w:tc>
                <w:tcPr>
                  <w:tcW w:w="1584" w:type="pct"/>
                  <w:tcBorders>
                    <w:tl2br w:val="nil"/>
                    <w:tr2bl w:val="nil"/>
                  </w:tcBorders>
                  <w:noWrap w:val="0"/>
                  <w:vAlign w:val="center"/>
                </w:tcPr>
                <w:p w14:paraId="05AF847F">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w:t>
                  </w:r>
                  <w:r>
                    <w:rPr>
                      <w:rFonts w:hint="eastAsia" w:ascii="Times New Roman" w:hAnsi="Times New Roman" w:eastAsia="宋体" w:cs="Times New Roman"/>
                      <w:color w:val="auto"/>
                      <w:kern w:val="2"/>
                      <w:sz w:val="21"/>
                      <w:szCs w:val="22"/>
                      <w:lang w:val="en-US" w:eastAsia="zh-CN" w:bidi="ar-SA"/>
                    </w:rPr>
                    <w:t>临时危废贮存库</w:t>
                  </w:r>
                  <w:r>
                    <w:rPr>
                      <w:rFonts w:hint="default" w:ascii="Times New Roman" w:hAnsi="Times New Roman" w:eastAsia="宋体" w:cs="Times New Roman"/>
                      <w:color w:val="auto"/>
                      <w:kern w:val="2"/>
                      <w:sz w:val="21"/>
                      <w:szCs w:val="22"/>
                      <w:lang w:val="en-US" w:eastAsia="zh-CN" w:bidi="ar-SA"/>
                    </w:rPr>
                    <w:t>等划分为重点防渗区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地面底部利用机械将衬层压实，铺设防渗材料（2.0</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，等效黏土防渗层Mb≥6.0m，K≤1×10</w:t>
                  </w:r>
                  <w:r>
                    <w:rPr>
                      <w:rFonts w:hint="eastAsia" w:ascii="Times New Roman" w:hAnsi="Times New Roman" w:eastAsia="宋体" w:cs="Times New Roman"/>
                      <w:color w:val="auto"/>
                      <w:kern w:val="2"/>
                      <w:sz w:val="21"/>
                      <w:szCs w:val="22"/>
                      <w:vertAlign w:val="superscript"/>
                      <w:lang w:val="en-US" w:eastAsia="zh-CN" w:bidi="ar-SA"/>
                    </w:rPr>
                    <w:t>-</w:t>
                  </w:r>
                  <w:r>
                    <w:rPr>
                      <w:rFonts w:hint="eastAsia" w:ascii="Times New Roman" w:hAnsi="Times New Roman" w:cs="Times New Roman"/>
                      <w:color w:val="auto"/>
                      <w:kern w:val="2"/>
                      <w:sz w:val="21"/>
                      <w:szCs w:val="22"/>
                      <w:vertAlign w:val="superscript"/>
                      <w:lang w:val="en-US" w:eastAsia="zh-CN" w:bidi="ar-SA"/>
                    </w:rPr>
                    <w:t>10</w:t>
                  </w:r>
                  <w:r>
                    <w:rPr>
                      <w:rFonts w:hint="eastAsia" w:ascii="Times New Roman" w:hAnsi="Times New Roman" w:eastAsia="宋体" w:cs="Times New Roman"/>
                      <w:color w:val="auto"/>
                      <w:kern w:val="2"/>
                      <w:sz w:val="21"/>
                      <w:szCs w:val="22"/>
                      <w:lang w:val="en-US" w:eastAsia="zh-CN" w:bidi="ar-SA"/>
                    </w:rPr>
                    <w:t>cm/s，参照执行《石油化工工程防渗技术规范》（GB/T50934-2013）；</w:t>
                  </w:r>
                </w:p>
                <w:p w14:paraId="40715106">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原辅材料存储区、环保厕所</w:t>
                  </w:r>
                  <w:r>
                    <w:rPr>
                      <w:rFonts w:hint="eastAsia" w:ascii="Times New Roman" w:hAnsi="Times New Roman" w:eastAsia="宋体" w:cs="Times New Roman"/>
                      <w:color w:val="auto"/>
                      <w:kern w:val="2"/>
                      <w:sz w:val="21"/>
                      <w:szCs w:val="22"/>
                      <w:lang w:val="en-US" w:eastAsia="zh-CN" w:bidi="ar-SA"/>
                    </w:rPr>
                    <w:t>、雨水导排渠</w:t>
                  </w:r>
                  <w:r>
                    <w:rPr>
                      <w:rFonts w:hint="default" w:ascii="Times New Roman" w:hAnsi="Times New Roman" w:eastAsia="宋体" w:cs="Times New Roman"/>
                      <w:color w:val="auto"/>
                      <w:kern w:val="2"/>
                      <w:sz w:val="21"/>
                      <w:szCs w:val="22"/>
                      <w:lang w:val="en-US" w:eastAsia="zh-CN" w:bidi="ar-SA"/>
                    </w:rPr>
                    <w:t>划分为一般防渗区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地面底部利用机械将衬层压实，铺设防渗材料（1.5</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cm/s，参照执行《石油化工工程防渗技术规范》（GB/T50934-2013）</w:t>
                  </w:r>
                  <w:r>
                    <w:rPr>
                      <w:rFonts w:hint="eastAsia" w:ascii="Times New Roman" w:hAnsi="Times New Roman" w:eastAsia="宋体" w:cs="Times New Roman"/>
                      <w:color w:val="auto"/>
                      <w:kern w:val="2"/>
                      <w:sz w:val="21"/>
                      <w:szCs w:val="22"/>
                      <w:lang w:val="en-US" w:eastAsia="zh-CN" w:bidi="ar-SA"/>
                    </w:rPr>
                    <w:t>；</w:t>
                  </w:r>
                </w:p>
                <w:p w14:paraId="4EB18D63">
                  <w:pPr>
                    <w:pStyle w:val="94"/>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w:t>
                  </w:r>
                  <w:r>
                    <w:rPr>
                      <w:rFonts w:hint="eastAsia" w:ascii="Times New Roman" w:hAnsi="Times New Roman" w:eastAsia="宋体" w:cs="Times New Roman"/>
                      <w:color w:val="auto"/>
                      <w:kern w:val="2"/>
                      <w:sz w:val="21"/>
                      <w:szCs w:val="22"/>
                      <w:lang w:val="en-US" w:eastAsia="zh-CN" w:bidi="ar-SA"/>
                    </w:rPr>
                    <w:t>，采用黏土碾压方式进行防渗</w:t>
                  </w:r>
                  <w:r>
                    <w:rPr>
                      <w:rFonts w:hint="default" w:ascii="Times New Roman" w:hAnsi="Times New Roman" w:eastAsia="宋体" w:cs="Times New Roman"/>
                      <w:color w:val="auto"/>
                      <w:kern w:val="2"/>
                      <w:sz w:val="21"/>
                      <w:szCs w:val="22"/>
                      <w:lang w:val="en-US" w:eastAsia="zh-CN" w:bidi="ar-SA"/>
                    </w:rPr>
                    <w:t>。</w:t>
                  </w:r>
                </w:p>
              </w:tc>
              <w:tc>
                <w:tcPr>
                  <w:tcW w:w="1416" w:type="pct"/>
                  <w:tcBorders>
                    <w:tl2br w:val="nil"/>
                    <w:tr2bl w:val="nil"/>
                  </w:tcBorders>
                  <w:noWrap w:val="0"/>
                  <w:vAlign w:val="center"/>
                </w:tcPr>
                <w:p w14:paraId="3534C2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w:t>
                  </w:r>
                  <w:r>
                    <w:rPr>
                      <w:rFonts w:hint="eastAsia" w:ascii="Times New Roman" w:hAnsi="Times New Roman" w:eastAsia="宋体" w:cs="Times New Roman"/>
                      <w:color w:val="auto"/>
                      <w:kern w:val="2"/>
                      <w:sz w:val="21"/>
                      <w:szCs w:val="22"/>
                      <w:lang w:val="en-US" w:eastAsia="zh-CN" w:bidi="ar-SA"/>
                    </w:rPr>
                    <w:t>临时危废贮存库</w:t>
                  </w:r>
                  <w:r>
                    <w:rPr>
                      <w:rFonts w:hint="default" w:ascii="Times New Roman" w:hAnsi="Times New Roman" w:eastAsia="宋体" w:cs="Times New Roman"/>
                      <w:color w:val="auto"/>
                      <w:kern w:val="2"/>
                      <w:sz w:val="21"/>
                      <w:szCs w:val="22"/>
                      <w:lang w:val="en-US" w:eastAsia="zh-CN" w:bidi="ar-SA"/>
                    </w:rPr>
                    <w:t>等划分为重点防渗区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铺设防渗材料（2.0</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等效黏土防渗层Mb≥6.0m，K≤1×10</w:t>
                  </w:r>
                  <w:r>
                    <w:rPr>
                      <w:rFonts w:hint="eastAsia" w:ascii="Times New Roman" w:hAnsi="Times New Roman" w:eastAsia="宋体" w:cs="Times New Roman"/>
                      <w:color w:val="auto"/>
                      <w:kern w:val="2"/>
                      <w:sz w:val="21"/>
                      <w:szCs w:val="22"/>
                      <w:vertAlign w:val="superscript"/>
                      <w:lang w:val="en-US" w:eastAsia="zh-CN" w:bidi="ar-SA"/>
                    </w:rPr>
                    <w:t>-</w:t>
                  </w:r>
                  <w:r>
                    <w:rPr>
                      <w:rFonts w:hint="eastAsia" w:ascii="Times New Roman" w:hAnsi="Times New Roman" w:cs="Times New Roman"/>
                      <w:color w:val="auto"/>
                      <w:kern w:val="2"/>
                      <w:sz w:val="21"/>
                      <w:szCs w:val="22"/>
                      <w:vertAlign w:val="superscript"/>
                      <w:lang w:val="en-US" w:eastAsia="zh-CN" w:bidi="ar-SA"/>
                    </w:rPr>
                    <w:t>10</w:t>
                  </w:r>
                  <w:r>
                    <w:rPr>
                      <w:rFonts w:hint="eastAsia" w:ascii="Times New Roman" w:hAnsi="Times New Roman" w:eastAsia="宋体" w:cs="Times New Roman"/>
                      <w:color w:val="auto"/>
                      <w:kern w:val="2"/>
                      <w:sz w:val="21"/>
                      <w:szCs w:val="22"/>
                      <w:lang w:val="en-US" w:eastAsia="zh-CN" w:bidi="ar-SA"/>
                    </w:rPr>
                    <w:t>cm/s；</w:t>
                  </w:r>
                  <w:r>
                    <w:rPr>
                      <w:rFonts w:hint="default" w:ascii="Times New Roman" w:hAnsi="Times New Roman" w:eastAsia="宋体" w:cs="Times New Roman"/>
                      <w:color w:val="auto"/>
                      <w:kern w:val="2"/>
                      <w:sz w:val="21"/>
                      <w:szCs w:val="22"/>
                      <w:lang w:val="en-US" w:eastAsia="zh-CN" w:bidi="ar-SA"/>
                    </w:rPr>
                    <w:t>辅材料存储区、环保厕所</w:t>
                  </w:r>
                  <w:r>
                    <w:rPr>
                      <w:rFonts w:hint="eastAsia" w:ascii="Times New Roman" w:hAnsi="Times New Roman" w:eastAsia="宋体" w:cs="Times New Roman"/>
                      <w:color w:val="auto"/>
                      <w:kern w:val="2"/>
                      <w:sz w:val="21"/>
                      <w:szCs w:val="22"/>
                      <w:lang w:val="en-US" w:eastAsia="zh-CN" w:bidi="ar-SA"/>
                    </w:rPr>
                    <w:t>、雨水导排渠</w:t>
                  </w:r>
                  <w:r>
                    <w:rPr>
                      <w:rFonts w:hint="default" w:ascii="Times New Roman" w:hAnsi="Times New Roman" w:eastAsia="宋体" w:cs="Times New Roman"/>
                      <w:color w:val="auto"/>
                      <w:kern w:val="2"/>
                      <w:sz w:val="21"/>
                      <w:szCs w:val="22"/>
                      <w:lang w:val="en-US" w:eastAsia="zh-CN" w:bidi="ar-SA"/>
                    </w:rPr>
                    <w:t>划分为一般防渗区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地面底部利用机械将衬层压实，铺设防渗材料（1.5</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w:t>
                  </w:r>
                  <w:r>
                    <w:rPr>
                      <w:rFonts w:hint="eastAsia" w:ascii="Times New Roman" w:hAnsi="Times New Roman" w:eastAsia="宋体" w:cs="Times New Roman"/>
                      <w:color w:val="auto"/>
                      <w:kern w:val="2"/>
                      <w:sz w:val="21"/>
                      <w:szCs w:val="22"/>
                      <w:lang w:val="en-US" w:eastAsia="zh-CN" w:bidi="ar-SA"/>
                    </w:rPr>
                    <w:t>，采用黏土碾压方式进行防渗</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满足防渗要求</w:t>
                  </w:r>
                  <w:r>
                    <w:rPr>
                      <w:rFonts w:hint="eastAsia" w:ascii="Times New Roman" w:hAnsi="Times New Roman" w:eastAsia="宋体" w:cs="Times New Roman"/>
                      <w:color w:val="auto"/>
                      <w:sz w:val="21"/>
                      <w:szCs w:val="21"/>
                      <w:lang w:eastAsia="zh-CN"/>
                    </w:rPr>
                    <w:t>，制定各类固废的管理制度进行严格管理，建立</w:t>
                  </w:r>
                  <w:r>
                    <w:rPr>
                      <w:rFonts w:hint="eastAsia" w:ascii="Times New Roman" w:hAnsi="Times New Roman" w:eastAsia="宋体" w:cs="Times New Roman"/>
                      <w:color w:val="auto"/>
                      <w:sz w:val="21"/>
                      <w:szCs w:val="21"/>
                      <w:lang w:val="en-US" w:eastAsia="zh-CN"/>
                    </w:rPr>
                    <w:t>了</w:t>
                  </w:r>
                  <w:r>
                    <w:rPr>
                      <w:rFonts w:hint="eastAsia" w:ascii="Times New Roman" w:hAnsi="Times New Roman" w:eastAsia="宋体" w:cs="Times New Roman"/>
                      <w:color w:val="auto"/>
                      <w:sz w:val="21"/>
                      <w:szCs w:val="21"/>
                      <w:lang w:eastAsia="zh-CN"/>
                    </w:rPr>
                    <w:t>各类台账及转移联单。</w:t>
                  </w:r>
                </w:p>
              </w:tc>
              <w:tc>
                <w:tcPr>
                  <w:tcW w:w="432" w:type="pct"/>
                  <w:tcBorders>
                    <w:tl2br w:val="nil"/>
                    <w:tr2bl w:val="nil"/>
                  </w:tcBorders>
                  <w:noWrap w:val="0"/>
                  <w:vAlign w:val="center"/>
                </w:tcPr>
                <w:p w14:paraId="317925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noWrap w:val="0"/>
                  <w:vAlign w:val="center"/>
                </w:tcPr>
                <w:p w14:paraId="4F9C0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w:t>
                  </w:r>
                </w:p>
              </w:tc>
            </w:tr>
            <w:tr w14:paraId="5DE5DA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vMerge w:val="restart"/>
                  <w:tcBorders>
                    <w:tl2br w:val="nil"/>
                    <w:tr2bl w:val="nil"/>
                  </w:tcBorders>
                  <w:shd w:val="clear" w:color="auto" w:fill="auto"/>
                  <w:noWrap w:val="0"/>
                  <w:vAlign w:val="center"/>
                </w:tcPr>
                <w:p w14:paraId="2B433294">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bookmarkStart w:id="4" w:name="OLE_LINK1" w:colFirst="2" w:colLast="2"/>
                  <w:r>
                    <w:rPr>
                      <w:rFonts w:hint="default" w:ascii="Times New Roman" w:hAnsi="Times New Roman"/>
                      <w:color w:val="auto"/>
                    </w:rPr>
                    <w:t>风险防范</w:t>
                  </w:r>
                  <w:r>
                    <w:rPr>
                      <w:rFonts w:hint="eastAsia" w:ascii="Times New Roman" w:hAnsi="Times New Roman"/>
                      <w:color w:val="auto"/>
                      <w:lang w:val="en-US" w:eastAsia="zh-CN"/>
                    </w:rPr>
                    <w:t>措施</w:t>
                  </w:r>
                </w:p>
              </w:tc>
              <w:tc>
                <w:tcPr>
                  <w:tcW w:w="1584" w:type="pct"/>
                  <w:tcBorders>
                    <w:tl2br w:val="nil"/>
                    <w:tr2bl w:val="nil"/>
                  </w:tcBorders>
                  <w:shd w:val="clear" w:color="auto" w:fill="auto"/>
                  <w:noWrap w:val="0"/>
                  <w:vAlign w:val="center"/>
                </w:tcPr>
                <w:p w14:paraId="20535A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lang w:val="en-US" w:eastAsia="zh-CN" w:bidi="ar-SA"/>
                    </w:rPr>
                    <w:t>项目区设置灭火器、正压式呼吸器、便携式可燃气体检测仪等</w:t>
                  </w:r>
                </w:p>
              </w:tc>
              <w:tc>
                <w:tcPr>
                  <w:tcW w:w="1416" w:type="pct"/>
                  <w:tcBorders>
                    <w:tl2br w:val="nil"/>
                    <w:tr2bl w:val="nil"/>
                  </w:tcBorders>
                  <w:noWrap w:val="0"/>
                  <w:vAlign w:val="center"/>
                </w:tcPr>
                <w:p w14:paraId="4597C6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施工期间，</w:t>
                  </w:r>
                  <w:r>
                    <w:rPr>
                      <w:rFonts w:hint="eastAsia" w:ascii="Times New Roman" w:hAnsi="Times New Roman" w:eastAsia="宋体" w:cs="Times New Roman"/>
                      <w:color w:val="auto"/>
                      <w:kern w:val="2"/>
                      <w:sz w:val="21"/>
                      <w:szCs w:val="22"/>
                      <w:lang w:val="en-US" w:eastAsia="zh-CN" w:bidi="ar-SA"/>
                    </w:rPr>
                    <w:t>项目区设置灭火器、正压式呼吸器、便携式可燃气体检测仪等</w:t>
                  </w:r>
                </w:p>
              </w:tc>
              <w:tc>
                <w:tcPr>
                  <w:tcW w:w="432" w:type="pct"/>
                  <w:tcBorders>
                    <w:tl2br w:val="nil"/>
                    <w:tr2bl w:val="nil"/>
                  </w:tcBorders>
                  <w:shd w:val="clear" w:color="auto" w:fill="auto"/>
                  <w:noWrap w:val="0"/>
                  <w:vAlign w:val="center"/>
                </w:tcPr>
                <w:p w14:paraId="5DDC2C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shd w:val="clear" w:color="auto" w:fill="auto"/>
                  <w:noWrap w:val="0"/>
                  <w:vAlign w:val="center"/>
                </w:tcPr>
                <w:p w14:paraId="5542B3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w:t>
                  </w:r>
                </w:p>
              </w:tc>
            </w:tr>
            <w:tr w14:paraId="53B3E1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vMerge w:val="continue"/>
                  <w:tcBorders>
                    <w:tl2br w:val="nil"/>
                    <w:tr2bl w:val="nil"/>
                  </w:tcBorders>
                  <w:noWrap w:val="0"/>
                  <w:vAlign w:val="center"/>
                </w:tcPr>
                <w:p w14:paraId="5EB7776E">
                  <w:pPr>
                    <w:pStyle w:val="94"/>
                    <w:keepNext w:val="0"/>
                    <w:keepLines w:val="0"/>
                    <w:suppressLineNumbers w:val="0"/>
                    <w:spacing w:before="0" w:beforeAutospacing="0" w:after="0" w:afterAutospacing="0"/>
                    <w:ind w:left="0" w:right="0"/>
                    <w:jc w:val="center"/>
                    <w:rPr>
                      <w:rFonts w:hint="default" w:ascii="Times New Roman" w:hAnsi="Times New Roman"/>
                      <w:color w:val="auto"/>
                      <w:szCs w:val="21"/>
                    </w:rPr>
                  </w:pPr>
                </w:p>
              </w:tc>
              <w:tc>
                <w:tcPr>
                  <w:tcW w:w="1584" w:type="pct"/>
                  <w:tcBorders>
                    <w:tl2br w:val="nil"/>
                    <w:tr2bl w:val="nil"/>
                  </w:tcBorders>
                  <w:shd w:val="clear" w:color="auto" w:fill="auto"/>
                  <w:noWrap w:val="0"/>
                  <w:vAlign w:val="center"/>
                </w:tcPr>
                <w:p w14:paraId="6D3034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井场内设置30m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初期雨水收集罐、30m</w:t>
                  </w:r>
                  <w:r>
                    <w:rPr>
                      <w:rFonts w:hint="default" w:ascii="Times New Roman" w:hAnsi="Times New Roman" w:eastAsia="宋体" w:cs="Times New Roman"/>
                      <w:color w:val="auto"/>
                      <w:kern w:val="2"/>
                      <w:sz w:val="21"/>
                      <w:szCs w:val="22"/>
                      <w:vertAlign w:val="superscript"/>
                      <w:lang w:val="en-US" w:eastAsia="zh-CN" w:bidi="ar-SA"/>
                    </w:rPr>
                    <w:t>3</w:t>
                  </w:r>
                  <w:r>
                    <w:rPr>
                      <w:rFonts w:hint="eastAsia" w:ascii="Times New Roman" w:hAnsi="Times New Roman" w:eastAsia="宋体" w:cs="Times New Roman"/>
                      <w:color w:val="auto"/>
                      <w:kern w:val="2"/>
                      <w:sz w:val="21"/>
                      <w:szCs w:val="22"/>
                      <w:lang w:val="en-US" w:eastAsia="zh-CN" w:bidi="ar-SA"/>
                    </w:rPr>
                    <w:t>污油罐（兼作事故罐）</w:t>
                  </w:r>
                  <w:r>
                    <w:rPr>
                      <w:rFonts w:hint="default" w:ascii="Times New Roman" w:hAnsi="Times New Roman" w:eastAsia="宋体" w:cs="Times New Roman"/>
                      <w:color w:val="auto"/>
                      <w:kern w:val="2"/>
                      <w:sz w:val="21"/>
                      <w:szCs w:val="22"/>
                      <w:lang w:val="en-US" w:eastAsia="zh-CN" w:bidi="ar-SA"/>
                    </w:rPr>
                    <w:t>，井场四周设置不低于20cm的土围堰，且井场大门处修建挡土梁</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废过硫酸钾包装袋、废弃防渗布（沾落地油）、落地油、废机油、废润滑油、废含油抹布</w:t>
                  </w:r>
                  <w:r>
                    <w:rPr>
                      <w:rFonts w:hint="eastAsia" w:ascii="Times New Roman" w:hAnsi="Times New Roman" w:eastAsia="宋体" w:cs="Times New Roman"/>
                      <w:color w:val="auto"/>
                      <w:kern w:val="2"/>
                      <w:sz w:val="21"/>
                      <w:szCs w:val="22"/>
                      <w:lang w:val="en-US" w:eastAsia="zh-CN" w:bidi="ar-SA"/>
                    </w:rPr>
                    <w:t>、含油压裂砂</w:t>
                  </w:r>
                  <w:r>
                    <w:rPr>
                      <w:rFonts w:hint="default" w:ascii="Times New Roman" w:hAnsi="Times New Roman" w:eastAsia="宋体" w:cs="Times New Roman"/>
                      <w:color w:val="auto"/>
                      <w:kern w:val="2"/>
                      <w:sz w:val="21"/>
                      <w:szCs w:val="22"/>
                      <w:lang w:val="en-US" w:eastAsia="zh-CN" w:bidi="ar-SA"/>
                    </w:rPr>
                    <w:t>暂存于临时危废贮存库</w:t>
                  </w:r>
                  <w:r>
                    <w:rPr>
                      <w:rFonts w:hint="eastAsia" w:ascii="Times New Roman" w:hAnsi="Times New Roman" w:eastAsia="宋体" w:cs="Times New Roman"/>
                      <w:color w:val="auto"/>
                      <w:kern w:val="2"/>
                      <w:sz w:val="21"/>
                      <w:szCs w:val="22"/>
                      <w:lang w:val="en-US" w:eastAsia="zh-CN" w:bidi="ar-SA"/>
                    </w:rPr>
                    <w:t>；含油压裂砂、含油岩屑</w:t>
                  </w:r>
                  <w:r>
                    <w:rPr>
                      <w:rFonts w:hint="default" w:ascii="Times New Roman" w:hAnsi="Times New Roman" w:eastAsia="宋体" w:cs="Times New Roman"/>
                      <w:color w:val="auto"/>
                      <w:kern w:val="2"/>
                      <w:sz w:val="21"/>
                      <w:szCs w:val="22"/>
                      <w:lang w:val="en-US" w:eastAsia="zh-CN" w:bidi="ar-SA"/>
                    </w:rPr>
                    <w:t>收集至</w:t>
                  </w:r>
                  <w:r>
                    <w:rPr>
                      <w:rFonts w:hint="eastAsia" w:ascii="Times New Roman" w:hAnsi="Times New Roman" w:eastAsia="宋体" w:cs="Times New Roman"/>
                      <w:color w:val="auto"/>
                      <w:kern w:val="2"/>
                      <w:sz w:val="21"/>
                      <w:szCs w:val="22"/>
                      <w:lang w:val="en-US" w:eastAsia="zh-CN" w:bidi="ar-SA"/>
                    </w:rPr>
                    <w:t>油泥</w:t>
                  </w:r>
                  <w:r>
                    <w:rPr>
                      <w:rFonts w:hint="default" w:ascii="Times New Roman" w:hAnsi="Times New Roman" w:eastAsia="宋体" w:cs="Times New Roman"/>
                      <w:color w:val="auto"/>
                      <w:kern w:val="2"/>
                      <w:sz w:val="21"/>
                      <w:szCs w:val="22"/>
                      <w:lang w:val="en-US" w:eastAsia="zh-CN" w:bidi="ar-SA"/>
                    </w:rPr>
                    <w:t>暂存点暂存后，定期委托有资质单位外运处置</w:t>
                  </w:r>
                </w:p>
              </w:tc>
              <w:tc>
                <w:tcPr>
                  <w:tcW w:w="1416" w:type="pct"/>
                  <w:tcBorders>
                    <w:tl2br w:val="nil"/>
                    <w:tr2bl w:val="nil"/>
                  </w:tcBorders>
                  <w:noWrap w:val="0"/>
                  <w:vAlign w:val="center"/>
                </w:tcPr>
                <w:p w14:paraId="5DDA7E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kern w:val="2"/>
                      <w:sz w:val="21"/>
                      <w:szCs w:val="22"/>
                      <w:lang w:val="en-US" w:eastAsia="zh-CN" w:bidi="ar-SA"/>
                    </w:rPr>
                    <w:t>井</w:t>
                  </w:r>
                  <w:r>
                    <w:rPr>
                      <w:rFonts w:hint="default" w:ascii="Times New Roman" w:hAnsi="Times New Roman" w:eastAsia="宋体" w:cs="Times New Roman"/>
                      <w:color w:val="auto"/>
                      <w:kern w:val="2"/>
                      <w:sz w:val="21"/>
                      <w:szCs w:val="22"/>
                      <w:lang w:val="en-US" w:eastAsia="zh-CN" w:bidi="ar-SA"/>
                    </w:rPr>
                    <w:t>场内设置30m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初期雨水收集罐、30m</w:t>
                  </w:r>
                  <w:r>
                    <w:rPr>
                      <w:rFonts w:hint="default" w:ascii="Times New Roman" w:hAnsi="Times New Roman" w:eastAsia="宋体" w:cs="Times New Roman"/>
                      <w:color w:val="auto"/>
                      <w:kern w:val="2"/>
                      <w:sz w:val="21"/>
                      <w:szCs w:val="22"/>
                      <w:vertAlign w:val="superscript"/>
                      <w:lang w:val="en-US" w:eastAsia="zh-CN" w:bidi="ar-SA"/>
                    </w:rPr>
                    <w:t>3</w:t>
                  </w:r>
                  <w:r>
                    <w:rPr>
                      <w:rFonts w:hint="eastAsia" w:ascii="Times New Roman" w:hAnsi="Times New Roman" w:eastAsia="宋体" w:cs="Times New Roman"/>
                      <w:color w:val="auto"/>
                      <w:kern w:val="2"/>
                      <w:sz w:val="21"/>
                      <w:szCs w:val="22"/>
                      <w:lang w:val="en-US" w:eastAsia="zh-CN" w:bidi="ar-SA"/>
                    </w:rPr>
                    <w:t>污油罐（兼作事故罐）</w:t>
                  </w:r>
                  <w:r>
                    <w:rPr>
                      <w:rFonts w:hint="default" w:ascii="Times New Roman" w:hAnsi="Times New Roman" w:eastAsia="宋体" w:cs="Times New Roman"/>
                      <w:color w:val="auto"/>
                      <w:kern w:val="2"/>
                      <w:sz w:val="21"/>
                      <w:szCs w:val="22"/>
                      <w:lang w:val="en-US" w:eastAsia="zh-CN" w:bidi="ar-SA"/>
                    </w:rPr>
                    <w:t>，</w:t>
                  </w:r>
                  <w:r>
                    <w:rPr>
                      <w:rFonts w:hint="default" w:ascii="Times New Roman" w:hAnsi="Times New Roman" w:cs="Times New Roman" w:eastAsiaTheme="minorEastAsia"/>
                      <w:color w:val="0000FF"/>
                      <w:sz w:val="21"/>
                      <w:szCs w:val="21"/>
                      <w:lang w:val="en-US" w:eastAsia="zh-CN"/>
                    </w:rPr>
                    <w:t>防渗布四周设20cm高围堰，井场周围设20cm的土围堰</w:t>
                  </w:r>
                  <w:r>
                    <w:rPr>
                      <w:rFonts w:hint="default" w:ascii="Times New Roman" w:hAnsi="Times New Roman" w:eastAsia="宋体" w:cs="Times New Roman"/>
                      <w:color w:val="0000FF"/>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且井场大门处修建挡土梁</w:t>
                  </w:r>
                  <w:r>
                    <w:rPr>
                      <w:rFonts w:hint="eastAsia" w:ascii="Times New Roman" w:hAnsi="Times New Roman" w:eastAsia="宋体" w:cs="Times New Roman"/>
                      <w:color w:val="auto"/>
                      <w:kern w:val="2"/>
                      <w:sz w:val="21"/>
                      <w:szCs w:val="22"/>
                      <w:lang w:val="en-US" w:eastAsia="zh-CN" w:bidi="ar-SA"/>
                    </w:rPr>
                    <w:t>；</w:t>
                  </w:r>
                  <w:r>
                    <w:rPr>
                      <w:rFonts w:hint="eastAsia" w:ascii="Times New Roman" w:hAnsi="Times New Roman" w:eastAsia="宋体" w:cs="Times New Roman"/>
                      <w:color w:val="auto"/>
                      <w:spacing w:val="0"/>
                      <w:sz w:val="21"/>
                      <w:szCs w:val="21"/>
                      <w:highlight w:val="none"/>
                      <w:lang w:val="en-US" w:eastAsia="zh-CN" w:bidi="ar-SA"/>
                    </w:rPr>
                    <w:t>废机油、废润滑油委托平凉海螺环保科技有限责任公司外运处置；</w:t>
                  </w:r>
                  <w:r>
                    <w:rPr>
                      <w:rFonts w:hint="eastAsia" w:ascii="Times New Roman" w:hAnsi="Times New Roman" w:eastAsia="宋体" w:cs="Times New Roman"/>
                      <w:color w:val="auto"/>
                      <w:kern w:val="2"/>
                      <w:sz w:val="21"/>
                      <w:szCs w:val="22"/>
                      <w:lang w:val="en-US" w:eastAsia="zh-CN" w:bidi="ar-SA"/>
                    </w:rPr>
                    <w:t>其他危险废物收集暂存于临时危废贮存库后，运至</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eastAsia" w:ascii="Times New Roman" w:hAnsi="Times New Roman" w:eastAsia="宋体" w:cs="Times New Roman"/>
                      <w:color w:val="auto"/>
                      <w:kern w:val="2"/>
                      <w:sz w:val="21"/>
                      <w:szCs w:val="22"/>
                      <w:lang w:val="en-US" w:eastAsia="zh-CN" w:bidi="ar-SA"/>
                    </w:rPr>
                    <w:t>处置。</w:t>
                  </w:r>
                </w:p>
              </w:tc>
              <w:tc>
                <w:tcPr>
                  <w:tcW w:w="432" w:type="pct"/>
                  <w:tcBorders>
                    <w:tl2br w:val="nil"/>
                    <w:tr2bl w:val="nil"/>
                  </w:tcBorders>
                  <w:shd w:val="clear" w:color="auto" w:fill="auto"/>
                  <w:noWrap w:val="0"/>
                  <w:vAlign w:val="center"/>
                </w:tcPr>
                <w:p w14:paraId="1BD267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shd w:val="clear" w:color="auto" w:fill="auto"/>
                  <w:noWrap w:val="0"/>
                  <w:vAlign w:val="center"/>
                </w:tcPr>
                <w:p w14:paraId="2C02F6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w:t>
                  </w:r>
                </w:p>
              </w:tc>
            </w:tr>
            <w:bookmarkEnd w:id="4"/>
            <w:tr w14:paraId="3182E6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66944609">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lang w:val="en-US" w:eastAsia="zh-CN" w:bidi="ar-SA"/>
                    </w:rPr>
                    <w:t>生态恢复</w:t>
                  </w:r>
                </w:p>
              </w:tc>
              <w:tc>
                <w:tcPr>
                  <w:tcW w:w="1584" w:type="pct"/>
                  <w:tcBorders>
                    <w:tl2br w:val="nil"/>
                    <w:tr2bl w:val="nil"/>
                  </w:tcBorders>
                  <w:noWrap w:val="0"/>
                  <w:vAlign w:val="center"/>
                </w:tcPr>
                <w:p w14:paraId="57ED7922">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本项目需生态恢复的面积为无开发利用价值的评价井的临时占地面积，具体恢复面积由勘探结果确定。</w:t>
                  </w:r>
                </w:p>
              </w:tc>
              <w:tc>
                <w:tcPr>
                  <w:tcW w:w="1416" w:type="pct"/>
                  <w:tcBorders>
                    <w:tl2br w:val="nil"/>
                    <w:tr2bl w:val="nil"/>
                  </w:tcBorders>
                  <w:noWrap w:val="0"/>
                  <w:vAlign w:val="center"/>
                </w:tcPr>
                <w:p w14:paraId="3CF967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spacing w:val="0"/>
                      <w:kern w:val="21"/>
                      <w:sz w:val="21"/>
                      <w:szCs w:val="21"/>
                      <w:highlight w:val="none"/>
                      <w:lang w:val="en-US" w:eastAsia="zh-CN"/>
                    </w:rPr>
                    <w:t>JH2P42、JH2P44、良平101H场地已恢复平整</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井口进行临时关井，待转产，除预留转为生产开发所需的面积外，对其余临时占地进行了恢复</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w:t>
                  </w:r>
                  <w:r>
                    <w:rPr>
                      <w:rFonts w:hint="eastAsia" w:ascii="Times New Roman" w:hAnsi="Times New Roman" w:eastAsia="宋体" w:cs="Times New Roman"/>
                      <w:color w:val="auto"/>
                      <w:spacing w:val="0"/>
                      <w:kern w:val="21"/>
                      <w:sz w:val="21"/>
                      <w:szCs w:val="21"/>
                      <w:highlight w:val="none"/>
                      <w:lang w:val="en-US" w:eastAsia="zh-CN" w:bidi="ar-SA"/>
                    </w:rPr>
                    <w:t>了</w:t>
                  </w:r>
                  <w:r>
                    <w:rPr>
                      <w:rFonts w:hint="default" w:ascii="Times New Roman" w:hAnsi="Times New Roman" w:eastAsia="宋体" w:cs="Times New Roman"/>
                      <w:color w:val="auto"/>
                      <w:spacing w:val="0"/>
                      <w:kern w:val="21"/>
                      <w:sz w:val="21"/>
                      <w:szCs w:val="21"/>
                      <w:highlight w:val="none"/>
                      <w:lang w:val="en-US" w:eastAsia="zh-CN" w:bidi="ar-SA"/>
                    </w:rPr>
                    <w:t>绿化</w:t>
                  </w:r>
                  <w:r>
                    <w:rPr>
                      <w:rFonts w:hint="eastAsia" w:ascii="Times New Roman" w:hAnsi="Times New Roman" w:eastAsia="宋体" w:cs="Times New Roman"/>
                      <w:color w:val="auto"/>
                      <w:spacing w:val="0"/>
                      <w:kern w:val="21"/>
                      <w:sz w:val="21"/>
                      <w:szCs w:val="21"/>
                      <w:highlight w:val="none"/>
                      <w:lang w:val="en-US" w:eastAsia="zh-CN" w:bidi="ar-SA"/>
                    </w:rPr>
                    <w:t>；</w:t>
                  </w:r>
                  <w:r>
                    <w:rPr>
                      <w:rFonts w:hint="default" w:ascii="Times New Roman" w:hAnsi="Times New Roman" w:eastAsia="宋体" w:cs="Times New Roman"/>
                      <w:color w:val="auto"/>
                      <w:spacing w:val="0"/>
                      <w:kern w:val="21"/>
                      <w:sz w:val="21"/>
                      <w:szCs w:val="21"/>
                      <w:highlight w:val="none"/>
                      <w:lang w:val="en-US" w:eastAsia="zh-CN"/>
                    </w:rPr>
                    <w:t>长探105</w:t>
                  </w:r>
                  <w:r>
                    <w:rPr>
                      <w:rFonts w:hint="eastAsia" w:ascii="Times New Roman" w:hAnsi="Times New Roman" w:eastAsia="宋体" w:cs="Times New Roman"/>
                      <w:color w:val="auto"/>
                      <w:spacing w:val="0"/>
                      <w:kern w:val="21"/>
                      <w:sz w:val="21"/>
                      <w:szCs w:val="21"/>
                      <w:highlight w:val="none"/>
                      <w:lang w:val="en-US" w:eastAsia="zh-CN"/>
                    </w:rPr>
                    <w:t>已永久封井，</w:t>
                  </w:r>
                  <w:r>
                    <w:rPr>
                      <w:rFonts w:hint="eastAsia" w:ascii="Times New Roman" w:hAnsi="Times New Roman" w:eastAsia="宋体" w:cs="Times New Roman"/>
                      <w:color w:val="auto"/>
                      <w:sz w:val="21"/>
                      <w:szCs w:val="21"/>
                      <w:highlight w:val="none"/>
                      <w:lang w:val="en-US" w:eastAsia="zh-CN"/>
                    </w:rPr>
                    <w:t>除井口外其余占地已平整并进行了绿化</w:t>
                  </w:r>
                  <w:r>
                    <w:rPr>
                      <w:rFonts w:hint="eastAsia" w:ascii="Times New Roman" w:hAnsi="Times New Roman" w:eastAsia="宋体" w:cs="Times New Roman"/>
                      <w:color w:val="auto"/>
                      <w:spacing w:val="0"/>
                      <w:kern w:val="21"/>
                      <w:sz w:val="21"/>
                      <w:szCs w:val="21"/>
                      <w:highlight w:val="none"/>
                      <w:lang w:val="en-US" w:eastAsia="zh-CN"/>
                    </w:rPr>
                    <w:t>。</w:t>
                  </w:r>
                </w:p>
              </w:tc>
              <w:tc>
                <w:tcPr>
                  <w:tcW w:w="432" w:type="pct"/>
                  <w:tcBorders>
                    <w:tl2br w:val="nil"/>
                    <w:tr2bl w:val="nil"/>
                  </w:tcBorders>
                  <w:noWrap w:val="0"/>
                  <w:vAlign w:val="center"/>
                </w:tcPr>
                <w:p w14:paraId="27C7AB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一致</w:t>
                  </w:r>
                </w:p>
              </w:tc>
              <w:tc>
                <w:tcPr>
                  <w:tcW w:w="902" w:type="pct"/>
                  <w:tcBorders>
                    <w:tl2br w:val="nil"/>
                    <w:tr2bl w:val="nil"/>
                  </w:tcBorders>
                  <w:noWrap w:val="0"/>
                  <w:vAlign w:val="center"/>
                </w:tcPr>
                <w:p w14:paraId="0E2953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w:t>
                  </w:r>
                </w:p>
              </w:tc>
            </w:tr>
          </w:tbl>
          <w:p w14:paraId="67F7BC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4BAB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21788D8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4.2实际工程量及工程建设变化情况，说明工程变化原因</w:t>
            </w:r>
          </w:p>
          <w:p w14:paraId="7001663B">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根据本项目实际情况、环评审查意见、《关于印发环评管理中部分行业建设项目重大变动清单的通知》（环办〔2015〕52号）、《建设项目环境保护管理条例》（国务院令第682号）及《关于进一步加强石油天然气行业环境影响评价管理的通知》（环办环评函〔2019〕910号）等文件中对建设项目重大变动的规定，对本项目存在的变动情况进行是否属于重大变动界定见表4-3：</w:t>
            </w:r>
          </w:p>
          <w:p w14:paraId="0AFDDBFB">
            <w:pPr>
              <w:keepNext w:val="0"/>
              <w:keepLines w:val="0"/>
              <w:widowControl w:val="0"/>
              <w:suppressLineNumbers w:val="0"/>
              <w:spacing w:before="0" w:beforeAutospacing="0" w:afterAutospacing="0"/>
              <w:ind w:left="0" w:right="0"/>
              <w:jc w:val="both"/>
              <w:rPr>
                <w:rFonts w:hint="eastAsia" w:ascii="Times New Roman" w:hAnsi="Times New Roman" w:eastAsia="宋体" w:cs="Times New Roman"/>
                <w:color w:val="auto"/>
                <w:lang w:val="en-US" w:eastAsia="zh-CN"/>
              </w:rPr>
            </w:pPr>
          </w:p>
          <w:p w14:paraId="7141F03A">
            <w:pPr>
              <w:pStyle w:val="5"/>
              <w:widowControl w:val="0"/>
              <w:suppressLineNumbers w:val="0"/>
              <w:spacing w:before="0"/>
              <w:ind w:left="0" w:right="0"/>
              <w:jc w:val="both"/>
              <w:rPr>
                <w:rFonts w:hint="eastAsia" w:ascii="Times New Roman" w:hAnsi="Times New Roman" w:eastAsia="宋体" w:cs="Times New Roman"/>
                <w:color w:val="auto"/>
                <w:lang w:val="en-US" w:eastAsia="zh-CN"/>
              </w:rPr>
            </w:pPr>
          </w:p>
          <w:p w14:paraId="4B8D8BDF">
            <w:pPr>
              <w:keepNext w:val="0"/>
              <w:keepLines w:val="0"/>
              <w:widowControl w:val="0"/>
              <w:suppressLineNumbers w:val="0"/>
              <w:spacing w:before="0" w:beforeAutospacing="0" w:afterAutospacing="0"/>
              <w:ind w:left="0" w:right="0"/>
              <w:jc w:val="both"/>
              <w:rPr>
                <w:rFonts w:hint="eastAsia" w:ascii="Times New Roman" w:hAnsi="Times New Roman" w:eastAsia="宋体" w:cs="Times New Roman"/>
                <w:color w:val="auto"/>
                <w:lang w:val="en-US" w:eastAsia="zh-CN"/>
              </w:rPr>
            </w:pPr>
          </w:p>
          <w:p w14:paraId="08373181">
            <w:pPr>
              <w:pStyle w:val="5"/>
              <w:widowControl w:val="0"/>
              <w:suppressLineNumbers w:val="0"/>
              <w:spacing w:before="0"/>
              <w:ind w:left="0" w:right="0"/>
              <w:jc w:val="both"/>
              <w:rPr>
                <w:rFonts w:hint="eastAsia" w:ascii="Times New Roman" w:hAnsi="Times New Roman" w:eastAsia="宋体" w:cs="Times New Roman"/>
                <w:color w:val="auto"/>
                <w:lang w:val="en-US" w:eastAsia="zh-CN"/>
              </w:rPr>
            </w:pPr>
          </w:p>
          <w:p w14:paraId="763F09F5">
            <w:pPr>
              <w:keepNext w:val="0"/>
              <w:keepLines w:val="0"/>
              <w:widowControl w:val="0"/>
              <w:suppressLineNumbers w:val="0"/>
              <w:spacing w:before="0" w:beforeAutospacing="0" w:afterAutospacing="0"/>
              <w:ind w:left="0" w:right="0"/>
              <w:jc w:val="both"/>
              <w:rPr>
                <w:rFonts w:hint="eastAsia" w:ascii="Times New Roman" w:hAnsi="Times New Roman" w:eastAsia="宋体" w:cs="Times New Roman"/>
                <w:color w:val="auto"/>
                <w:lang w:val="en-US" w:eastAsia="zh-CN"/>
              </w:rPr>
            </w:pPr>
          </w:p>
          <w:p w14:paraId="70EFE69E">
            <w:pPr>
              <w:pStyle w:val="5"/>
              <w:widowControl w:val="0"/>
              <w:suppressLineNumbers w:val="0"/>
              <w:spacing w:before="0"/>
              <w:ind w:left="0" w:right="0"/>
              <w:jc w:val="both"/>
              <w:rPr>
                <w:rFonts w:hint="eastAsia" w:ascii="Times New Roman" w:hAnsi="Times New Roman" w:eastAsia="宋体" w:cs="Times New Roman"/>
                <w:color w:val="auto"/>
                <w:lang w:val="en-US" w:eastAsia="zh-CN"/>
              </w:rPr>
            </w:pPr>
          </w:p>
          <w:p w14:paraId="765D4C2E">
            <w:pPr>
              <w:keepNext w:val="0"/>
              <w:keepLines w:val="0"/>
              <w:widowControl w:val="0"/>
              <w:suppressLineNumbers w:val="0"/>
              <w:spacing w:before="0" w:beforeAutospacing="0" w:afterAutospacing="0"/>
              <w:ind w:left="0" w:right="0"/>
              <w:jc w:val="both"/>
              <w:rPr>
                <w:rFonts w:hint="eastAsia" w:ascii="Times New Roman" w:hAnsi="Times New Roman" w:eastAsia="宋体" w:cs="Times New Roman"/>
                <w:color w:val="auto"/>
                <w:lang w:val="en-US" w:eastAsia="zh-CN"/>
              </w:rPr>
            </w:pPr>
          </w:p>
          <w:p w14:paraId="43669B28">
            <w:pPr>
              <w:pStyle w:val="5"/>
              <w:widowControl w:val="0"/>
              <w:suppressLineNumbers w:val="0"/>
              <w:spacing w:before="0"/>
              <w:ind w:left="0" w:right="0"/>
              <w:jc w:val="both"/>
              <w:rPr>
                <w:rFonts w:hint="eastAsia" w:ascii="Times New Roman" w:hAnsi="Times New Roman" w:eastAsia="宋体" w:cs="Times New Roman"/>
                <w:color w:val="auto"/>
                <w:lang w:val="en-US" w:eastAsia="zh-CN"/>
              </w:rPr>
            </w:pPr>
          </w:p>
          <w:p w14:paraId="5FF985EF">
            <w:pPr>
              <w:keepNext w:val="0"/>
              <w:keepLines w:val="0"/>
              <w:widowControl w:val="0"/>
              <w:suppressLineNumbers w:val="0"/>
              <w:spacing w:before="0" w:beforeAutospacing="0" w:afterAutospacing="0"/>
              <w:ind w:left="0" w:right="0"/>
              <w:jc w:val="both"/>
              <w:rPr>
                <w:rFonts w:hint="eastAsia" w:ascii="Times New Roman" w:hAnsi="Times New Roman" w:eastAsia="宋体" w:cs="Times New Roman"/>
                <w:color w:val="auto"/>
                <w:lang w:val="en-US" w:eastAsia="zh-CN"/>
              </w:rPr>
            </w:pPr>
          </w:p>
          <w:p w14:paraId="1C827EFA">
            <w:pPr>
              <w:pStyle w:val="5"/>
              <w:widowControl w:val="0"/>
              <w:suppressLineNumbers w:val="0"/>
              <w:spacing w:before="0"/>
              <w:ind w:left="0" w:right="0"/>
              <w:jc w:val="both"/>
              <w:rPr>
                <w:rFonts w:hint="eastAsia" w:ascii="Times New Roman" w:hAnsi="Times New Roman" w:eastAsia="宋体" w:cs="Times New Roman"/>
                <w:color w:val="auto"/>
                <w:lang w:val="en-US" w:eastAsia="zh-CN"/>
              </w:rPr>
            </w:pPr>
          </w:p>
          <w:p w14:paraId="50703472">
            <w:pPr>
              <w:keepNext w:val="0"/>
              <w:keepLines w:val="0"/>
              <w:widowControl w:val="0"/>
              <w:suppressLineNumbers w:val="0"/>
              <w:spacing w:before="0" w:beforeAutospacing="0" w:afterAutospacing="0"/>
              <w:ind w:left="0" w:right="0"/>
              <w:jc w:val="both"/>
              <w:rPr>
                <w:rFonts w:hint="eastAsia" w:ascii="Times New Roman" w:hAnsi="Times New Roman" w:eastAsia="宋体" w:cs="Times New Roman"/>
                <w:color w:val="auto"/>
                <w:lang w:val="en-US" w:eastAsia="zh-CN"/>
              </w:rPr>
            </w:pPr>
          </w:p>
          <w:p w14:paraId="6CD3A353">
            <w:pPr>
              <w:pStyle w:val="5"/>
              <w:widowControl w:val="0"/>
              <w:suppressLineNumbers w:val="0"/>
              <w:spacing w:before="0"/>
              <w:ind w:left="0" w:right="0"/>
              <w:jc w:val="both"/>
              <w:rPr>
                <w:rFonts w:hint="eastAsia" w:ascii="Times New Roman" w:hAnsi="Times New Roman" w:eastAsia="宋体" w:cs="Times New Roman"/>
                <w:color w:val="auto"/>
                <w:lang w:val="en-US" w:eastAsia="zh-CN"/>
              </w:rPr>
            </w:pPr>
          </w:p>
          <w:p w14:paraId="17D3A450">
            <w:pPr>
              <w:keepNext w:val="0"/>
              <w:keepLines w:val="0"/>
              <w:widowControl w:val="0"/>
              <w:suppressLineNumbers w:val="0"/>
              <w:spacing w:before="0" w:beforeAutospacing="0" w:afterAutospacing="0"/>
              <w:ind w:left="0" w:right="0"/>
              <w:jc w:val="both"/>
              <w:rPr>
                <w:rFonts w:hint="eastAsia" w:ascii="Times New Roman" w:hAnsi="Times New Roman" w:eastAsia="宋体" w:cs="Times New Roman"/>
                <w:color w:val="auto"/>
                <w:lang w:val="en-US" w:eastAsia="zh-CN"/>
              </w:rPr>
            </w:pPr>
          </w:p>
          <w:p w14:paraId="2654E980">
            <w:pPr>
              <w:pStyle w:val="5"/>
              <w:widowControl w:val="0"/>
              <w:suppressLineNumbers w:val="0"/>
              <w:spacing w:before="0"/>
              <w:ind w:left="0" w:right="0"/>
              <w:jc w:val="both"/>
              <w:rPr>
                <w:rFonts w:hint="eastAsia" w:ascii="Times New Roman" w:hAnsi="Times New Roman" w:eastAsia="宋体" w:cs="Times New Roman"/>
                <w:color w:val="auto"/>
                <w:lang w:val="en-US" w:eastAsia="zh-CN"/>
              </w:rPr>
            </w:pPr>
          </w:p>
          <w:p w14:paraId="595DBC87">
            <w:pPr>
              <w:keepNext w:val="0"/>
              <w:keepLines w:val="0"/>
              <w:widowControl w:val="0"/>
              <w:suppressLineNumbers w:val="0"/>
              <w:spacing w:before="0" w:beforeAutospacing="0" w:afterAutospacing="0"/>
              <w:ind w:left="0" w:right="0"/>
              <w:jc w:val="both"/>
              <w:rPr>
                <w:rFonts w:hint="eastAsia" w:ascii="Times New Roman" w:hAnsi="Times New Roman" w:eastAsia="宋体" w:cs="Times New Roman"/>
                <w:color w:val="auto"/>
                <w:lang w:val="en-US" w:eastAsia="zh-CN"/>
              </w:rPr>
            </w:pPr>
          </w:p>
          <w:p w14:paraId="40EB97F1">
            <w:pPr>
              <w:pStyle w:val="5"/>
              <w:widowControl w:val="0"/>
              <w:suppressLineNumbers w:val="0"/>
              <w:spacing w:before="0"/>
              <w:ind w:left="0" w:right="0"/>
              <w:jc w:val="both"/>
              <w:rPr>
                <w:rFonts w:hint="eastAsia" w:ascii="Times New Roman" w:hAnsi="Times New Roman" w:eastAsia="宋体" w:cs="Times New Roman"/>
                <w:color w:val="auto"/>
                <w:lang w:val="en-US" w:eastAsia="zh-CN"/>
              </w:rPr>
            </w:pPr>
          </w:p>
          <w:p w14:paraId="604CE544">
            <w:pPr>
              <w:pStyle w:val="5"/>
              <w:widowControl w:val="0"/>
              <w:suppressLineNumbers w:val="0"/>
              <w:spacing w:before="0"/>
              <w:ind w:left="0" w:right="0"/>
              <w:jc w:val="both"/>
              <w:rPr>
                <w:rFonts w:hint="eastAsia" w:ascii="Times New Roman" w:hAnsi="Times New Roman" w:eastAsia="宋体" w:cs="Times New Roman"/>
                <w:color w:val="auto"/>
                <w:lang w:val="en-US" w:eastAsia="zh-CN"/>
              </w:rPr>
            </w:pPr>
          </w:p>
          <w:p w14:paraId="3B7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tc>
      </w:tr>
    </w:tbl>
    <w:p w14:paraId="71B0FEB3">
      <w:pPr>
        <w:numPr>
          <w:ilvl w:val="0"/>
          <w:numId w:val="0"/>
        </w:numPr>
        <w:rPr>
          <w:rFonts w:hint="default"/>
          <w:color w:val="auto"/>
          <w:lang w:val="en-US" w:eastAsia="zh-CN"/>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2A176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表</w:t>
      </w:r>
      <w:r>
        <w:rPr>
          <w:rFonts w:hint="default" w:ascii="Times New Roman" w:hAnsi="Times New Roman" w:eastAsia="宋体" w:cs="Times New Roman"/>
          <w:b/>
          <w:bCs/>
          <w:color w:val="auto"/>
          <w:sz w:val="21"/>
          <w:szCs w:val="21"/>
          <w:lang w:val="en-US" w:eastAsia="zh-CN"/>
        </w:rPr>
        <w:t>4-</w:t>
      </w:r>
      <w:r>
        <w:rPr>
          <w:rFonts w:hint="eastAsia" w:ascii="Times New Roman" w:hAnsi="Times New Roman" w:eastAsia="宋体" w:cs="Times New Roman"/>
          <w:b/>
          <w:bCs/>
          <w:color w:val="auto"/>
          <w:sz w:val="21"/>
          <w:szCs w:val="21"/>
          <w:lang w:val="en-US" w:eastAsia="zh-CN"/>
        </w:rPr>
        <w:t>3</w:t>
      </w:r>
      <w:r>
        <w:rPr>
          <w:rFonts w:hint="default" w:ascii="Times New Roman" w:hAnsi="Times New Roman" w:eastAsia="宋体" w:cs="Times New Roman"/>
          <w:b/>
          <w:bCs/>
          <w:color w:val="auto"/>
          <w:sz w:val="21"/>
          <w:szCs w:val="21"/>
          <w:lang w:val="en-US" w:eastAsia="zh-CN"/>
        </w:rPr>
        <w:t xml:space="preserve">    </w:t>
      </w:r>
      <w:r>
        <w:rPr>
          <w:rFonts w:hint="eastAsia" w:ascii="Times New Roman" w:hAnsi="Times New Roman" w:eastAsia="宋体" w:cs="Times New Roman"/>
          <w:b/>
          <w:bCs/>
          <w:color w:val="auto"/>
          <w:sz w:val="21"/>
          <w:szCs w:val="21"/>
          <w:lang w:val="en-US" w:eastAsia="zh-CN"/>
        </w:rPr>
        <w:t>本项目重大变动判定表</w:t>
      </w:r>
    </w:p>
    <w:tbl>
      <w:tblPr>
        <w:tblStyle w:val="25"/>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400"/>
        <w:gridCol w:w="389"/>
        <w:gridCol w:w="705"/>
        <w:gridCol w:w="2717"/>
        <w:gridCol w:w="2700"/>
        <w:gridCol w:w="2835"/>
        <w:gridCol w:w="3005"/>
        <w:gridCol w:w="650"/>
      </w:tblGrid>
      <w:tr w14:paraId="0374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10" w:type="pct"/>
            <w:gridSpan w:val="4"/>
            <w:tcBorders>
              <w:tl2br w:val="nil"/>
              <w:tr2bl w:val="nil"/>
            </w:tcBorders>
            <w:noWrap w:val="0"/>
            <w:vAlign w:val="center"/>
          </w:tcPr>
          <w:p w14:paraId="5418C5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w:t>
            </w:r>
          </w:p>
        </w:tc>
        <w:tc>
          <w:tcPr>
            <w:tcW w:w="933" w:type="pct"/>
            <w:tcBorders>
              <w:tl2br w:val="nil"/>
              <w:tr2bl w:val="nil"/>
            </w:tcBorders>
            <w:noWrap w:val="0"/>
            <w:vAlign w:val="center"/>
          </w:tcPr>
          <w:p w14:paraId="4C1E9D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审查意见</w:t>
            </w:r>
            <w:r>
              <w:rPr>
                <w:rFonts w:hint="default" w:ascii="Times New Roman" w:hAnsi="Times New Roman" w:eastAsia="宋体" w:cs="Times New Roman"/>
                <w:color w:val="auto"/>
                <w:sz w:val="21"/>
                <w:szCs w:val="21"/>
                <w:highlight w:val="none"/>
                <w:lang w:val="en-US" w:eastAsia="zh-CN"/>
              </w:rPr>
              <w:t>中的要求</w:t>
            </w:r>
          </w:p>
        </w:tc>
        <w:tc>
          <w:tcPr>
            <w:tcW w:w="927" w:type="pct"/>
            <w:tcBorders>
              <w:tl2br w:val="nil"/>
              <w:tr2bl w:val="nil"/>
            </w:tcBorders>
            <w:noWrap w:val="0"/>
            <w:vAlign w:val="center"/>
          </w:tcPr>
          <w:p w14:paraId="3BC024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环评文件中的要求</w:t>
            </w:r>
          </w:p>
        </w:tc>
        <w:tc>
          <w:tcPr>
            <w:tcW w:w="973" w:type="pct"/>
            <w:tcBorders>
              <w:tl2br w:val="nil"/>
              <w:tr2bl w:val="nil"/>
            </w:tcBorders>
            <w:noWrap w:val="0"/>
            <w:vAlign w:val="center"/>
          </w:tcPr>
          <w:p w14:paraId="61F7FC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项目实际建设情况</w:t>
            </w:r>
          </w:p>
        </w:tc>
        <w:tc>
          <w:tcPr>
            <w:tcW w:w="1032" w:type="pct"/>
            <w:tcBorders>
              <w:tl2br w:val="nil"/>
              <w:tr2bl w:val="nil"/>
            </w:tcBorders>
            <w:noWrap w:val="0"/>
            <w:vAlign w:val="center"/>
          </w:tcPr>
          <w:p w14:paraId="1311C2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变化情况</w:t>
            </w:r>
            <w:r>
              <w:rPr>
                <w:rFonts w:hint="eastAsia" w:ascii="Times New Roman" w:hAnsi="Times New Roman" w:eastAsia="宋体" w:cs="Times New Roman"/>
                <w:color w:val="auto"/>
                <w:sz w:val="21"/>
                <w:szCs w:val="21"/>
                <w:highlight w:val="none"/>
                <w:lang w:val="en-US" w:eastAsia="zh-CN"/>
              </w:rPr>
              <w:t>/履行</w:t>
            </w:r>
            <w:r>
              <w:rPr>
                <w:rFonts w:hint="default" w:ascii="Times New Roman" w:hAnsi="Times New Roman" w:eastAsia="宋体" w:cs="Times New Roman"/>
                <w:color w:val="auto"/>
                <w:sz w:val="21"/>
                <w:szCs w:val="21"/>
                <w:highlight w:val="none"/>
                <w:lang w:val="en-US" w:eastAsia="zh-CN"/>
              </w:rPr>
              <w:t>情况</w:t>
            </w:r>
          </w:p>
        </w:tc>
        <w:tc>
          <w:tcPr>
            <w:tcW w:w="223" w:type="pct"/>
            <w:tcBorders>
              <w:tl2br w:val="nil"/>
              <w:tr2bl w:val="nil"/>
            </w:tcBorders>
            <w:noWrap w:val="0"/>
            <w:vAlign w:val="center"/>
          </w:tcPr>
          <w:p w14:paraId="296634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是否重大</w:t>
            </w:r>
            <w:r>
              <w:rPr>
                <w:rFonts w:hint="default" w:ascii="Times New Roman" w:hAnsi="Times New Roman" w:eastAsia="宋体" w:cs="Times New Roman"/>
                <w:color w:val="auto"/>
                <w:sz w:val="21"/>
                <w:szCs w:val="21"/>
                <w:highlight w:val="none"/>
                <w:lang w:val="en-US" w:eastAsia="zh-CN"/>
              </w:rPr>
              <w:t>变动</w:t>
            </w:r>
          </w:p>
        </w:tc>
      </w:tr>
      <w:tr w14:paraId="0ABC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restart"/>
            <w:tcBorders>
              <w:tl2br w:val="nil"/>
              <w:tr2bl w:val="nil"/>
            </w:tcBorders>
            <w:noWrap w:val="0"/>
            <w:vAlign w:val="center"/>
          </w:tcPr>
          <w:p w14:paraId="20F578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lang w:val="en-US" w:eastAsia="zh-CN"/>
              </w:rPr>
              <w:t>井场工程</w:t>
            </w:r>
          </w:p>
        </w:tc>
        <w:tc>
          <w:tcPr>
            <w:tcW w:w="513" w:type="pct"/>
            <w:gridSpan w:val="3"/>
            <w:tcBorders>
              <w:tl2br w:val="nil"/>
              <w:tr2bl w:val="nil"/>
            </w:tcBorders>
            <w:noWrap w:val="0"/>
            <w:vAlign w:val="center"/>
          </w:tcPr>
          <w:p w14:paraId="1F4D5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建设性质</w:t>
            </w:r>
          </w:p>
        </w:tc>
        <w:tc>
          <w:tcPr>
            <w:tcW w:w="933" w:type="pct"/>
            <w:tcBorders>
              <w:tl2br w:val="nil"/>
              <w:tr2bl w:val="nil"/>
            </w:tcBorders>
            <w:noWrap w:val="0"/>
            <w:vAlign w:val="center"/>
          </w:tcPr>
          <w:p w14:paraId="0B47C1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927" w:type="pct"/>
            <w:tcBorders>
              <w:tl2br w:val="nil"/>
              <w:tr2bl w:val="nil"/>
            </w:tcBorders>
            <w:noWrap w:val="0"/>
            <w:vAlign w:val="center"/>
          </w:tcPr>
          <w:p w14:paraId="336D8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973" w:type="pct"/>
            <w:tcBorders>
              <w:tl2br w:val="nil"/>
              <w:tr2bl w:val="nil"/>
            </w:tcBorders>
            <w:noWrap w:val="0"/>
            <w:vAlign w:val="center"/>
          </w:tcPr>
          <w:p w14:paraId="2B78C0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1032" w:type="pct"/>
            <w:tcBorders>
              <w:tl2br w:val="nil"/>
              <w:tr2bl w:val="nil"/>
            </w:tcBorders>
            <w:noWrap w:val="0"/>
            <w:vAlign w:val="center"/>
          </w:tcPr>
          <w:p w14:paraId="242C66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5C8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B95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397" w:type="pct"/>
            <w:vMerge w:val="continue"/>
            <w:tcBorders>
              <w:tl2br w:val="nil"/>
              <w:tr2bl w:val="nil"/>
            </w:tcBorders>
            <w:noWrap w:val="0"/>
            <w:vAlign w:val="center"/>
          </w:tcPr>
          <w:p w14:paraId="4D163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lang w:val="en-US" w:eastAsia="zh-CN"/>
              </w:rPr>
            </w:pPr>
          </w:p>
        </w:tc>
        <w:tc>
          <w:tcPr>
            <w:tcW w:w="513" w:type="pct"/>
            <w:gridSpan w:val="3"/>
            <w:tcBorders>
              <w:tl2br w:val="nil"/>
              <w:tr2bl w:val="nil"/>
            </w:tcBorders>
            <w:noWrap w:val="0"/>
            <w:vAlign w:val="center"/>
          </w:tcPr>
          <w:p w14:paraId="438CC5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w:t>
            </w:r>
          </w:p>
        </w:tc>
        <w:tc>
          <w:tcPr>
            <w:tcW w:w="933" w:type="pct"/>
            <w:tcBorders>
              <w:tl2br w:val="nil"/>
              <w:tr2bl w:val="nil"/>
            </w:tcBorders>
            <w:noWrap w:val="0"/>
            <w:vAlign w:val="center"/>
          </w:tcPr>
          <w:p w14:paraId="5983E3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水平井、直井</w:t>
            </w:r>
          </w:p>
        </w:tc>
        <w:tc>
          <w:tcPr>
            <w:tcW w:w="927" w:type="pct"/>
            <w:tcBorders>
              <w:tl2br w:val="nil"/>
              <w:tr2bl w:val="nil"/>
            </w:tcBorders>
            <w:noWrap w:val="0"/>
            <w:vAlign w:val="center"/>
          </w:tcPr>
          <w:p w14:paraId="61ADE7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水平井、直井</w:t>
            </w:r>
          </w:p>
        </w:tc>
        <w:tc>
          <w:tcPr>
            <w:tcW w:w="973" w:type="pct"/>
            <w:tcBorders>
              <w:tl2br w:val="nil"/>
              <w:tr2bl w:val="nil"/>
            </w:tcBorders>
            <w:noWrap w:val="0"/>
            <w:vAlign w:val="center"/>
          </w:tcPr>
          <w:p w14:paraId="4580D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水平井、直井</w:t>
            </w:r>
          </w:p>
        </w:tc>
        <w:tc>
          <w:tcPr>
            <w:tcW w:w="1032" w:type="pct"/>
            <w:tcBorders>
              <w:tl2br w:val="nil"/>
              <w:tr2bl w:val="nil"/>
            </w:tcBorders>
            <w:shd w:val="clear" w:color="auto" w:fill="auto"/>
            <w:noWrap w:val="0"/>
            <w:vAlign w:val="center"/>
          </w:tcPr>
          <w:p w14:paraId="6718A7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7AAB2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5531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0C782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lang w:val="en-US" w:eastAsia="zh-CN"/>
              </w:rPr>
            </w:pPr>
          </w:p>
        </w:tc>
        <w:tc>
          <w:tcPr>
            <w:tcW w:w="513" w:type="pct"/>
            <w:gridSpan w:val="3"/>
            <w:tcBorders>
              <w:tl2br w:val="nil"/>
              <w:tr2bl w:val="nil"/>
            </w:tcBorders>
            <w:noWrap w:val="0"/>
            <w:vAlign w:val="center"/>
          </w:tcPr>
          <w:p w14:paraId="7D5CB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投资</w:t>
            </w:r>
          </w:p>
        </w:tc>
        <w:tc>
          <w:tcPr>
            <w:tcW w:w="933" w:type="pct"/>
            <w:tcBorders>
              <w:tl2br w:val="nil"/>
              <w:tr2bl w:val="nil"/>
            </w:tcBorders>
            <w:noWrap w:val="0"/>
            <w:vAlign w:val="center"/>
          </w:tcPr>
          <w:p w14:paraId="43A3A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项目总投资11000万元，其中环保投资约695.6万元，约占总投资的6.32%</w:t>
            </w:r>
          </w:p>
        </w:tc>
        <w:tc>
          <w:tcPr>
            <w:tcW w:w="927" w:type="pct"/>
            <w:tcBorders>
              <w:tl2br w:val="nil"/>
              <w:tr2bl w:val="nil"/>
            </w:tcBorders>
            <w:noWrap w:val="0"/>
            <w:vAlign w:val="center"/>
          </w:tcPr>
          <w:p w14:paraId="3D404C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项目总投资11000万元，其中环保投资约695.6万元，约占总投资的6.32%</w:t>
            </w:r>
          </w:p>
        </w:tc>
        <w:tc>
          <w:tcPr>
            <w:tcW w:w="973" w:type="pct"/>
            <w:tcBorders>
              <w:tl2br w:val="nil"/>
              <w:tr2bl w:val="nil"/>
            </w:tcBorders>
            <w:noWrap w:val="0"/>
            <w:vAlign w:val="center"/>
          </w:tcPr>
          <w:p w14:paraId="3707F3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项目总投资1500万元，其中环保投资约199.35万元，约占总投资的13.29%</w:t>
            </w:r>
          </w:p>
        </w:tc>
        <w:tc>
          <w:tcPr>
            <w:tcW w:w="1032" w:type="pct"/>
            <w:tcBorders>
              <w:tl2br w:val="nil"/>
              <w:tr2bl w:val="nil"/>
            </w:tcBorders>
            <w:shd w:val="clear" w:color="auto" w:fill="auto"/>
            <w:noWrap w:val="0"/>
            <w:vAlign w:val="center"/>
          </w:tcPr>
          <w:p w14:paraId="766F70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施工期</w:t>
            </w:r>
            <w:r>
              <w:rPr>
                <w:rFonts w:hint="default" w:ascii="Times New Roman" w:hAnsi="Times New Roman" w:eastAsia="宋体" w:cs="Times New Roman"/>
                <w:color w:val="auto"/>
                <w:sz w:val="21"/>
                <w:szCs w:val="21"/>
                <w:highlight w:val="none"/>
                <w:lang w:val="en-US" w:eastAsia="zh-CN"/>
              </w:rPr>
              <w:t>未产生建筑垃圾；费用降低。本项目井深变浅，导致施工废水、钻井泥浆、岩屑产生量较环评阶段估计值减少，导致处置费用降低；但由于建设单位施工部署发生变化，导致环评批复了的11口探井完工4口，本次验收针对4口探井进行。综上，总投资及环保投资均减少。</w:t>
            </w:r>
          </w:p>
        </w:tc>
        <w:tc>
          <w:tcPr>
            <w:tcW w:w="223" w:type="pct"/>
            <w:tcBorders>
              <w:tl2br w:val="nil"/>
              <w:tr2bl w:val="nil"/>
            </w:tcBorders>
            <w:shd w:val="clear" w:color="auto" w:fill="auto"/>
            <w:noWrap w:val="0"/>
            <w:vAlign w:val="center"/>
          </w:tcPr>
          <w:p w14:paraId="55D549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AA7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tcBorders>
              <w:tl2br w:val="nil"/>
              <w:tr2bl w:val="nil"/>
            </w:tcBorders>
            <w:noWrap w:val="0"/>
            <w:vAlign w:val="center"/>
          </w:tcPr>
          <w:p w14:paraId="08449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lang w:val="en-US" w:eastAsia="zh-CN"/>
              </w:rPr>
              <w:t>产能总规模、新钻井总数量增加30%及以上</w:t>
            </w:r>
          </w:p>
        </w:tc>
        <w:tc>
          <w:tcPr>
            <w:tcW w:w="513" w:type="pct"/>
            <w:gridSpan w:val="3"/>
            <w:tcBorders>
              <w:tl2br w:val="nil"/>
              <w:tr2bl w:val="nil"/>
            </w:tcBorders>
            <w:noWrap w:val="0"/>
            <w:vAlign w:val="center"/>
          </w:tcPr>
          <w:p w14:paraId="205A57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建设</w:t>
            </w:r>
            <w:r>
              <w:rPr>
                <w:rFonts w:hint="default" w:ascii="Times New Roman" w:hAnsi="Times New Roman" w:eastAsia="宋体" w:cs="Times New Roman"/>
                <w:color w:val="auto"/>
                <w:sz w:val="21"/>
                <w:szCs w:val="21"/>
                <w:highlight w:val="none"/>
                <w:lang w:val="en-US" w:eastAsia="zh-CN"/>
              </w:rPr>
              <w:t>规模</w:t>
            </w:r>
          </w:p>
        </w:tc>
        <w:tc>
          <w:tcPr>
            <w:tcW w:w="933" w:type="pct"/>
            <w:tcBorders>
              <w:tl2br w:val="nil"/>
              <w:tr2bl w:val="nil"/>
            </w:tcBorders>
            <w:noWrap w:val="0"/>
            <w:vAlign w:val="center"/>
          </w:tcPr>
          <w:p w14:paraId="33CC0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927" w:type="pct"/>
            <w:tcBorders>
              <w:tl2br w:val="nil"/>
              <w:tr2bl w:val="nil"/>
            </w:tcBorders>
            <w:noWrap w:val="0"/>
            <w:vAlign w:val="center"/>
          </w:tcPr>
          <w:tbl>
            <w:tblPr>
              <w:tblStyle w:val="25"/>
              <w:tblW w:w="4862"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4"/>
              <w:gridCol w:w="1432"/>
            </w:tblGrid>
            <w:tr w14:paraId="290CD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024" w:type="pct"/>
                  <w:tcBorders>
                    <w:tl2br w:val="nil"/>
                    <w:tr2bl w:val="nil"/>
                  </w:tcBorders>
                  <w:noWrap w:val="0"/>
                  <w:vAlign w:val="center"/>
                </w:tcPr>
                <w:p w14:paraId="4F157DF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2975" w:type="pct"/>
                  <w:tcBorders>
                    <w:tl2br w:val="nil"/>
                    <w:tr2bl w:val="nil"/>
                  </w:tcBorders>
                  <w:noWrap w:val="0"/>
                  <w:vAlign w:val="center"/>
                </w:tcPr>
                <w:p w14:paraId="7A5C867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井深</w:t>
                  </w:r>
                </w:p>
              </w:tc>
            </w:tr>
            <w:tr w14:paraId="381B9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024" w:type="pct"/>
                  <w:tcBorders>
                    <w:tl2br w:val="nil"/>
                    <w:tr2bl w:val="nil"/>
                  </w:tcBorders>
                  <w:shd w:val="clear" w:color="auto" w:fill="auto"/>
                  <w:noWrap w:val="0"/>
                  <w:vAlign w:val="center"/>
                </w:tcPr>
                <w:p w14:paraId="6FA3447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JH2P42</w:t>
                  </w:r>
                </w:p>
              </w:tc>
              <w:tc>
                <w:tcPr>
                  <w:tcW w:w="2975" w:type="pct"/>
                  <w:tcBorders>
                    <w:tl2br w:val="nil"/>
                    <w:tr2bl w:val="nil"/>
                  </w:tcBorders>
                  <w:shd w:val="clear" w:color="auto" w:fill="auto"/>
                  <w:noWrap w:val="0"/>
                  <w:vAlign w:val="center"/>
                </w:tcPr>
                <w:p w14:paraId="7E7AE23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2290m</w:t>
                  </w:r>
                </w:p>
              </w:tc>
            </w:tr>
            <w:tr w14:paraId="7B54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024" w:type="pct"/>
                  <w:tcBorders>
                    <w:tl2br w:val="nil"/>
                    <w:tr2bl w:val="nil"/>
                  </w:tcBorders>
                  <w:shd w:val="clear" w:color="auto" w:fill="auto"/>
                  <w:noWrap w:val="0"/>
                  <w:vAlign w:val="center"/>
                </w:tcPr>
                <w:p w14:paraId="6A08D1A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长探105</w:t>
                  </w:r>
                </w:p>
              </w:tc>
              <w:tc>
                <w:tcPr>
                  <w:tcW w:w="2975" w:type="pct"/>
                  <w:tcBorders>
                    <w:tl2br w:val="nil"/>
                    <w:tr2bl w:val="nil"/>
                  </w:tcBorders>
                  <w:shd w:val="clear" w:color="auto" w:fill="auto"/>
                  <w:noWrap w:val="0"/>
                  <w:vAlign w:val="center"/>
                </w:tcPr>
                <w:p w14:paraId="2DA7D09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4100m</w:t>
                  </w:r>
                </w:p>
              </w:tc>
            </w:tr>
            <w:tr w14:paraId="7E43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4EA2959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JH2P44</w:t>
                  </w:r>
                </w:p>
              </w:tc>
              <w:tc>
                <w:tcPr>
                  <w:tcW w:w="0" w:type="auto"/>
                  <w:shd w:val="clear" w:color="auto" w:fill="auto"/>
                  <w:vAlign w:val="center"/>
                </w:tcPr>
                <w:p w14:paraId="0243ED7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2100m</w:t>
                  </w:r>
                </w:p>
              </w:tc>
            </w:tr>
            <w:tr w14:paraId="7030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56F0425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良平101H</w:t>
                  </w:r>
                </w:p>
              </w:tc>
              <w:tc>
                <w:tcPr>
                  <w:tcW w:w="0" w:type="auto"/>
                  <w:shd w:val="clear" w:color="auto" w:fill="auto"/>
                  <w:vAlign w:val="center"/>
                </w:tcPr>
                <w:p w14:paraId="2B551E3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2320</w:t>
                  </w:r>
                  <w:r>
                    <w:rPr>
                      <w:rFonts w:hint="eastAsia" w:ascii="Times New Roman" w:hAnsi="Times New Roman" w:eastAsia="宋体" w:cs="Times New Roman"/>
                      <w:color w:val="auto"/>
                      <w:spacing w:val="0"/>
                      <w:w w:val="100"/>
                      <w:sz w:val="21"/>
                      <w:szCs w:val="21"/>
                      <w:highlight w:val="none"/>
                      <w:lang w:val="en-US" w:eastAsia="zh-CN" w:bidi="ar-SA"/>
                    </w:rPr>
                    <w:t>m</w:t>
                  </w:r>
                </w:p>
              </w:tc>
            </w:tr>
          </w:tbl>
          <w:p w14:paraId="27DCA8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73" w:type="pct"/>
            <w:tcBorders>
              <w:tl2br w:val="nil"/>
              <w:tr2bl w:val="nil"/>
            </w:tcBorders>
            <w:noWrap w:val="0"/>
            <w:vAlign w:val="center"/>
          </w:tcPr>
          <w:tbl>
            <w:tblPr>
              <w:tblStyle w:val="25"/>
              <w:tblW w:w="4996"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97"/>
              <w:gridCol w:w="1210"/>
            </w:tblGrid>
            <w:tr w14:paraId="652DD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679" w:type="pct"/>
                  <w:tcBorders>
                    <w:tl2br w:val="nil"/>
                    <w:tr2bl w:val="nil"/>
                  </w:tcBorders>
                  <w:noWrap w:val="0"/>
                  <w:vAlign w:val="center"/>
                </w:tcPr>
                <w:p w14:paraId="0F5BC2E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2320" w:type="pct"/>
                  <w:tcBorders>
                    <w:tl2br w:val="nil"/>
                    <w:tr2bl w:val="nil"/>
                  </w:tcBorders>
                  <w:noWrap w:val="0"/>
                  <w:vAlign w:val="center"/>
                </w:tcPr>
                <w:p w14:paraId="6A6CE52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井深</w:t>
                  </w:r>
                </w:p>
              </w:tc>
            </w:tr>
            <w:tr w14:paraId="029C9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1" w:hRule="atLeast"/>
              </w:trPr>
              <w:tc>
                <w:tcPr>
                  <w:tcW w:w="2679" w:type="pct"/>
                  <w:tcBorders>
                    <w:tl2br w:val="nil"/>
                    <w:tr2bl w:val="nil"/>
                  </w:tcBorders>
                  <w:shd w:val="clear" w:color="auto" w:fill="auto"/>
                  <w:noWrap w:val="0"/>
                  <w:vAlign w:val="center"/>
                </w:tcPr>
                <w:p w14:paraId="45A6D4F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JH2P42</w:t>
                  </w:r>
                </w:p>
              </w:tc>
              <w:tc>
                <w:tcPr>
                  <w:tcW w:w="2320" w:type="pct"/>
                  <w:tcBorders>
                    <w:tl2br w:val="nil"/>
                    <w:tr2bl w:val="nil"/>
                  </w:tcBorders>
                  <w:shd w:val="clear" w:color="auto" w:fill="auto"/>
                  <w:noWrap w:val="0"/>
                  <w:vAlign w:val="center"/>
                </w:tcPr>
                <w:p w14:paraId="23C93CA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2164m</w:t>
                  </w:r>
                </w:p>
              </w:tc>
            </w:tr>
            <w:tr w14:paraId="5062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679" w:type="pct"/>
                  <w:tcBorders>
                    <w:tl2br w:val="nil"/>
                    <w:tr2bl w:val="nil"/>
                  </w:tcBorders>
                  <w:shd w:val="clear" w:color="auto" w:fill="auto"/>
                  <w:noWrap w:val="0"/>
                  <w:vAlign w:val="center"/>
                </w:tcPr>
                <w:p w14:paraId="3FA8081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长探105</w:t>
                  </w:r>
                </w:p>
              </w:tc>
              <w:tc>
                <w:tcPr>
                  <w:tcW w:w="2320" w:type="pct"/>
                  <w:tcBorders>
                    <w:tl2br w:val="nil"/>
                    <w:tr2bl w:val="nil"/>
                  </w:tcBorders>
                  <w:shd w:val="clear" w:color="auto" w:fill="auto"/>
                  <w:noWrap w:val="0"/>
                  <w:vAlign w:val="center"/>
                </w:tcPr>
                <w:p w14:paraId="16D9553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4030m</w:t>
                  </w:r>
                </w:p>
              </w:tc>
            </w:tr>
            <w:tr w14:paraId="4B54B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553F282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JH2P44</w:t>
                  </w:r>
                </w:p>
              </w:tc>
              <w:tc>
                <w:tcPr>
                  <w:tcW w:w="0" w:type="auto"/>
                  <w:shd w:val="clear" w:color="auto" w:fill="auto"/>
                  <w:vAlign w:val="center"/>
                </w:tcPr>
                <w:p w14:paraId="64B529F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2222</w:t>
                  </w:r>
                  <w:r>
                    <w:rPr>
                      <w:rFonts w:hint="eastAsia" w:ascii="Times New Roman" w:hAnsi="Times New Roman" w:eastAsia="宋体" w:cs="Times New Roman"/>
                      <w:color w:val="auto"/>
                      <w:spacing w:val="0"/>
                      <w:w w:val="100"/>
                      <w:sz w:val="21"/>
                      <w:szCs w:val="21"/>
                      <w:highlight w:val="none"/>
                      <w:lang w:val="en-US" w:eastAsia="zh-CN" w:bidi="ar-SA"/>
                    </w:rPr>
                    <w:t>m</w:t>
                  </w:r>
                </w:p>
              </w:tc>
            </w:tr>
            <w:tr w14:paraId="3AA4B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69A1766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良平101H</w:t>
                  </w:r>
                </w:p>
              </w:tc>
              <w:tc>
                <w:tcPr>
                  <w:tcW w:w="0" w:type="auto"/>
                  <w:shd w:val="clear" w:color="auto" w:fill="auto"/>
                  <w:vAlign w:val="center"/>
                </w:tcPr>
                <w:p w14:paraId="10ACAC1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2039m</w:t>
                  </w:r>
                </w:p>
              </w:tc>
            </w:tr>
          </w:tbl>
          <w:p w14:paraId="3A1E50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032" w:type="pct"/>
            <w:tcBorders>
              <w:tl2br w:val="nil"/>
              <w:tr2bl w:val="nil"/>
            </w:tcBorders>
            <w:noWrap w:val="0"/>
            <w:vAlign w:val="center"/>
          </w:tcPr>
          <w:tbl>
            <w:tblPr>
              <w:tblStyle w:val="25"/>
              <w:tblW w:w="4998"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8"/>
              <w:gridCol w:w="1029"/>
              <w:gridCol w:w="1031"/>
            </w:tblGrid>
            <w:tr w14:paraId="151C9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293" w:type="pct"/>
                  <w:tcBorders>
                    <w:tl2br w:val="nil"/>
                    <w:tr2bl w:val="nil"/>
                  </w:tcBorders>
                  <w:noWrap w:val="0"/>
                  <w:vAlign w:val="center"/>
                </w:tcPr>
                <w:p w14:paraId="1A02795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1851" w:type="pct"/>
                  <w:tcBorders>
                    <w:tl2br w:val="nil"/>
                    <w:tr2bl w:val="nil"/>
                  </w:tcBorders>
                  <w:noWrap w:val="0"/>
                  <w:vAlign w:val="center"/>
                </w:tcPr>
                <w:p w14:paraId="3947FEF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井深变化</w:t>
                  </w:r>
                </w:p>
              </w:tc>
              <w:tc>
                <w:tcPr>
                  <w:tcW w:w="1855" w:type="pct"/>
                  <w:tcBorders>
                    <w:tl2br w:val="nil"/>
                    <w:tr2bl w:val="nil"/>
                  </w:tcBorders>
                  <w:noWrap w:val="0"/>
                  <w:vAlign w:val="center"/>
                </w:tcPr>
                <w:p w14:paraId="339383F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变化率%</w:t>
                  </w:r>
                </w:p>
              </w:tc>
            </w:tr>
            <w:tr w14:paraId="60048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293" w:type="pct"/>
                  <w:tcBorders>
                    <w:tl2br w:val="nil"/>
                    <w:tr2bl w:val="nil"/>
                  </w:tcBorders>
                  <w:shd w:val="clear" w:color="auto" w:fill="auto"/>
                  <w:noWrap w:val="0"/>
                  <w:vAlign w:val="center"/>
                </w:tcPr>
                <w:p w14:paraId="778D30F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JH2P42</w:t>
                  </w:r>
                </w:p>
              </w:tc>
              <w:tc>
                <w:tcPr>
                  <w:tcW w:w="1851" w:type="pct"/>
                  <w:tcBorders>
                    <w:tl2br w:val="nil"/>
                    <w:tr2bl w:val="nil"/>
                  </w:tcBorders>
                  <w:noWrap w:val="0"/>
                  <w:vAlign w:val="center"/>
                </w:tcPr>
                <w:p w14:paraId="76F69CB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变浅126m</w:t>
                  </w:r>
                </w:p>
              </w:tc>
              <w:tc>
                <w:tcPr>
                  <w:tcW w:w="1855" w:type="pct"/>
                  <w:tcBorders>
                    <w:tl2br w:val="nil"/>
                    <w:tr2bl w:val="nil"/>
                  </w:tcBorders>
                  <w:noWrap w:val="0"/>
                  <w:vAlign w:val="center"/>
                </w:tcPr>
                <w:p w14:paraId="66634CA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-5.5</w:t>
                  </w:r>
                </w:p>
              </w:tc>
            </w:tr>
            <w:tr w14:paraId="01D61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293" w:type="pct"/>
                  <w:tcBorders>
                    <w:tl2br w:val="nil"/>
                    <w:tr2bl w:val="nil"/>
                  </w:tcBorders>
                  <w:shd w:val="clear" w:color="auto" w:fill="auto"/>
                  <w:noWrap w:val="0"/>
                  <w:vAlign w:val="center"/>
                </w:tcPr>
                <w:p w14:paraId="40FE9E5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长探105</w:t>
                  </w:r>
                </w:p>
              </w:tc>
              <w:tc>
                <w:tcPr>
                  <w:tcW w:w="1851" w:type="pct"/>
                  <w:tcBorders>
                    <w:tl2br w:val="nil"/>
                    <w:tr2bl w:val="nil"/>
                  </w:tcBorders>
                  <w:noWrap w:val="0"/>
                  <w:vAlign w:val="center"/>
                </w:tcPr>
                <w:p w14:paraId="2BB105F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变浅70m</w:t>
                  </w:r>
                </w:p>
              </w:tc>
              <w:tc>
                <w:tcPr>
                  <w:tcW w:w="1855" w:type="pct"/>
                  <w:tcBorders>
                    <w:tl2br w:val="nil"/>
                    <w:tr2bl w:val="nil"/>
                  </w:tcBorders>
                  <w:noWrap w:val="0"/>
                  <w:vAlign w:val="center"/>
                </w:tcPr>
                <w:p w14:paraId="2EC8E8C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-17.1</w:t>
                  </w:r>
                </w:p>
              </w:tc>
            </w:tr>
            <w:tr w14:paraId="7B02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511D26F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JH2P44</w:t>
                  </w:r>
                </w:p>
              </w:tc>
              <w:tc>
                <w:tcPr>
                  <w:tcW w:w="0" w:type="auto"/>
                </w:tcPr>
                <w:p w14:paraId="2C89568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变深122m</w:t>
                  </w:r>
                </w:p>
              </w:tc>
              <w:tc>
                <w:tcPr>
                  <w:tcW w:w="0" w:type="auto"/>
                </w:tcPr>
                <w:p w14:paraId="7B3030D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5.8</w:t>
                  </w:r>
                </w:p>
              </w:tc>
            </w:tr>
            <w:tr w14:paraId="39C01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0B7214B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良平101H</w:t>
                  </w:r>
                </w:p>
              </w:tc>
              <w:tc>
                <w:tcPr>
                  <w:tcW w:w="0" w:type="auto"/>
                </w:tcPr>
                <w:p w14:paraId="64B7771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变浅281m</w:t>
                  </w:r>
                </w:p>
              </w:tc>
              <w:tc>
                <w:tcPr>
                  <w:tcW w:w="0" w:type="auto"/>
                </w:tcPr>
                <w:p w14:paraId="74109E9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-12.1</w:t>
                  </w:r>
                </w:p>
              </w:tc>
            </w:tr>
          </w:tbl>
          <w:p w14:paraId="7EABD3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p>
        </w:tc>
        <w:tc>
          <w:tcPr>
            <w:tcW w:w="223" w:type="pct"/>
            <w:tcBorders>
              <w:tl2br w:val="nil"/>
              <w:tr2bl w:val="nil"/>
            </w:tcBorders>
            <w:noWrap w:val="0"/>
            <w:vAlign w:val="center"/>
          </w:tcPr>
          <w:p w14:paraId="0D1EA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DF77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0" w:type="pct"/>
            <w:gridSpan w:val="4"/>
            <w:tcBorders>
              <w:tl2br w:val="nil"/>
              <w:tr2bl w:val="nil"/>
            </w:tcBorders>
            <w:shd w:val="clear" w:color="auto" w:fill="auto"/>
            <w:noWrap w:val="0"/>
            <w:vAlign w:val="center"/>
          </w:tcPr>
          <w:p w14:paraId="00B415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lang w:val="en-US" w:eastAsia="zh-CN"/>
              </w:rPr>
              <w:t>新增重点生产装置外的其他装置或其规模增大50%及以上，并导致新增污染因子或污染物排放量增加。</w:t>
            </w:r>
          </w:p>
        </w:tc>
        <w:tc>
          <w:tcPr>
            <w:tcW w:w="933" w:type="pct"/>
            <w:tcBorders>
              <w:tl2br w:val="nil"/>
              <w:tr2bl w:val="nil"/>
            </w:tcBorders>
            <w:shd w:val="clear" w:color="auto" w:fill="auto"/>
            <w:noWrap w:val="0"/>
            <w:vAlign w:val="center"/>
          </w:tcPr>
          <w:p w14:paraId="28FEF1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927" w:type="pct"/>
            <w:tcBorders>
              <w:tl2br w:val="nil"/>
              <w:tr2bl w:val="nil"/>
            </w:tcBorders>
            <w:shd w:val="clear" w:color="auto" w:fill="auto"/>
            <w:noWrap w:val="0"/>
            <w:vAlign w:val="center"/>
          </w:tcPr>
          <w:tbl>
            <w:tblPr>
              <w:tblStyle w:val="25"/>
              <w:tblW w:w="4862"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4"/>
              <w:gridCol w:w="1432"/>
            </w:tblGrid>
            <w:tr w14:paraId="6E57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024" w:type="pct"/>
                  <w:tcBorders>
                    <w:tl2br w:val="nil"/>
                    <w:tr2bl w:val="nil"/>
                  </w:tcBorders>
                  <w:noWrap w:val="0"/>
                  <w:vAlign w:val="center"/>
                </w:tcPr>
                <w:p w14:paraId="1B9609F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2975" w:type="pct"/>
                  <w:tcBorders>
                    <w:tl2br w:val="nil"/>
                    <w:tr2bl w:val="nil"/>
                  </w:tcBorders>
                  <w:noWrap w:val="0"/>
                  <w:vAlign w:val="center"/>
                </w:tcPr>
                <w:p w14:paraId="3810D6B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井深</w:t>
                  </w:r>
                </w:p>
              </w:tc>
            </w:tr>
            <w:tr w14:paraId="6A6F4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trPr>
              <w:tc>
                <w:tcPr>
                  <w:tcW w:w="2024" w:type="pct"/>
                  <w:tcBorders>
                    <w:tl2br w:val="nil"/>
                    <w:tr2bl w:val="nil"/>
                  </w:tcBorders>
                  <w:shd w:val="clear" w:color="auto" w:fill="auto"/>
                  <w:noWrap w:val="0"/>
                  <w:vAlign w:val="center"/>
                </w:tcPr>
                <w:p w14:paraId="28C6473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JH2P42</w:t>
                  </w:r>
                </w:p>
              </w:tc>
              <w:tc>
                <w:tcPr>
                  <w:tcW w:w="2975" w:type="pct"/>
                  <w:tcBorders>
                    <w:tl2br w:val="nil"/>
                    <w:tr2bl w:val="nil"/>
                  </w:tcBorders>
                  <w:shd w:val="clear" w:color="auto" w:fill="auto"/>
                  <w:noWrap w:val="0"/>
                  <w:vAlign w:val="center"/>
                </w:tcPr>
                <w:p w14:paraId="5710FD8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2290m</w:t>
                  </w:r>
                </w:p>
              </w:tc>
            </w:tr>
            <w:tr w14:paraId="1E46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024" w:type="pct"/>
                  <w:tcBorders>
                    <w:tl2br w:val="nil"/>
                    <w:tr2bl w:val="nil"/>
                  </w:tcBorders>
                  <w:shd w:val="clear" w:color="auto" w:fill="auto"/>
                  <w:noWrap w:val="0"/>
                  <w:vAlign w:val="center"/>
                </w:tcPr>
                <w:p w14:paraId="6AEE45E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长探105</w:t>
                  </w:r>
                </w:p>
              </w:tc>
              <w:tc>
                <w:tcPr>
                  <w:tcW w:w="2975" w:type="pct"/>
                  <w:tcBorders>
                    <w:tl2br w:val="nil"/>
                    <w:tr2bl w:val="nil"/>
                  </w:tcBorders>
                  <w:shd w:val="clear" w:color="auto" w:fill="auto"/>
                  <w:noWrap w:val="0"/>
                  <w:vAlign w:val="center"/>
                </w:tcPr>
                <w:p w14:paraId="58FA258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4100m</w:t>
                  </w:r>
                </w:p>
              </w:tc>
            </w:tr>
            <w:tr w14:paraId="21FE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6CCBFE6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JH2P44</w:t>
                  </w:r>
                </w:p>
              </w:tc>
              <w:tc>
                <w:tcPr>
                  <w:tcW w:w="0" w:type="auto"/>
                  <w:shd w:val="clear" w:color="auto" w:fill="auto"/>
                  <w:vAlign w:val="center"/>
                </w:tcPr>
                <w:p w14:paraId="1592F46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2100m</w:t>
                  </w:r>
                </w:p>
              </w:tc>
            </w:tr>
            <w:tr w14:paraId="67F6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377332B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良平101H</w:t>
                  </w:r>
                </w:p>
              </w:tc>
              <w:tc>
                <w:tcPr>
                  <w:tcW w:w="0" w:type="auto"/>
                  <w:shd w:val="clear" w:color="auto" w:fill="auto"/>
                  <w:vAlign w:val="center"/>
                </w:tcPr>
                <w:p w14:paraId="387135A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2320</w:t>
                  </w:r>
                  <w:r>
                    <w:rPr>
                      <w:rFonts w:hint="eastAsia" w:ascii="Times New Roman" w:hAnsi="Times New Roman" w:eastAsia="宋体" w:cs="Times New Roman"/>
                      <w:color w:val="auto"/>
                      <w:spacing w:val="0"/>
                      <w:w w:val="100"/>
                      <w:sz w:val="21"/>
                      <w:szCs w:val="21"/>
                      <w:highlight w:val="none"/>
                      <w:lang w:val="en-US" w:eastAsia="zh-CN" w:bidi="ar-SA"/>
                    </w:rPr>
                    <w:t>m</w:t>
                  </w:r>
                </w:p>
              </w:tc>
            </w:tr>
          </w:tbl>
          <w:p w14:paraId="5494AD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p>
        </w:tc>
        <w:tc>
          <w:tcPr>
            <w:tcW w:w="973" w:type="pct"/>
            <w:tcBorders>
              <w:tl2br w:val="nil"/>
              <w:tr2bl w:val="nil"/>
            </w:tcBorders>
            <w:shd w:val="clear" w:color="auto" w:fill="auto"/>
            <w:noWrap w:val="0"/>
            <w:vAlign w:val="center"/>
          </w:tcPr>
          <w:p w14:paraId="6D947D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未新增</w:t>
            </w:r>
            <w:r>
              <w:rPr>
                <w:rFonts w:hint="default" w:ascii="Times New Roman" w:hAnsi="Times New Roman" w:eastAsia="宋体" w:cs="Times New Roman"/>
                <w:color w:val="auto"/>
                <w:sz w:val="21"/>
                <w:szCs w:val="21"/>
                <w:highlight w:val="none"/>
                <w:lang w:val="en-US" w:eastAsia="zh-CN"/>
              </w:rPr>
              <w:t>生产装置外的其他装置</w:t>
            </w:r>
            <w:r>
              <w:rPr>
                <w:rFonts w:hint="eastAsia" w:ascii="Times New Roman" w:hAnsi="Times New Roman" w:eastAsia="宋体" w:cs="Times New Roman"/>
                <w:color w:val="auto"/>
                <w:sz w:val="21"/>
                <w:szCs w:val="21"/>
                <w:highlight w:val="none"/>
                <w:lang w:val="en-US" w:eastAsia="zh-CN"/>
              </w:rPr>
              <w:t>，</w:t>
            </w:r>
          </w:p>
          <w:tbl>
            <w:tblPr>
              <w:tblStyle w:val="25"/>
              <w:tblW w:w="4996"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97"/>
              <w:gridCol w:w="1210"/>
            </w:tblGrid>
            <w:tr w14:paraId="190B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679" w:type="pct"/>
                  <w:tcBorders>
                    <w:tl2br w:val="nil"/>
                    <w:tr2bl w:val="nil"/>
                  </w:tcBorders>
                  <w:noWrap w:val="0"/>
                  <w:vAlign w:val="center"/>
                </w:tcPr>
                <w:p w14:paraId="04557A1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2320" w:type="pct"/>
                  <w:tcBorders>
                    <w:tl2br w:val="nil"/>
                    <w:tr2bl w:val="nil"/>
                  </w:tcBorders>
                  <w:noWrap w:val="0"/>
                  <w:vAlign w:val="center"/>
                </w:tcPr>
                <w:p w14:paraId="6E1B1D1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井深</w:t>
                  </w:r>
                </w:p>
              </w:tc>
            </w:tr>
            <w:tr w14:paraId="191E9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679" w:type="pct"/>
                  <w:tcBorders>
                    <w:tl2br w:val="nil"/>
                    <w:tr2bl w:val="nil"/>
                  </w:tcBorders>
                  <w:shd w:val="clear" w:color="auto" w:fill="auto"/>
                  <w:noWrap w:val="0"/>
                  <w:vAlign w:val="center"/>
                </w:tcPr>
                <w:p w14:paraId="06CF21F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JH2P42</w:t>
                  </w:r>
                </w:p>
              </w:tc>
              <w:tc>
                <w:tcPr>
                  <w:tcW w:w="2320" w:type="pct"/>
                  <w:tcBorders>
                    <w:tl2br w:val="nil"/>
                    <w:tr2bl w:val="nil"/>
                  </w:tcBorders>
                  <w:shd w:val="clear" w:color="auto" w:fill="auto"/>
                  <w:noWrap w:val="0"/>
                  <w:vAlign w:val="center"/>
                </w:tcPr>
                <w:p w14:paraId="235680E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2164m</w:t>
                  </w:r>
                </w:p>
              </w:tc>
            </w:tr>
            <w:tr w14:paraId="3317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679" w:type="pct"/>
                  <w:tcBorders>
                    <w:tl2br w:val="nil"/>
                    <w:tr2bl w:val="nil"/>
                  </w:tcBorders>
                  <w:shd w:val="clear" w:color="auto" w:fill="auto"/>
                  <w:noWrap w:val="0"/>
                  <w:vAlign w:val="center"/>
                </w:tcPr>
                <w:p w14:paraId="67B942A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长探105</w:t>
                  </w:r>
                </w:p>
              </w:tc>
              <w:tc>
                <w:tcPr>
                  <w:tcW w:w="2320" w:type="pct"/>
                  <w:tcBorders>
                    <w:tl2br w:val="nil"/>
                    <w:tr2bl w:val="nil"/>
                  </w:tcBorders>
                  <w:shd w:val="clear" w:color="auto" w:fill="auto"/>
                  <w:noWrap w:val="0"/>
                  <w:vAlign w:val="center"/>
                </w:tcPr>
                <w:p w14:paraId="50E8FA4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4030m</w:t>
                  </w:r>
                </w:p>
              </w:tc>
            </w:tr>
            <w:tr w14:paraId="0DBB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42F4FA0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JH2P44</w:t>
                  </w:r>
                </w:p>
              </w:tc>
              <w:tc>
                <w:tcPr>
                  <w:tcW w:w="0" w:type="auto"/>
                  <w:shd w:val="clear" w:color="auto" w:fill="auto"/>
                  <w:vAlign w:val="center"/>
                </w:tcPr>
                <w:p w14:paraId="722219C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2222</w:t>
                  </w:r>
                  <w:r>
                    <w:rPr>
                      <w:rFonts w:hint="eastAsia" w:ascii="Times New Roman" w:hAnsi="Times New Roman" w:eastAsia="宋体" w:cs="Times New Roman"/>
                      <w:color w:val="auto"/>
                      <w:spacing w:val="0"/>
                      <w:w w:val="100"/>
                      <w:sz w:val="21"/>
                      <w:szCs w:val="21"/>
                      <w:highlight w:val="none"/>
                      <w:lang w:val="en-US" w:eastAsia="zh-CN" w:bidi="ar-SA"/>
                    </w:rPr>
                    <w:t>m</w:t>
                  </w:r>
                </w:p>
              </w:tc>
            </w:tr>
            <w:tr w14:paraId="33EF3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375F08A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良平101H</w:t>
                  </w:r>
                </w:p>
              </w:tc>
              <w:tc>
                <w:tcPr>
                  <w:tcW w:w="0" w:type="auto"/>
                  <w:shd w:val="clear" w:color="auto" w:fill="auto"/>
                  <w:vAlign w:val="center"/>
                </w:tcPr>
                <w:p w14:paraId="258E038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2039m</w:t>
                  </w:r>
                </w:p>
              </w:tc>
            </w:tr>
          </w:tbl>
          <w:p w14:paraId="1ECFF7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p>
        </w:tc>
        <w:tc>
          <w:tcPr>
            <w:tcW w:w="1032" w:type="pct"/>
            <w:tcBorders>
              <w:tl2br w:val="nil"/>
              <w:tr2bl w:val="nil"/>
            </w:tcBorders>
            <w:shd w:val="clear" w:color="auto" w:fill="auto"/>
            <w:noWrap w:val="0"/>
            <w:vAlign w:val="center"/>
          </w:tcPr>
          <w:p w14:paraId="3EB350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未新增</w:t>
            </w:r>
            <w:r>
              <w:rPr>
                <w:rFonts w:hint="default" w:ascii="Times New Roman" w:hAnsi="Times New Roman" w:eastAsia="宋体" w:cs="Times New Roman"/>
                <w:color w:val="auto"/>
                <w:sz w:val="21"/>
                <w:szCs w:val="21"/>
                <w:highlight w:val="none"/>
                <w:lang w:val="en-US" w:eastAsia="zh-CN"/>
              </w:rPr>
              <w:t>生产装置外的其他装置</w:t>
            </w:r>
            <w:r>
              <w:rPr>
                <w:rFonts w:hint="eastAsia" w:ascii="Times New Roman" w:hAnsi="Times New Roman" w:eastAsia="宋体" w:cs="Times New Roman"/>
                <w:color w:val="auto"/>
                <w:sz w:val="21"/>
                <w:szCs w:val="21"/>
                <w:highlight w:val="none"/>
                <w:lang w:val="en-US" w:eastAsia="zh-CN"/>
              </w:rPr>
              <w:t>，井深</w:t>
            </w:r>
            <w:r>
              <w:rPr>
                <w:rFonts w:hint="eastAsia" w:ascii="Times New Roman" w:hAnsi="Times New Roman" w:eastAsia="宋体" w:cs="Times New Roman"/>
                <w:color w:val="auto"/>
                <w:spacing w:val="0"/>
                <w:w w:val="100"/>
                <w:sz w:val="21"/>
                <w:szCs w:val="21"/>
                <w:highlight w:val="none"/>
                <w:lang w:val="en-US" w:eastAsia="zh-CN"/>
              </w:rPr>
              <w:t>变浅5.5%、17.1%、变深5.8%、变浅12.1%，导致相关污染物产生量发生变化，但是均得到有效处置</w:t>
            </w:r>
          </w:p>
        </w:tc>
        <w:tc>
          <w:tcPr>
            <w:tcW w:w="223" w:type="pct"/>
            <w:tcBorders>
              <w:tl2br w:val="nil"/>
              <w:tr2bl w:val="nil"/>
            </w:tcBorders>
            <w:noWrap w:val="0"/>
            <w:vAlign w:val="center"/>
          </w:tcPr>
          <w:p w14:paraId="4F94CE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r>
      <w:tr w14:paraId="4B51F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0" w:type="pct"/>
            <w:gridSpan w:val="4"/>
            <w:tcBorders>
              <w:tl2br w:val="nil"/>
              <w:tr2bl w:val="nil"/>
            </w:tcBorders>
            <w:noWrap w:val="0"/>
            <w:vAlign w:val="center"/>
          </w:tcPr>
          <w:p w14:paraId="546298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回注井增加，占地面积范围内新增环境敏感区</w:t>
            </w:r>
          </w:p>
        </w:tc>
        <w:tc>
          <w:tcPr>
            <w:tcW w:w="933" w:type="pct"/>
            <w:tcBorders>
              <w:tl2br w:val="nil"/>
              <w:tr2bl w:val="nil"/>
            </w:tcBorders>
            <w:noWrap w:val="0"/>
            <w:vAlign w:val="center"/>
          </w:tcPr>
          <w:p w14:paraId="6DF2A43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不涉及</w:t>
            </w:r>
          </w:p>
        </w:tc>
        <w:tc>
          <w:tcPr>
            <w:tcW w:w="927" w:type="pct"/>
            <w:tcBorders>
              <w:tl2br w:val="nil"/>
              <w:tr2bl w:val="nil"/>
            </w:tcBorders>
            <w:noWrap w:val="0"/>
            <w:vAlign w:val="center"/>
          </w:tcPr>
          <w:p w14:paraId="04997E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不涉及</w:t>
            </w:r>
          </w:p>
        </w:tc>
        <w:tc>
          <w:tcPr>
            <w:tcW w:w="973" w:type="pct"/>
            <w:tcBorders>
              <w:tl2br w:val="nil"/>
              <w:tr2bl w:val="nil"/>
            </w:tcBorders>
            <w:noWrap w:val="0"/>
            <w:vAlign w:val="center"/>
          </w:tcPr>
          <w:p w14:paraId="6D604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不涉及</w:t>
            </w:r>
          </w:p>
        </w:tc>
        <w:tc>
          <w:tcPr>
            <w:tcW w:w="1032" w:type="pct"/>
            <w:tcBorders>
              <w:tl2br w:val="nil"/>
              <w:tr2bl w:val="nil"/>
            </w:tcBorders>
            <w:noWrap w:val="0"/>
            <w:vAlign w:val="center"/>
          </w:tcPr>
          <w:p w14:paraId="18B09D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B1C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956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397" w:type="pct"/>
            <w:tcBorders>
              <w:tl2br w:val="nil"/>
              <w:tr2bl w:val="nil"/>
            </w:tcBorders>
            <w:noWrap w:val="0"/>
            <w:vAlign w:val="center"/>
          </w:tcPr>
          <w:p w14:paraId="19F92C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井位或站场位置变化导致评价范围内环境敏感目标数量增加</w:t>
            </w:r>
          </w:p>
        </w:tc>
        <w:tc>
          <w:tcPr>
            <w:tcW w:w="513" w:type="pct"/>
            <w:gridSpan w:val="3"/>
            <w:tcBorders>
              <w:tl2br w:val="nil"/>
              <w:tr2bl w:val="nil"/>
            </w:tcBorders>
            <w:noWrap w:val="0"/>
            <w:vAlign w:val="center"/>
          </w:tcPr>
          <w:p w14:paraId="1D9E4A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建设地点</w:t>
            </w:r>
          </w:p>
        </w:tc>
        <w:tc>
          <w:tcPr>
            <w:tcW w:w="933" w:type="pct"/>
            <w:tcBorders>
              <w:tl2br w:val="nil"/>
              <w:tr2bl w:val="nil"/>
            </w:tcBorders>
            <w:shd w:val="clear" w:color="auto" w:fill="auto"/>
            <w:noWrap w:val="0"/>
            <w:vAlign w:val="center"/>
          </w:tcPr>
          <w:p w14:paraId="308BCEA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JH2P42(四至坐标:X:3919565,Y:36496195;X:3919663,Y:36496185;X:3919671,Y:36496275;X:3919573,Y:36496270,中心坐标:X:3919612,Y:36496228)、JH2P44(四至坐标:X:3918152,Y:36495679;X:3918223,Y:36495732;X:3918144,Y:36495806X:3918076,Y:36495734,中心坐标:X:3918149,Y:36495730)、良平101H(四至坐标:X:3922117,Y:36495493;X:3922147,Y:36495415;X:3922228,Y:36495447;X:392219836495522,中心坐标:X:3922167,Y:36495470)；长探105(四至坐标:X:3922138,Y:36487770;X:3922192,Y:36487703;X:3922290,Y:36487762;X:3922244,Y:36487827,中心坐标:X:3922213,Y:36487770)</w:t>
            </w:r>
          </w:p>
        </w:tc>
        <w:tc>
          <w:tcPr>
            <w:tcW w:w="927" w:type="pct"/>
            <w:tcBorders>
              <w:tl2br w:val="nil"/>
              <w:tr2bl w:val="nil"/>
            </w:tcBorders>
            <w:shd w:val="clear" w:color="auto" w:fill="auto"/>
            <w:noWrap w:val="0"/>
            <w:vAlign w:val="center"/>
          </w:tcPr>
          <w:tbl>
            <w:tblPr>
              <w:tblStyle w:val="25"/>
              <w:tblW w:w="386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5"/>
              <w:gridCol w:w="1069"/>
              <w:gridCol w:w="1137"/>
              <w:gridCol w:w="1137"/>
            </w:tblGrid>
            <w:tr w14:paraId="2784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678" w:type="pct"/>
                  <w:tcBorders>
                    <w:tl2br w:val="nil"/>
                    <w:tr2bl w:val="nil"/>
                  </w:tcBorders>
                  <w:noWrap w:val="0"/>
                  <w:vAlign w:val="center"/>
                </w:tcPr>
                <w:p w14:paraId="2272D64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1381" w:type="pct"/>
                  <w:tcBorders>
                    <w:tl2br w:val="nil"/>
                    <w:tr2bl w:val="nil"/>
                  </w:tcBorders>
                  <w:noWrap w:val="0"/>
                  <w:vAlign w:val="center"/>
                </w:tcPr>
                <w:p w14:paraId="42133BC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地理位置</w:t>
                  </w:r>
                </w:p>
              </w:tc>
              <w:tc>
                <w:tcPr>
                  <w:tcW w:w="1469" w:type="pct"/>
                  <w:tcBorders>
                    <w:tl2br w:val="nil"/>
                    <w:tr2bl w:val="nil"/>
                  </w:tcBorders>
                  <w:noWrap w:val="0"/>
                  <w:vAlign w:val="center"/>
                </w:tcPr>
                <w:p w14:paraId="07BBE38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中心点坐标</w:t>
                  </w:r>
                </w:p>
              </w:tc>
              <w:tc>
                <w:tcPr>
                  <w:tcW w:w="1469" w:type="pct"/>
                  <w:tcBorders>
                    <w:tl2br w:val="nil"/>
                    <w:tr2bl w:val="nil"/>
                  </w:tcBorders>
                  <w:noWrap w:val="0"/>
                  <w:vAlign w:val="center"/>
                </w:tcPr>
                <w:p w14:paraId="1FBA424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rPr>
                  </w:pPr>
                </w:p>
              </w:tc>
            </w:tr>
            <w:tr w14:paraId="3573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678" w:type="pct"/>
                  <w:tcBorders>
                    <w:tl2br w:val="nil"/>
                    <w:tr2bl w:val="nil"/>
                  </w:tcBorders>
                  <w:shd w:val="clear" w:color="auto" w:fill="auto"/>
                  <w:noWrap w:val="0"/>
                  <w:vAlign w:val="center"/>
                </w:tcPr>
                <w:p w14:paraId="76AB78B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JH2P42</w:t>
                  </w:r>
                </w:p>
              </w:tc>
              <w:tc>
                <w:tcPr>
                  <w:tcW w:w="1381" w:type="pct"/>
                  <w:tcBorders>
                    <w:tl2br w:val="nil"/>
                    <w:tr2bl w:val="nil"/>
                  </w:tcBorders>
                  <w:shd w:val="clear" w:color="auto" w:fill="auto"/>
                  <w:noWrap w:val="0"/>
                  <w:vAlign w:val="center"/>
                </w:tcPr>
                <w:p w14:paraId="56898C3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宁县早胜镇西头村</w:t>
                  </w:r>
                </w:p>
              </w:tc>
              <w:tc>
                <w:tcPr>
                  <w:tcW w:w="1469" w:type="pct"/>
                  <w:tcBorders>
                    <w:tl2br w:val="nil"/>
                    <w:tr2bl w:val="nil"/>
                  </w:tcBorders>
                  <w:shd w:val="clear" w:color="auto" w:fill="auto"/>
                  <w:noWrap w:val="0"/>
                  <w:vAlign w:val="center"/>
                </w:tcPr>
                <w:p w14:paraId="40313B2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eastAsia"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E 108°11′30.507″，N 35°20′20.726″</w:t>
                  </w:r>
                </w:p>
              </w:tc>
              <w:tc>
                <w:tcPr>
                  <w:tcW w:w="1469" w:type="pct"/>
                  <w:tcBorders>
                    <w:tl2br w:val="nil"/>
                    <w:tr2bl w:val="nil"/>
                  </w:tcBorders>
                  <w:shd w:val="clear" w:color="auto" w:fill="auto"/>
                  <w:noWrap w:val="0"/>
                  <w:vAlign w:val="center"/>
                </w:tcPr>
                <w:p w14:paraId="3FA83D8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rPr>
                  </w:pPr>
                </w:p>
              </w:tc>
            </w:tr>
            <w:tr w14:paraId="2790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1" w:hRule="atLeast"/>
              </w:trPr>
              <w:tc>
                <w:tcPr>
                  <w:tcW w:w="678" w:type="pct"/>
                  <w:tcBorders>
                    <w:tl2br w:val="nil"/>
                    <w:tr2bl w:val="nil"/>
                  </w:tcBorders>
                  <w:shd w:val="clear" w:color="auto" w:fill="auto"/>
                  <w:noWrap w:val="0"/>
                  <w:vAlign w:val="center"/>
                </w:tcPr>
                <w:p w14:paraId="3349966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长探105</w:t>
                  </w:r>
                </w:p>
              </w:tc>
              <w:tc>
                <w:tcPr>
                  <w:tcW w:w="1381" w:type="pct"/>
                  <w:tcBorders>
                    <w:tl2br w:val="nil"/>
                    <w:tr2bl w:val="nil"/>
                  </w:tcBorders>
                  <w:shd w:val="clear" w:color="auto" w:fill="auto"/>
                  <w:noWrap w:val="0"/>
                  <w:vAlign w:val="center"/>
                </w:tcPr>
                <w:p w14:paraId="305E31A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宁县焦村镇朱家塬村</w:t>
                  </w:r>
                </w:p>
              </w:tc>
              <w:tc>
                <w:tcPr>
                  <w:tcW w:w="1469" w:type="pct"/>
                  <w:tcBorders>
                    <w:tl2br w:val="nil"/>
                    <w:tr2bl w:val="nil"/>
                  </w:tcBorders>
                  <w:shd w:val="clear" w:color="auto" w:fill="auto"/>
                  <w:noWrap w:val="0"/>
                  <w:vAlign w:val="center"/>
                </w:tcPr>
                <w:p w14:paraId="58B1A42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E107°51′55.158″，N35°25′44.878″</w:t>
                  </w:r>
                </w:p>
              </w:tc>
              <w:tc>
                <w:tcPr>
                  <w:tcW w:w="1469" w:type="pct"/>
                  <w:tcBorders>
                    <w:tl2br w:val="nil"/>
                    <w:tr2bl w:val="nil"/>
                  </w:tcBorders>
                  <w:shd w:val="clear" w:color="auto" w:fill="auto"/>
                  <w:noWrap w:val="0"/>
                  <w:vAlign w:val="center"/>
                </w:tcPr>
                <w:p w14:paraId="60C0F14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p>
              </w:tc>
            </w:tr>
            <w:tr w14:paraId="0793E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678" w:type="pct"/>
                  <w:shd w:val="clear" w:color="auto" w:fill="auto"/>
                  <w:vAlign w:val="center"/>
                </w:tcPr>
                <w:p w14:paraId="77C74A3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JH2P44</w:t>
                  </w:r>
                </w:p>
              </w:tc>
              <w:tc>
                <w:tcPr>
                  <w:tcW w:w="1381" w:type="pct"/>
                  <w:shd w:val="clear" w:color="auto" w:fill="auto"/>
                  <w:vAlign w:val="center"/>
                </w:tcPr>
                <w:p w14:paraId="7D39194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宁县中村镇平定村</w:t>
                  </w:r>
                </w:p>
              </w:tc>
              <w:tc>
                <w:tcPr>
                  <w:tcW w:w="0" w:type="auto"/>
                  <w:shd w:val="clear" w:color="auto" w:fill="auto"/>
                  <w:vAlign w:val="center"/>
                </w:tcPr>
                <w:p w14:paraId="25A6DA4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E107°57′10.798″，N35°23′33.248″</w:t>
                  </w:r>
                </w:p>
              </w:tc>
              <w:tc>
                <w:tcPr>
                  <w:tcW w:w="0" w:type="auto"/>
                </w:tcPr>
                <w:p w14:paraId="60B14E7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p>
              </w:tc>
            </w:tr>
            <w:tr w14:paraId="114E3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678" w:type="pct"/>
                  <w:shd w:val="clear" w:color="auto" w:fill="auto"/>
                  <w:vAlign w:val="center"/>
                </w:tcPr>
                <w:p w14:paraId="0D4C8A9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良平101H</w:t>
                  </w:r>
                </w:p>
              </w:tc>
              <w:tc>
                <w:tcPr>
                  <w:tcW w:w="1381" w:type="pct"/>
                  <w:shd w:val="clear" w:color="auto" w:fill="auto"/>
                  <w:vAlign w:val="center"/>
                </w:tcPr>
                <w:p w14:paraId="56DFD92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宁县早胜镇院子村</w:t>
                  </w:r>
                </w:p>
              </w:tc>
              <w:tc>
                <w:tcPr>
                  <w:tcW w:w="0" w:type="auto"/>
                  <w:shd w:val="clear" w:color="auto" w:fill="auto"/>
                  <w:vAlign w:val="center"/>
                </w:tcPr>
                <w:p w14:paraId="77359CB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E107°57′00.415″，N35°25′43.619″</w:t>
                  </w:r>
                </w:p>
              </w:tc>
              <w:tc>
                <w:tcPr>
                  <w:tcW w:w="0" w:type="auto"/>
                </w:tcPr>
                <w:p w14:paraId="1A9D4DB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p>
              </w:tc>
            </w:tr>
          </w:tbl>
          <w:p w14:paraId="170E87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p>
        </w:tc>
        <w:tc>
          <w:tcPr>
            <w:tcW w:w="973" w:type="pct"/>
            <w:tcBorders>
              <w:tl2br w:val="nil"/>
              <w:tr2bl w:val="nil"/>
            </w:tcBorders>
            <w:shd w:val="clear" w:color="auto" w:fill="auto"/>
            <w:noWrap w:val="0"/>
            <w:vAlign w:val="center"/>
          </w:tcPr>
          <w:tbl>
            <w:tblPr>
              <w:tblStyle w:val="25"/>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875"/>
              <w:gridCol w:w="1090"/>
            </w:tblGrid>
            <w:tr w14:paraId="0FFC1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234" w:type="pct"/>
                  <w:tcBorders>
                    <w:tl2br w:val="nil"/>
                    <w:tr2bl w:val="nil"/>
                  </w:tcBorders>
                  <w:noWrap w:val="0"/>
                  <w:vAlign w:val="center"/>
                </w:tcPr>
                <w:p w14:paraId="588B904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1676" w:type="pct"/>
                  <w:tcBorders>
                    <w:tl2br w:val="nil"/>
                    <w:tr2bl w:val="nil"/>
                  </w:tcBorders>
                  <w:noWrap w:val="0"/>
                  <w:vAlign w:val="center"/>
                </w:tcPr>
                <w:p w14:paraId="4070A32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地理位置</w:t>
                  </w:r>
                </w:p>
              </w:tc>
              <w:tc>
                <w:tcPr>
                  <w:tcW w:w="2088" w:type="pct"/>
                  <w:tcBorders>
                    <w:tl2br w:val="nil"/>
                    <w:tr2bl w:val="nil"/>
                  </w:tcBorders>
                  <w:noWrap w:val="0"/>
                  <w:vAlign w:val="center"/>
                </w:tcPr>
                <w:p w14:paraId="221FEC2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中心点坐标</w:t>
                  </w:r>
                </w:p>
              </w:tc>
            </w:tr>
            <w:tr w14:paraId="4643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234" w:type="pct"/>
                  <w:tcBorders>
                    <w:tl2br w:val="nil"/>
                    <w:tr2bl w:val="nil"/>
                  </w:tcBorders>
                  <w:shd w:val="clear" w:color="auto" w:fill="auto"/>
                  <w:noWrap w:val="0"/>
                  <w:vAlign w:val="center"/>
                </w:tcPr>
                <w:p w14:paraId="09B06EA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JH2P42</w:t>
                  </w:r>
                </w:p>
              </w:tc>
              <w:tc>
                <w:tcPr>
                  <w:tcW w:w="1676" w:type="pct"/>
                  <w:tcBorders>
                    <w:tl2br w:val="nil"/>
                    <w:tr2bl w:val="nil"/>
                  </w:tcBorders>
                  <w:shd w:val="clear" w:color="auto" w:fill="auto"/>
                  <w:noWrap w:val="0"/>
                  <w:vAlign w:val="center"/>
                </w:tcPr>
                <w:p w14:paraId="2A1950C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宁县早胜镇西头村</w:t>
                  </w:r>
                </w:p>
              </w:tc>
              <w:tc>
                <w:tcPr>
                  <w:tcW w:w="2088" w:type="pct"/>
                  <w:tcBorders>
                    <w:tl2br w:val="nil"/>
                    <w:tr2bl w:val="nil"/>
                  </w:tcBorders>
                  <w:shd w:val="clear" w:color="auto" w:fill="auto"/>
                  <w:noWrap w:val="0"/>
                  <w:vAlign w:val="center"/>
                </w:tcPr>
                <w:p w14:paraId="6A07EE7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eastAsia"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E 108°11′30.507″，N 35°20′20.726″</w:t>
                  </w:r>
                </w:p>
              </w:tc>
            </w:tr>
            <w:tr w14:paraId="22CC5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234" w:type="pct"/>
                  <w:tcBorders>
                    <w:tl2br w:val="nil"/>
                    <w:tr2bl w:val="nil"/>
                  </w:tcBorders>
                  <w:shd w:val="clear" w:color="auto" w:fill="auto"/>
                  <w:noWrap w:val="0"/>
                  <w:vAlign w:val="center"/>
                </w:tcPr>
                <w:p w14:paraId="3DF0250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长探105</w:t>
                  </w:r>
                </w:p>
              </w:tc>
              <w:tc>
                <w:tcPr>
                  <w:tcW w:w="1676" w:type="pct"/>
                  <w:tcBorders>
                    <w:tl2br w:val="nil"/>
                    <w:tr2bl w:val="nil"/>
                  </w:tcBorders>
                  <w:shd w:val="clear" w:color="auto" w:fill="auto"/>
                  <w:noWrap w:val="0"/>
                  <w:vAlign w:val="center"/>
                </w:tcPr>
                <w:p w14:paraId="3D53EB0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宁县焦村镇朱家塬村</w:t>
                  </w:r>
                </w:p>
              </w:tc>
              <w:tc>
                <w:tcPr>
                  <w:tcW w:w="2088" w:type="pct"/>
                  <w:tcBorders>
                    <w:tl2br w:val="nil"/>
                    <w:tr2bl w:val="nil"/>
                  </w:tcBorders>
                  <w:shd w:val="clear" w:color="auto" w:fill="auto"/>
                  <w:noWrap w:val="0"/>
                  <w:vAlign w:val="center"/>
                </w:tcPr>
                <w:p w14:paraId="0688B39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E107°51′55.158″，N35°25′44.878″</w:t>
                  </w:r>
                </w:p>
              </w:tc>
            </w:tr>
            <w:tr w14:paraId="0E12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234" w:type="pct"/>
                  <w:shd w:val="clear" w:color="auto" w:fill="auto"/>
                  <w:vAlign w:val="center"/>
                </w:tcPr>
                <w:p w14:paraId="4962E07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JH2P44</w:t>
                  </w:r>
                </w:p>
              </w:tc>
              <w:tc>
                <w:tcPr>
                  <w:tcW w:w="1676" w:type="pct"/>
                  <w:shd w:val="clear" w:color="auto" w:fill="auto"/>
                  <w:vAlign w:val="center"/>
                </w:tcPr>
                <w:p w14:paraId="1D2ABB3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宁县中村镇平定村</w:t>
                  </w:r>
                </w:p>
              </w:tc>
              <w:tc>
                <w:tcPr>
                  <w:tcW w:w="2088" w:type="pct"/>
                  <w:shd w:val="clear" w:color="auto" w:fill="auto"/>
                  <w:vAlign w:val="center"/>
                </w:tcPr>
                <w:p w14:paraId="7F74F43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E107°57′10.798″，N35°23′33.248″</w:t>
                  </w:r>
                </w:p>
              </w:tc>
            </w:tr>
            <w:tr w14:paraId="7B2C6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234" w:type="pct"/>
                  <w:shd w:val="clear" w:color="auto" w:fill="auto"/>
                  <w:vAlign w:val="center"/>
                </w:tcPr>
                <w:p w14:paraId="0CD74F5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良平101H</w:t>
                  </w:r>
                </w:p>
              </w:tc>
              <w:tc>
                <w:tcPr>
                  <w:tcW w:w="1676" w:type="pct"/>
                  <w:shd w:val="clear" w:color="auto" w:fill="auto"/>
                  <w:vAlign w:val="center"/>
                </w:tcPr>
                <w:p w14:paraId="76C54E6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宁县早胜镇院子村</w:t>
                  </w:r>
                </w:p>
              </w:tc>
              <w:tc>
                <w:tcPr>
                  <w:tcW w:w="2088" w:type="pct"/>
                  <w:shd w:val="clear" w:color="auto" w:fill="auto"/>
                  <w:vAlign w:val="center"/>
                </w:tcPr>
                <w:p w14:paraId="5F18B77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E107°57′00.415″，N35°25′43.619″</w:t>
                  </w:r>
                </w:p>
              </w:tc>
            </w:tr>
          </w:tbl>
          <w:p w14:paraId="2D0708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p>
        </w:tc>
        <w:tc>
          <w:tcPr>
            <w:tcW w:w="1032" w:type="pct"/>
            <w:tcBorders>
              <w:tl2br w:val="nil"/>
              <w:tr2bl w:val="nil"/>
            </w:tcBorders>
            <w:shd w:val="clear" w:color="auto" w:fill="auto"/>
            <w:noWrap w:val="0"/>
            <w:vAlign w:val="center"/>
          </w:tcPr>
          <w:p w14:paraId="6DED69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p w14:paraId="2232F3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根据现场调查，本项目场址未发生偏移</w:t>
            </w:r>
          </w:p>
        </w:tc>
        <w:tc>
          <w:tcPr>
            <w:tcW w:w="223" w:type="pct"/>
            <w:tcBorders>
              <w:tl2br w:val="nil"/>
              <w:tr2bl w:val="nil"/>
            </w:tcBorders>
            <w:shd w:val="clear" w:color="auto" w:fill="auto"/>
            <w:noWrap w:val="0"/>
            <w:vAlign w:val="center"/>
          </w:tcPr>
          <w:p w14:paraId="4664C6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p w14:paraId="2252E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4429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910" w:type="pct"/>
            <w:gridSpan w:val="4"/>
            <w:tcBorders>
              <w:tl2br w:val="nil"/>
              <w:tr2bl w:val="nil"/>
            </w:tcBorders>
            <w:noWrap w:val="0"/>
            <w:vAlign w:val="center"/>
          </w:tcPr>
          <w:p w14:paraId="0F6DE6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开发方式</w:t>
            </w:r>
          </w:p>
        </w:tc>
        <w:tc>
          <w:tcPr>
            <w:tcW w:w="933" w:type="pct"/>
            <w:tcBorders>
              <w:tl2br w:val="nil"/>
              <w:tr2bl w:val="nil"/>
            </w:tcBorders>
            <w:noWrap w:val="0"/>
            <w:vAlign w:val="center"/>
          </w:tcPr>
          <w:p w14:paraId="3AC2E5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927" w:type="pct"/>
            <w:tcBorders>
              <w:tl2br w:val="nil"/>
              <w:tr2bl w:val="nil"/>
            </w:tcBorders>
            <w:noWrap w:val="0"/>
            <w:vAlign w:val="center"/>
          </w:tcPr>
          <w:p w14:paraId="0E8577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973" w:type="pct"/>
            <w:tcBorders>
              <w:tl2br w:val="nil"/>
              <w:tr2bl w:val="nil"/>
            </w:tcBorders>
            <w:noWrap w:val="0"/>
            <w:vAlign w:val="center"/>
          </w:tcPr>
          <w:p w14:paraId="02B8E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1032" w:type="pct"/>
            <w:tcBorders>
              <w:tl2br w:val="nil"/>
              <w:tr2bl w:val="nil"/>
            </w:tcBorders>
            <w:shd w:val="clear" w:color="auto" w:fill="auto"/>
            <w:noWrap w:val="0"/>
            <w:vAlign w:val="center"/>
          </w:tcPr>
          <w:p w14:paraId="30372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08EE48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6FA7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0" w:type="pct"/>
            <w:gridSpan w:val="4"/>
            <w:tcBorders>
              <w:tl2br w:val="nil"/>
              <w:tr2bl w:val="nil"/>
            </w:tcBorders>
            <w:noWrap w:val="0"/>
            <w:vAlign w:val="center"/>
          </w:tcPr>
          <w:p w14:paraId="2F0E4F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生产工艺</w:t>
            </w:r>
          </w:p>
        </w:tc>
        <w:tc>
          <w:tcPr>
            <w:tcW w:w="933" w:type="pct"/>
            <w:tcBorders>
              <w:tl2br w:val="nil"/>
              <w:tr2bl w:val="nil"/>
            </w:tcBorders>
            <w:noWrap w:val="0"/>
            <w:vAlign w:val="center"/>
          </w:tcPr>
          <w:p w14:paraId="711FCA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927" w:type="pct"/>
            <w:tcBorders>
              <w:tl2br w:val="nil"/>
              <w:tr2bl w:val="nil"/>
            </w:tcBorders>
            <w:noWrap w:val="0"/>
            <w:vAlign w:val="center"/>
          </w:tcPr>
          <w:p w14:paraId="117AC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w:t>
            </w:r>
            <w:r>
              <w:rPr>
                <w:rFonts w:hint="eastAsia" w:ascii="Times New Roman" w:hAnsi="Times New Roman" w:eastAsia="宋体" w:cs="Times New Roman"/>
                <w:color w:val="auto"/>
                <w:sz w:val="21"/>
                <w:szCs w:val="21"/>
                <w:highlight w:val="none"/>
                <w:lang w:val="en-US" w:eastAsia="zh-CN"/>
              </w:rPr>
              <w:t>油、气</w:t>
            </w:r>
            <w:r>
              <w:rPr>
                <w:rFonts w:hint="default" w:ascii="Times New Roman" w:hAnsi="Times New Roman" w:eastAsia="宋体" w:cs="Times New Roman"/>
                <w:color w:val="auto"/>
                <w:sz w:val="21"/>
                <w:szCs w:val="21"/>
                <w:highlight w:val="none"/>
                <w:lang w:val="en-US" w:eastAsia="zh-CN"/>
              </w:rPr>
              <w:t>等)</w:t>
            </w:r>
          </w:p>
        </w:tc>
        <w:tc>
          <w:tcPr>
            <w:tcW w:w="973" w:type="pct"/>
            <w:tcBorders>
              <w:tl2br w:val="nil"/>
              <w:tr2bl w:val="nil"/>
            </w:tcBorders>
            <w:noWrap w:val="0"/>
            <w:vAlign w:val="center"/>
          </w:tcPr>
          <w:p w14:paraId="2054E5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w:t>
            </w:r>
            <w:r>
              <w:rPr>
                <w:rFonts w:hint="eastAsia" w:ascii="Times New Roman" w:hAnsi="Times New Roman" w:eastAsia="宋体" w:cs="Times New Roman"/>
                <w:color w:val="auto"/>
                <w:sz w:val="21"/>
                <w:szCs w:val="21"/>
                <w:highlight w:val="none"/>
                <w:lang w:val="en-US" w:eastAsia="zh-CN"/>
              </w:rPr>
              <w:t>油、气</w:t>
            </w:r>
            <w:r>
              <w:rPr>
                <w:rFonts w:hint="default" w:ascii="Times New Roman" w:hAnsi="Times New Roman" w:eastAsia="宋体" w:cs="Times New Roman"/>
                <w:color w:val="auto"/>
                <w:sz w:val="21"/>
                <w:szCs w:val="21"/>
                <w:highlight w:val="none"/>
                <w:lang w:val="en-US" w:eastAsia="zh-CN"/>
              </w:rPr>
              <w:t>等)</w:t>
            </w:r>
          </w:p>
        </w:tc>
        <w:tc>
          <w:tcPr>
            <w:tcW w:w="1032" w:type="pct"/>
            <w:tcBorders>
              <w:tl2br w:val="nil"/>
              <w:tr2bl w:val="nil"/>
            </w:tcBorders>
            <w:noWrap w:val="0"/>
            <w:vAlign w:val="center"/>
          </w:tcPr>
          <w:p w14:paraId="03800B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未变：完井后经</w:t>
            </w:r>
            <w:r>
              <w:rPr>
                <w:rFonts w:hint="default" w:ascii="Times New Roman" w:hAnsi="Times New Roman" w:eastAsia="宋体" w:cs="Times New Roman"/>
                <w:color w:val="auto"/>
                <w:sz w:val="21"/>
                <w:szCs w:val="21"/>
                <w:highlight w:val="none"/>
                <w:lang w:val="en-US" w:eastAsia="zh-CN"/>
              </w:rPr>
              <w:t>试</w:t>
            </w:r>
            <w:r>
              <w:rPr>
                <w:rFonts w:hint="eastAsia" w:ascii="Times New Roman" w:hAnsi="Times New Roman" w:eastAsia="宋体" w:cs="Times New Roman"/>
                <w:color w:val="auto"/>
                <w:sz w:val="21"/>
                <w:szCs w:val="21"/>
                <w:highlight w:val="none"/>
                <w:lang w:val="en-US" w:eastAsia="zh-CN"/>
              </w:rPr>
              <w:t>油、气，JH2P42、JH2P44、</w:t>
            </w:r>
          </w:p>
          <w:p w14:paraId="18C98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良平101H井场具有开采价值，已采取临时封井措施；长探105井场不具有开采价值，已永久封井，除井口外其余占地已平整并进行了绿化。</w:t>
            </w:r>
          </w:p>
        </w:tc>
        <w:tc>
          <w:tcPr>
            <w:tcW w:w="223" w:type="pct"/>
            <w:tcBorders>
              <w:tl2br w:val="nil"/>
              <w:tr2bl w:val="nil"/>
            </w:tcBorders>
            <w:noWrap w:val="0"/>
            <w:vAlign w:val="center"/>
          </w:tcPr>
          <w:p w14:paraId="2C3908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10A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397" w:type="pct"/>
            <w:vMerge w:val="restart"/>
            <w:tcBorders>
              <w:tl2br w:val="nil"/>
              <w:tr2bl w:val="nil"/>
            </w:tcBorders>
            <w:noWrap w:val="0"/>
            <w:vAlign w:val="center"/>
          </w:tcPr>
          <w:p w14:paraId="78E786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变化导致新增污染物种类或污染物排放量增加，与经批复的环境影响评价文件相比危险废物实际产生种类增加或数量增加、危险废物处置方式由外委改为自行处置或处置方式变化导致不利环境影响加重，主要生态环境保护措施或环境风险防范措施弱化或降低等情形</w:t>
            </w:r>
          </w:p>
        </w:tc>
        <w:tc>
          <w:tcPr>
            <w:tcW w:w="137" w:type="pct"/>
            <w:vMerge w:val="restart"/>
            <w:tcBorders>
              <w:tl2br w:val="nil"/>
              <w:tr2bl w:val="nil"/>
            </w:tcBorders>
            <w:noWrap w:val="0"/>
            <w:vAlign w:val="center"/>
          </w:tcPr>
          <w:p w14:paraId="3024D0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采用的防治污染措施及生态保护措施</w:t>
            </w:r>
          </w:p>
        </w:tc>
        <w:tc>
          <w:tcPr>
            <w:tcW w:w="133" w:type="pct"/>
            <w:vMerge w:val="restart"/>
            <w:tcBorders>
              <w:tl2br w:val="nil"/>
              <w:tr2bl w:val="nil"/>
            </w:tcBorders>
            <w:noWrap w:val="0"/>
            <w:vAlign w:val="center"/>
          </w:tcPr>
          <w:p w14:paraId="3BD30A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废气</w:t>
            </w:r>
          </w:p>
        </w:tc>
        <w:tc>
          <w:tcPr>
            <w:tcW w:w="242" w:type="pct"/>
            <w:tcBorders>
              <w:tl2br w:val="nil"/>
              <w:tr2bl w:val="nil"/>
            </w:tcBorders>
            <w:shd w:val="clear" w:color="auto" w:fill="auto"/>
            <w:noWrap w:val="0"/>
            <w:vAlign w:val="center"/>
          </w:tcPr>
          <w:p w14:paraId="75ABC3BD">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olor w:val="auto"/>
              </w:rPr>
              <w:t>施工扬尘</w:t>
            </w:r>
          </w:p>
        </w:tc>
        <w:tc>
          <w:tcPr>
            <w:tcW w:w="933" w:type="pct"/>
            <w:vMerge w:val="restart"/>
            <w:tcBorders>
              <w:tl2br w:val="nil"/>
              <w:tr2bl w:val="nil"/>
            </w:tcBorders>
            <w:noWrap w:val="0"/>
            <w:vAlign w:val="center"/>
          </w:tcPr>
          <w:p w14:paraId="0BBDA1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p>
          <w:p w14:paraId="64EB81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bottom w:val="single" w:color="000000" w:sz="4" w:space="0"/>
              <w:tl2br w:val="nil"/>
              <w:tr2bl w:val="nil"/>
            </w:tcBorders>
            <w:shd w:val="clear" w:color="auto" w:fill="auto"/>
            <w:noWrap w:val="0"/>
            <w:vAlign w:val="center"/>
          </w:tcPr>
          <w:p w14:paraId="0CA1BC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井场洒水抑尘，表土及建材堆放设置挡板、上覆遮盖材料，施工运输车辆采取密闭措施或加盖防尘布，临时道路配备洒水车定期洒水抑尘</w:t>
            </w:r>
          </w:p>
        </w:tc>
        <w:tc>
          <w:tcPr>
            <w:tcW w:w="973" w:type="pct"/>
            <w:tcBorders>
              <w:tl2br w:val="nil"/>
              <w:tr2bl w:val="nil"/>
            </w:tcBorders>
            <w:noWrap w:val="0"/>
            <w:vAlign w:val="center"/>
          </w:tcPr>
          <w:p w14:paraId="610455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开挖土方过程避开了大风天气</w:t>
            </w:r>
            <w:r>
              <w:rPr>
                <w:rFonts w:hint="eastAsia"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w:t>
            </w:r>
            <w:r>
              <w:rPr>
                <w:rFonts w:hint="eastAsia" w:ascii="Times New Roman" w:hAnsi="Times New Roman" w:eastAsia="宋体" w:cs="Times New Roman"/>
                <w:color w:val="auto"/>
                <w:sz w:val="21"/>
                <w:szCs w:val="21"/>
                <w:lang w:val="en-US" w:eastAsia="zh-CN"/>
              </w:rPr>
              <w:t>及</w:t>
            </w:r>
            <w:r>
              <w:rPr>
                <w:rFonts w:hint="default" w:ascii="Times New Roman" w:hAnsi="Times New Roman" w:eastAsia="宋体" w:cs="Times New Roman"/>
                <w:color w:val="auto"/>
                <w:spacing w:val="0"/>
                <w:sz w:val="21"/>
                <w:szCs w:val="21"/>
                <w:highlight w:val="none"/>
              </w:rPr>
              <w:t>抛撒料、渣</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减少扬尘产生量。</w:t>
            </w:r>
          </w:p>
          <w:p w14:paraId="0040061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运输车辆加盖篷布</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对施工道路、井场进行适量洒水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以降低扬尘。 </w:t>
            </w:r>
          </w:p>
          <w:p w14:paraId="2A0DC3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合理的施工方案和进出场路线，严格控制作业范围，尽量减少工程占地和对地表扰动，在敏感目标一侧建设减震沟。</w:t>
            </w:r>
          </w:p>
        </w:tc>
        <w:tc>
          <w:tcPr>
            <w:tcW w:w="1032" w:type="pct"/>
            <w:tcBorders>
              <w:tl2br w:val="nil"/>
              <w:tr2bl w:val="nil"/>
            </w:tcBorders>
            <w:noWrap w:val="0"/>
            <w:vAlign w:val="center"/>
          </w:tcPr>
          <w:p w14:paraId="4F366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40497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3F7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397" w:type="pct"/>
            <w:vMerge w:val="continue"/>
            <w:tcBorders>
              <w:tl2br w:val="nil"/>
              <w:tr2bl w:val="nil"/>
            </w:tcBorders>
            <w:noWrap w:val="0"/>
            <w:vAlign w:val="center"/>
          </w:tcPr>
          <w:p w14:paraId="29A542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3ADF6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2A2830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587EFF27">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olor w:val="auto"/>
                <w:szCs w:val="21"/>
              </w:rPr>
              <w:t>柴油发电机燃烧烟气</w:t>
            </w:r>
          </w:p>
        </w:tc>
        <w:tc>
          <w:tcPr>
            <w:tcW w:w="933" w:type="pct"/>
            <w:vMerge w:val="continue"/>
            <w:tcBorders>
              <w:tl2br w:val="nil"/>
              <w:tr2bl w:val="nil"/>
            </w:tcBorders>
            <w:noWrap w:val="0"/>
            <w:vAlign w:val="center"/>
          </w:tcPr>
          <w:p w14:paraId="6D6F0E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op w:val="single" w:color="000000" w:sz="4" w:space="0"/>
              <w:bottom w:val="single" w:color="000000" w:sz="4" w:space="0"/>
              <w:tl2br w:val="nil"/>
              <w:tr2bl w:val="nil"/>
            </w:tcBorders>
            <w:shd w:val="clear" w:color="auto" w:fill="auto"/>
            <w:noWrap w:val="0"/>
            <w:vAlign w:val="center"/>
          </w:tcPr>
          <w:p w14:paraId="77700F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eastAsia="zh-CN"/>
              </w:rPr>
              <w:t>柴油发电机燃烧烟气</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选用环保型柴油发电机，使用优质轻柴油，简易排气筒排放；排气管朝向避开农户分布及项目区工作人员办公生活的方位</w:t>
            </w:r>
          </w:p>
        </w:tc>
        <w:tc>
          <w:tcPr>
            <w:tcW w:w="973" w:type="pct"/>
            <w:tcBorders>
              <w:tl2br w:val="nil"/>
              <w:tr2bl w:val="nil"/>
            </w:tcBorders>
            <w:noWrap w:val="0"/>
            <w:vAlign w:val="center"/>
          </w:tcPr>
          <w:p w14:paraId="4D090E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柴油发电机燃烧烟气：选用环保型柴油发电机，使用优质轻柴油，简易排气筒排放；排气管朝避开</w:t>
            </w:r>
            <w:r>
              <w:rPr>
                <w:rFonts w:hint="eastAsia"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lang w:eastAsia="zh-CN"/>
              </w:rPr>
              <w:t>农户分布及项目区工作人员办公生活的方位</w:t>
            </w:r>
          </w:p>
        </w:tc>
        <w:tc>
          <w:tcPr>
            <w:tcW w:w="1032" w:type="pct"/>
            <w:tcBorders>
              <w:tl2br w:val="nil"/>
              <w:tr2bl w:val="nil"/>
            </w:tcBorders>
            <w:noWrap w:val="0"/>
            <w:vAlign w:val="center"/>
          </w:tcPr>
          <w:p w14:paraId="0F1633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64B755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F9C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687B6B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21A69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1C147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6A06C257">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lang w:val="en-US" w:eastAsia="zh-CN"/>
              </w:rPr>
              <w:t>汽车尾气</w:t>
            </w:r>
          </w:p>
        </w:tc>
        <w:tc>
          <w:tcPr>
            <w:tcW w:w="933" w:type="pct"/>
            <w:vMerge w:val="continue"/>
            <w:tcBorders>
              <w:tl2br w:val="nil"/>
              <w:tr2bl w:val="nil"/>
            </w:tcBorders>
            <w:noWrap w:val="0"/>
            <w:vAlign w:val="center"/>
          </w:tcPr>
          <w:p w14:paraId="116DED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op w:val="single" w:color="000000" w:sz="4" w:space="0"/>
              <w:tl2br w:val="nil"/>
              <w:tr2bl w:val="nil"/>
            </w:tcBorders>
            <w:shd w:val="clear" w:color="auto" w:fill="auto"/>
            <w:noWrap w:val="0"/>
            <w:vAlign w:val="center"/>
          </w:tcPr>
          <w:p w14:paraId="3661C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eastAsia="zh-CN"/>
              </w:rPr>
              <w:t>车辆排放的尾气为流动的线源，影响范围较大，但其污染不集中且扩散能力相对较快，</w:t>
            </w:r>
            <w:r>
              <w:rPr>
                <w:rFonts w:hint="eastAsia" w:ascii="Times New Roman" w:hAnsi="Times New Roman" w:eastAsia="宋体" w:cs="Times New Roman"/>
                <w:color w:val="auto"/>
                <w:sz w:val="21"/>
                <w:szCs w:val="21"/>
                <w:lang w:val="en-US" w:eastAsia="zh-CN"/>
              </w:rPr>
              <w:t>影响较小</w:t>
            </w:r>
          </w:p>
        </w:tc>
        <w:tc>
          <w:tcPr>
            <w:tcW w:w="973" w:type="pct"/>
            <w:tcBorders>
              <w:tl2br w:val="nil"/>
              <w:tr2bl w:val="nil"/>
            </w:tcBorders>
            <w:noWrap w:val="0"/>
            <w:vAlign w:val="center"/>
          </w:tcPr>
          <w:p w14:paraId="35F8D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加强管理、定期保养，满足《大气污染物综合排放标准》(GB16297-1996)二级标准</w:t>
            </w:r>
          </w:p>
        </w:tc>
        <w:tc>
          <w:tcPr>
            <w:tcW w:w="1032" w:type="pct"/>
            <w:tcBorders>
              <w:tl2br w:val="nil"/>
              <w:tr2bl w:val="nil"/>
            </w:tcBorders>
            <w:noWrap w:val="0"/>
            <w:vAlign w:val="center"/>
          </w:tcPr>
          <w:p w14:paraId="77AAA6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2F056C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1C8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1C41C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7CFCD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7955A0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6585EB38">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color w:val="auto"/>
                <w:szCs w:val="21"/>
              </w:rPr>
              <w:t>伴生气</w:t>
            </w:r>
          </w:p>
        </w:tc>
        <w:tc>
          <w:tcPr>
            <w:tcW w:w="933" w:type="pct"/>
            <w:vMerge w:val="continue"/>
            <w:tcBorders>
              <w:tl2br w:val="nil"/>
              <w:tr2bl w:val="nil"/>
            </w:tcBorders>
            <w:noWrap w:val="0"/>
            <w:vAlign w:val="center"/>
          </w:tcPr>
          <w:p w14:paraId="0302C4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op w:val="single" w:color="000000" w:sz="4" w:space="0"/>
              <w:tl2br w:val="nil"/>
              <w:tr2bl w:val="nil"/>
            </w:tcBorders>
            <w:shd w:val="clear" w:color="auto" w:fill="auto"/>
            <w:noWrap w:val="0"/>
            <w:vAlign w:val="center"/>
          </w:tcPr>
          <w:p w14:paraId="34C4E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伴生气产生量很小，无法量化，无组织排放</w:t>
            </w:r>
          </w:p>
        </w:tc>
        <w:tc>
          <w:tcPr>
            <w:tcW w:w="973" w:type="pct"/>
            <w:tcBorders>
              <w:tl2br w:val="nil"/>
              <w:tr2bl w:val="nil"/>
            </w:tcBorders>
            <w:noWrap w:val="0"/>
            <w:vAlign w:val="center"/>
          </w:tcPr>
          <w:p w14:paraId="16863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无组织排放，满足《陆上石油天然气开采工业大气污染物排放标准》(GB39728-2020)中污染物控制要求</w:t>
            </w:r>
          </w:p>
        </w:tc>
        <w:tc>
          <w:tcPr>
            <w:tcW w:w="1032" w:type="pct"/>
            <w:tcBorders>
              <w:tl2br w:val="nil"/>
              <w:tr2bl w:val="nil"/>
            </w:tcBorders>
            <w:noWrap w:val="0"/>
            <w:vAlign w:val="center"/>
          </w:tcPr>
          <w:p w14:paraId="0D7B0A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9783A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7CD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397" w:type="pct"/>
            <w:vMerge w:val="continue"/>
            <w:tcBorders>
              <w:tl2br w:val="nil"/>
              <w:tr2bl w:val="nil"/>
            </w:tcBorders>
            <w:noWrap w:val="0"/>
            <w:vAlign w:val="center"/>
          </w:tcPr>
          <w:p w14:paraId="2FBE0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03B2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5E1F81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废水</w:t>
            </w:r>
          </w:p>
        </w:tc>
        <w:tc>
          <w:tcPr>
            <w:tcW w:w="242" w:type="pct"/>
            <w:tcBorders>
              <w:tl2br w:val="nil"/>
              <w:tr2bl w:val="nil"/>
            </w:tcBorders>
            <w:noWrap w:val="0"/>
            <w:vAlign w:val="center"/>
          </w:tcPr>
          <w:p w14:paraId="50A546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生产废水</w:t>
            </w:r>
          </w:p>
        </w:tc>
        <w:tc>
          <w:tcPr>
            <w:tcW w:w="933" w:type="pct"/>
            <w:tcBorders>
              <w:tl2br w:val="nil"/>
              <w:tr2bl w:val="nil"/>
            </w:tcBorders>
            <w:noWrap w:val="0"/>
            <w:vAlign w:val="center"/>
          </w:tcPr>
          <w:p w14:paraId="1BDD62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加强废水污染防治工作。落实废水收集池的雨污分流和防渗等措施，防止废水外溢、渗漏</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加强各类废水收集、暂存及运输过程中的环境管理，实施全过程监控,避免违规排放，并采取有效措施，防止产生二次污染。钻井前应当在防渗布周围设置不低于20cm的围堰</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井场周围设不低于 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w:t>
            </w:r>
          </w:p>
        </w:tc>
        <w:tc>
          <w:tcPr>
            <w:tcW w:w="927" w:type="pct"/>
            <w:tcBorders>
              <w:tl2br w:val="nil"/>
              <w:tr2bl w:val="nil"/>
            </w:tcBorders>
            <w:noWrap w:val="0"/>
            <w:vAlign w:val="center"/>
          </w:tcPr>
          <w:p w14:paraId="1AE586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气）等井下作业废水收集至地上废水罐（位于泥浆循环罐区）临时贮存，由罐车拉运至泾河8撬装式水净化站处理达标后回注，不外排。</w:t>
            </w:r>
          </w:p>
        </w:tc>
        <w:tc>
          <w:tcPr>
            <w:tcW w:w="973" w:type="pct"/>
            <w:tcBorders>
              <w:tl2br w:val="nil"/>
              <w:tr2bl w:val="nil"/>
            </w:tcBorders>
            <w:noWrap w:val="0"/>
            <w:vAlign w:val="center"/>
          </w:tcPr>
          <w:p w14:paraId="2CD7C0C3">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left"/>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Cs w:val="21"/>
                <w:lang w:val="en-US" w:eastAsia="zh-CN"/>
              </w:rPr>
              <w:t>施工期</w:t>
            </w:r>
            <w:r>
              <w:rPr>
                <w:rFonts w:hint="default" w:ascii="Times New Roman" w:hAnsi="Times New Roman" w:eastAsia="宋体" w:cs="Times New Roman"/>
                <w:color w:val="auto"/>
                <w:sz w:val="21"/>
                <w:szCs w:val="21"/>
                <w:highlight w:val="none"/>
                <w:lang w:val="en-US" w:eastAsia="zh-CN"/>
              </w:rPr>
              <w:t>加强废水污染防治工作。落实废水收集池的雨污分流和防渗等措施，防止废水外溢、渗漏</w:t>
            </w:r>
            <w:r>
              <w:rPr>
                <w:rFonts w:hint="eastAsia" w:ascii="Times New Roman" w:hAnsi="Times New Roman" w:eastAsia="宋体" w:cs="Times New Roman"/>
                <w:color w:val="auto"/>
                <w:sz w:val="21"/>
                <w:szCs w:val="21"/>
                <w:highlight w:val="none"/>
                <w:lang w:val="en-US" w:eastAsia="zh-CN"/>
              </w:rPr>
              <w:t>；</w:t>
            </w:r>
          </w:p>
          <w:p w14:paraId="12FF9429">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contextualSpacing/>
              <w:jc w:val="both"/>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本项目采取泥浆不落地处理工艺，经固液分离后产生的钻井废水部分回用于配置钻井泥浆，不可回用部分同洗井废水、压裂返排液一起由地上收集罐统一收集，</w:t>
            </w:r>
            <w:r>
              <w:rPr>
                <w:rFonts w:hint="eastAsia" w:ascii="Times New Roman" w:hAnsi="Times New Roman" w:eastAsia="宋体" w:cs="Times New Roman"/>
                <w:color w:val="auto"/>
                <w:szCs w:val="21"/>
                <w:lang w:val="en-US" w:eastAsia="zh-CN"/>
              </w:rPr>
              <w:t>雨水经雨水收集罐收集，</w:t>
            </w:r>
            <w:r>
              <w:rPr>
                <w:rFonts w:hint="default" w:ascii="Times New Roman" w:hAnsi="Times New Roman" w:eastAsia="宋体" w:cs="Times New Roman"/>
                <w:color w:val="auto"/>
                <w:szCs w:val="21"/>
                <w:lang w:val="en-US" w:eastAsia="zh-CN"/>
              </w:rPr>
              <w:t>井下作业完成后</w:t>
            </w:r>
            <w:r>
              <w:rPr>
                <w:rFonts w:hint="default" w:ascii="Times New Roman" w:hAnsi="Times New Roman" w:eastAsia="宋体" w:cs="Times New Roman"/>
                <w:color w:val="auto"/>
                <w:szCs w:val="21"/>
              </w:rPr>
              <w:t>，由防渗漏、防溢流的运输车辆统一转移至</w:t>
            </w:r>
            <w:r>
              <w:rPr>
                <w:rFonts w:hint="default" w:ascii="Times New Roman" w:hAnsi="Times New Roman" w:eastAsia="宋体" w:cs="Times New Roman"/>
                <w:color w:val="auto"/>
                <w:sz w:val="21"/>
                <w:szCs w:val="21"/>
                <w:highlight w:val="none"/>
                <w:lang w:val="en-US" w:eastAsia="zh-CN"/>
              </w:rPr>
              <w:t>由罐车拉运至泾河8撬装式水净化站处理达标后回注</w:t>
            </w:r>
            <w:r>
              <w:rPr>
                <w:rFonts w:hint="eastAsia" w:ascii="Times New Roman" w:hAnsi="Times New Roman" w:eastAsia="宋体" w:cs="Times New Roman"/>
                <w:color w:val="auto"/>
                <w:sz w:val="21"/>
                <w:szCs w:val="21"/>
                <w:highlight w:val="none"/>
                <w:lang w:val="en-US" w:eastAsia="zh-CN"/>
              </w:rPr>
              <w:t>，未</w:t>
            </w:r>
            <w:r>
              <w:rPr>
                <w:rFonts w:hint="default" w:ascii="Times New Roman" w:hAnsi="Times New Roman" w:eastAsia="宋体" w:cs="Times New Roman"/>
                <w:color w:val="auto"/>
                <w:sz w:val="21"/>
                <w:szCs w:val="21"/>
                <w:highlight w:val="none"/>
                <w:lang w:val="en-US" w:eastAsia="zh-CN"/>
              </w:rPr>
              <w:t>外排</w:t>
            </w:r>
            <w:r>
              <w:rPr>
                <w:rFonts w:hint="eastAsia" w:ascii="Times New Roman" w:hAnsi="Times New Roman" w:eastAsia="宋体" w:cs="Times New Roman"/>
                <w:color w:val="auto"/>
                <w:sz w:val="21"/>
                <w:szCs w:val="21"/>
                <w:highlight w:val="none"/>
                <w:lang w:val="en-US" w:eastAsia="zh-CN"/>
              </w:rPr>
              <w:t>。</w:t>
            </w:r>
          </w:p>
          <w:p w14:paraId="4E748C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left"/>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Cs w:val="21"/>
                <w:lang w:val="en-US" w:eastAsia="zh-CN"/>
              </w:rPr>
              <w:t>（3）</w:t>
            </w:r>
            <w:r>
              <w:rPr>
                <w:rFonts w:hint="default" w:ascii="Times New Roman" w:hAnsi="Times New Roman" w:eastAsia="宋体" w:cs="Times New Roman"/>
                <w:color w:val="0000FF"/>
                <w:sz w:val="21"/>
                <w:szCs w:val="21"/>
                <w:highlight w:val="none"/>
                <w:lang w:val="en-US" w:eastAsia="zh-CN"/>
              </w:rPr>
              <w:t>防渗布周围设置20cm</w:t>
            </w:r>
            <w:r>
              <w:rPr>
                <w:rFonts w:hint="eastAsia" w:ascii="Times New Roman" w:hAnsi="Times New Roman" w:eastAsia="宋体" w:cs="Times New Roman"/>
                <w:color w:val="0000FF"/>
                <w:sz w:val="21"/>
                <w:szCs w:val="21"/>
                <w:highlight w:val="none"/>
                <w:lang w:val="en-US" w:eastAsia="zh-CN"/>
              </w:rPr>
              <w:t>高</w:t>
            </w:r>
            <w:r>
              <w:rPr>
                <w:rFonts w:hint="default" w:ascii="Times New Roman" w:hAnsi="Times New Roman" w:eastAsia="宋体" w:cs="Times New Roman"/>
                <w:color w:val="0000FF"/>
                <w:sz w:val="21"/>
                <w:szCs w:val="21"/>
                <w:highlight w:val="none"/>
                <w:lang w:val="en-US" w:eastAsia="zh-CN"/>
              </w:rPr>
              <w:t>围堰</w:t>
            </w:r>
            <w:r>
              <w:rPr>
                <w:rFonts w:hint="eastAsia" w:ascii="Times New Roman" w:hAnsi="Times New Roman" w:eastAsia="宋体" w:cs="Times New Roman"/>
                <w:color w:val="0000FF"/>
                <w:sz w:val="21"/>
                <w:szCs w:val="21"/>
                <w:highlight w:val="none"/>
                <w:lang w:val="en-US" w:eastAsia="zh-CN"/>
              </w:rPr>
              <w:t>，</w:t>
            </w:r>
            <w:r>
              <w:rPr>
                <w:rFonts w:hint="eastAsia" w:ascii="Times New Roman" w:hAnsi="Times New Roman" w:eastAsia="宋体" w:cs="Times New Roman"/>
                <w:color w:val="0000FF"/>
                <w:szCs w:val="21"/>
                <w:lang w:val="en-US" w:eastAsia="zh-CN"/>
              </w:rPr>
              <w:t>井场周围设置20cm高土围堰。</w:t>
            </w:r>
          </w:p>
        </w:tc>
        <w:tc>
          <w:tcPr>
            <w:tcW w:w="1032" w:type="pct"/>
            <w:tcBorders>
              <w:tl2br w:val="nil"/>
              <w:tr2bl w:val="nil"/>
            </w:tcBorders>
            <w:noWrap w:val="0"/>
            <w:vAlign w:val="center"/>
          </w:tcPr>
          <w:p w14:paraId="3D5E52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3B65B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4BBD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6FE89F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DE5F3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2043D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242" w:type="pct"/>
            <w:tcBorders>
              <w:tl2br w:val="nil"/>
              <w:tr2bl w:val="nil"/>
            </w:tcBorders>
            <w:noWrap w:val="0"/>
            <w:vAlign w:val="center"/>
          </w:tcPr>
          <w:p w14:paraId="230657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生活污水</w:t>
            </w:r>
          </w:p>
        </w:tc>
        <w:tc>
          <w:tcPr>
            <w:tcW w:w="933" w:type="pct"/>
            <w:tcBorders>
              <w:tl2br w:val="nil"/>
              <w:tr2bl w:val="nil"/>
            </w:tcBorders>
            <w:noWrap w:val="0"/>
            <w:vAlign w:val="center"/>
          </w:tcPr>
          <w:p w14:paraId="03C0F5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井场营地内设置的移动式环保厕所，定期清掏用作农肥。</w:t>
            </w:r>
          </w:p>
        </w:tc>
        <w:tc>
          <w:tcPr>
            <w:tcW w:w="927" w:type="pct"/>
            <w:tcBorders>
              <w:tl2br w:val="nil"/>
              <w:tr2bl w:val="nil"/>
            </w:tcBorders>
            <w:noWrap w:val="0"/>
            <w:vAlign w:val="center"/>
          </w:tcPr>
          <w:p w14:paraId="7B8679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施工期生活污水均排入移动式环保厕所，粪便定期清运，盥洗废水可就地泼洒用于施工场地抑尘。</w:t>
            </w:r>
          </w:p>
        </w:tc>
        <w:tc>
          <w:tcPr>
            <w:tcW w:w="973" w:type="pct"/>
            <w:tcBorders>
              <w:tl2br w:val="nil"/>
              <w:tr2bl w:val="nil"/>
            </w:tcBorders>
            <w:shd w:val="clear" w:color="auto" w:fill="auto"/>
            <w:noWrap w:val="0"/>
            <w:vAlign w:val="center"/>
          </w:tcPr>
          <w:p w14:paraId="0BD5F1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2"/>
                <w:szCs w:val="21"/>
                <w:lang w:val="en-US" w:eastAsia="zh-CN" w:bidi="ar-SA"/>
              </w:rPr>
            </w:pPr>
            <w:r>
              <w:rPr>
                <w:rFonts w:hint="default" w:ascii="Times New Roman" w:hAnsi="Times New Roman" w:eastAsia="宋体" w:cs="Times New Roman"/>
                <w:color w:val="auto"/>
                <w:sz w:val="21"/>
                <w:szCs w:val="21"/>
                <w:highlight w:val="none"/>
                <w:lang w:val="en-US" w:eastAsia="zh-CN"/>
              </w:rPr>
              <w:t>施工期生活污水均排入移动式环保厕所</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粪便定期清运</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盥洗废水就地泼洒用于施工场地抑尘。</w:t>
            </w:r>
          </w:p>
        </w:tc>
        <w:tc>
          <w:tcPr>
            <w:tcW w:w="1032" w:type="pct"/>
            <w:tcBorders>
              <w:tl2br w:val="nil"/>
              <w:tr2bl w:val="nil"/>
            </w:tcBorders>
            <w:shd w:val="clear" w:color="auto" w:fill="auto"/>
            <w:noWrap w:val="0"/>
            <w:vAlign w:val="center"/>
          </w:tcPr>
          <w:p w14:paraId="1FD9AC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6907B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781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49AA5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8686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tcBorders>
              <w:tl2br w:val="nil"/>
              <w:tr2bl w:val="nil"/>
            </w:tcBorders>
            <w:noWrap w:val="0"/>
            <w:vAlign w:val="center"/>
          </w:tcPr>
          <w:p w14:paraId="397941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噪声</w:t>
            </w:r>
          </w:p>
        </w:tc>
        <w:tc>
          <w:tcPr>
            <w:tcW w:w="242" w:type="pct"/>
            <w:tcBorders>
              <w:tl2br w:val="nil"/>
              <w:tr2bl w:val="nil"/>
            </w:tcBorders>
            <w:noWrap w:val="0"/>
            <w:vAlign w:val="center"/>
          </w:tcPr>
          <w:p w14:paraId="796D9C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110" w:leftChars="-50" w:right="-110" w:rightChars="-5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Cs w:val="21"/>
                <w:lang w:val="en-US" w:eastAsia="zh-CN"/>
              </w:rPr>
              <w:t>设备噪声</w:t>
            </w:r>
          </w:p>
        </w:tc>
        <w:tc>
          <w:tcPr>
            <w:tcW w:w="933" w:type="pct"/>
            <w:tcBorders>
              <w:tl2br w:val="nil"/>
              <w:tr2bl w:val="nil"/>
            </w:tcBorders>
            <w:noWrap w:val="0"/>
            <w:vAlign w:val="center"/>
          </w:tcPr>
          <w:p w14:paraId="54DA89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加强噪声污染防治工作。合理安排强噪声施工机械的工作频次、时限。尽量选用低噪声机械设备或自带隔声、消声的设备；对施工机械采取隔声、降噪措施，确保施工场界噪声排放满足《建筑施工场界噪声限值》(GB12523-2011)标准的要求。</w:t>
            </w:r>
          </w:p>
        </w:tc>
        <w:tc>
          <w:tcPr>
            <w:tcW w:w="927" w:type="pct"/>
            <w:tcBorders>
              <w:tl2br w:val="nil"/>
              <w:tr2bl w:val="nil"/>
            </w:tcBorders>
            <w:noWrap w:val="0"/>
            <w:vAlign w:val="center"/>
          </w:tcPr>
          <w:p w14:paraId="7D82E4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合理布局、选用低噪设备；泥浆泵加衬弹性垫料，管理和作业过程中平稳操作，避免特种作业时产生非正常的噪声；柴油发电机设置基础减震等，运输车辆运输车辆可以通过加强管理、疏通道路、控制运输时间，减少鸣笛和防止车辆堵塞等方法减轻其影响。</w:t>
            </w:r>
          </w:p>
        </w:tc>
        <w:tc>
          <w:tcPr>
            <w:tcW w:w="973" w:type="pct"/>
            <w:tcBorders>
              <w:tl2br w:val="nil"/>
              <w:tr2bl w:val="nil"/>
            </w:tcBorders>
            <w:shd w:val="clear" w:color="auto" w:fill="auto"/>
            <w:noWrap w:val="0"/>
            <w:vAlign w:val="center"/>
          </w:tcPr>
          <w:p w14:paraId="2549D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Cs w:val="21"/>
                <w:lang w:val="en-US" w:eastAsia="zh-CN"/>
              </w:rPr>
              <w:t>施工期噪声污染防治工作。合理安排强噪声施工机械的工作频次、时限。选用低噪声机械设备，</w:t>
            </w:r>
            <w:r>
              <w:rPr>
                <w:rFonts w:hint="default" w:ascii="Times New Roman" w:hAnsi="Times New Roman" w:eastAsia="宋体" w:cs="Times New Roman"/>
                <w:color w:val="auto"/>
                <w:szCs w:val="21"/>
                <w:lang w:val="en-US" w:eastAsia="zh-CN"/>
              </w:rPr>
              <w:t>泥浆泵加衬弹性垫料，管理和作业过程中平稳操作；柴油发电机设置基础减震等，运输车辆通过加强管理、疏通道路、控制运输时间，减少鸣笛和防止车辆堵塞</w:t>
            </w:r>
            <w:r>
              <w:rPr>
                <w:rFonts w:hint="eastAsia" w:ascii="Times New Roman" w:hAnsi="Times New Roman" w:eastAsia="宋体" w:cs="Times New Roman"/>
                <w:color w:val="auto"/>
                <w:szCs w:val="21"/>
                <w:lang w:val="en-US" w:eastAsia="zh-CN"/>
              </w:rPr>
              <w:t>;施工场界噪声排放满足《建筑施工场界噪声限值》(GB12523-2011)标准的要求。</w:t>
            </w:r>
          </w:p>
        </w:tc>
        <w:tc>
          <w:tcPr>
            <w:tcW w:w="1032" w:type="pct"/>
            <w:tcBorders>
              <w:tl2br w:val="nil"/>
              <w:tr2bl w:val="nil"/>
            </w:tcBorders>
            <w:noWrap w:val="0"/>
            <w:vAlign w:val="center"/>
          </w:tcPr>
          <w:p w14:paraId="6EF73B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144BC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085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213F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DE84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0B8754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固体</w:t>
            </w:r>
            <w:r>
              <w:rPr>
                <w:rFonts w:hint="default" w:ascii="Times New Roman" w:hAnsi="Times New Roman" w:eastAsia="宋体" w:cs="Times New Roman"/>
                <w:color w:val="auto"/>
                <w:sz w:val="21"/>
                <w:szCs w:val="21"/>
                <w:highlight w:val="none"/>
                <w:lang w:val="en-US" w:eastAsia="zh-CN"/>
              </w:rPr>
              <w:t>废物</w:t>
            </w:r>
          </w:p>
        </w:tc>
        <w:tc>
          <w:tcPr>
            <w:tcW w:w="242" w:type="pct"/>
            <w:tcBorders>
              <w:tl2br w:val="nil"/>
              <w:tr2bl w:val="nil"/>
            </w:tcBorders>
            <w:shd w:val="clear" w:color="auto" w:fill="auto"/>
            <w:noWrap w:val="0"/>
            <w:vAlign w:val="center"/>
          </w:tcPr>
          <w:p w14:paraId="4B0DA8C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生活垃圾</w:t>
            </w:r>
          </w:p>
        </w:tc>
        <w:tc>
          <w:tcPr>
            <w:tcW w:w="933" w:type="pct"/>
            <w:tcBorders>
              <w:tl2br w:val="nil"/>
              <w:tr2bl w:val="nil"/>
            </w:tcBorders>
            <w:noWrap w:val="0"/>
            <w:vAlign w:val="center"/>
          </w:tcPr>
          <w:p w14:paraId="285C7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生活垃圾统一收集运输至环卫部门指定地点处置</w:t>
            </w:r>
          </w:p>
        </w:tc>
        <w:tc>
          <w:tcPr>
            <w:tcW w:w="927" w:type="pct"/>
            <w:tcBorders>
              <w:tl2br w:val="nil"/>
              <w:tr2bl w:val="nil"/>
            </w:tcBorders>
            <w:shd w:val="clear" w:color="auto" w:fill="auto"/>
            <w:noWrap w:val="0"/>
            <w:vAlign w:val="center"/>
          </w:tcPr>
          <w:p w14:paraId="55871B4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项目区内设置生活垃圾收集箱，经收集后由当地环卫部门处理。</w:t>
            </w:r>
          </w:p>
        </w:tc>
        <w:tc>
          <w:tcPr>
            <w:tcW w:w="973" w:type="pct"/>
            <w:tcBorders>
              <w:tl2br w:val="nil"/>
              <w:tr2bl w:val="nil"/>
            </w:tcBorders>
            <w:shd w:val="clear" w:color="auto" w:fill="auto"/>
            <w:noWrap w:val="0"/>
            <w:vAlign w:val="center"/>
          </w:tcPr>
          <w:p w14:paraId="6240C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井场设置</w:t>
            </w:r>
            <w:r>
              <w:rPr>
                <w:rFonts w:hint="default" w:ascii="Times New Roman" w:hAnsi="Times New Roman" w:eastAsia="宋体" w:cs="Times New Roman"/>
                <w:color w:val="auto"/>
                <w:szCs w:val="21"/>
              </w:rPr>
              <w:t>垃圾收集箱</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zCs w:val="21"/>
              </w:rPr>
              <w:t>经收集后就近的</w:t>
            </w:r>
            <w:r>
              <w:rPr>
                <w:rFonts w:hint="eastAsia" w:ascii="Times New Roman" w:hAnsi="Times New Roman" w:eastAsia="宋体" w:cs="Times New Roman"/>
                <w:color w:val="auto"/>
                <w:szCs w:val="21"/>
                <w:lang w:eastAsia="zh-CN"/>
              </w:rPr>
              <w:t>垃圾中转站</w:t>
            </w:r>
          </w:p>
        </w:tc>
        <w:tc>
          <w:tcPr>
            <w:tcW w:w="1032" w:type="pct"/>
            <w:tcBorders>
              <w:tl2br w:val="nil"/>
              <w:tr2bl w:val="nil"/>
            </w:tcBorders>
            <w:noWrap w:val="0"/>
            <w:vAlign w:val="center"/>
          </w:tcPr>
          <w:p w14:paraId="37706B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DD5DD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95C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B2984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965B4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8A1B2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5DBE021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废弃钻井泥浆</w:t>
            </w:r>
          </w:p>
          <w:p w14:paraId="2415AB8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钻井岩屑（不含油）</w:t>
            </w:r>
          </w:p>
          <w:p w14:paraId="2B0DC9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p>
        </w:tc>
        <w:tc>
          <w:tcPr>
            <w:tcW w:w="933" w:type="pct"/>
            <w:vMerge w:val="restart"/>
            <w:tcBorders>
              <w:tl2br w:val="nil"/>
              <w:tr2bl w:val="nil"/>
            </w:tcBorders>
            <w:noWrap w:val="0"/>
            <w:vAlign w:val="center"/>
          </w:tcPr>
          <w:p w14:paraId="04EA11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固废污染防治工作。钻井废弃泥浆、一般岩屑全部进入泥浆罐采用不落地收集+板框压滤工艺处理后产生的固相(含水率不得大于60%)集中填埋或制作烧结砖资源化综合利用;不含油压裂砂由厂家回收利用;废防渗布等危险废物分类收集及时转运，定期委托有资质的单位进行安全处置，并建立转移联单。</w:t>
            </w:r>
          </w:p>
        </w:tc>
        <w:tc>
          <w:tcPr>
            <w:tcW w:w="927" w:type="pct"/>
            <w:tcBorders>
              <w:tl2br w:val="nil"/>
              <w:tr2bl w:val="nil"/>
            </w:tcBorders>
            <w:shd w:val="clear" w:color="auto" w:fill="auto"/>
            <w:noWrap w:val="0"/>
            <w:vAlign w:val="center"/>
          </w:tcPr>
          <w:p w14:paraId="0053525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left"/>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废弃泥浆、岩屑采取不落地收集+板框压滤装置处置，产生的泥饼（固相含水率不大于60%）暂存井场，泥饼临时暂存要落实“三防”措施并加强管理，井场内暂存时间不得超过1个月，采用“下铺上盖”方式，四周设置0.2m高围堰。板框压滤产生的泥饼（固相），清运至一般工业固废集中填埋场安全填埋处置或制作烧结砖资源化综合利用</w:t>
            </w:r>
          </w:p>
        </w:tc>
        <w:tc>
          <w:tcPr>
            <w:tcW w:w="973" w:type="pct"/>
            <w:tcBorders>
              <w:tl2br w:val="nil"/>
              <w:tr2bl w:val="nil"/>
            </w:tcBorders>
            <w:shd w:val="clear" w:color="auto" w:fill="auto"/>
            <w:noWrap w:val="0"/>
            <w:vAlign w:val="center"/>
          </w:tcPr>
          <w:p w14:paraId="20CEEC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w:t>
            </w:r>
            <w:r>
              <w:rPr>
                <w:rFonts w:hint="default" w:ascii="Times New Roman" w:hAnsi="Times New Roman" w:eastAsia="宋体" w:cs="Times New Roman"/>
                <w:color w:val="auto"/>
                <w:sz w:val="21"/>
                <w:szCs w:val="21"/>
                <w:lang w:val="en-US" w:eastAsia="zh-CN" w:bidi="ar-SA"/>
              </w:rPr>
              <w:t>井场内暂存时间</w:t>
            </w:r>
            <w:r>
              <w:rPr>
                <w:rFonts w:hint="eastAsia" w:ascii="Times New Roman" w:hAnsi="Times New Roman" w:eastAsia="宋体" w:cs="Times New Roman"/>
                <w:color w:val="auto"/>
                <w:sz w:val="21"/>
                <w:szCs w:val="21"/>
                <w:lang w:val="en-US" w:eastAsia="zh-CN" w:bidi="ar-SA"/>
              </w:rPr>
              <w:t>未</w:t>
            </w:r>
            <w:r>
              <w:rPr>
                <w:rFonts w:hint="default" w:ascii="Times New Roman" w:hAnsi="Times New Roman" w:eastAsia="宋体" w:cs="Times New Roman"/>
                <w:color w:val="auto"/>
                <w:sz w:val="21"/>
                <w:szCs w:val="21"/>
                <w:lang w:val="en-US" w:eastAsia="zh-CN" w:bidi="ar-SA"/>
              </w:rPr>
              <w:t>超过1个</w:t>
            </w:r>
            <w:r>
              <w:rPr>
                <w:rFonts w:hint="eastAsia" w:ascii="Times New Roman" w:hAnsi="Times New Roman" w:eastAsia="宋体" w:cs="Times New Roman"/>
                <w:color w:val="auto"/>
                <w:sz w:val="21"/>
                <w:szCs w:val="21"/>
                <w:lang w:val="en-US" w:eastAsia="zh-CN" w:bidi="ar-SA"/>
              </w:rPr>
              <w:t>月，</w:t>
            </w:r>
            <w:r>
              <w:rPr>
                <w:rFonts w:hint="default" w:ascii="Times New Roman" w:hAnsi="Times New Roman" w:eastAsia="宋体" w:cs="Times New Roman"/>
                <w:color w:val="auto"/>
                <w:sz w:val="21"/>
                <w:szCs w:val="21"/>
                <w:lang w:val="en-US" w:eastAsia="zh-CN" w:bidi="ar-SA"/>
              </w:rPr>
              <w:t>采用“下铺上盖”方式，四周设置0.2m高围堰</w:t>
            </w:r>
            <w:r>
              <w:rPr>
                <w:rFonts w:hint="eastAsia"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color w:val="auto"/>
                <w:szCs w:val="21"/>
                <w:lang w:val="en-US" w:eastAsia="zh-CN"/>
              </w:rPr>
              <w:t>未产生二次污染</w:t>
            </w:r>
          </w:p>
        </w:tc>
        <w:tc>
          <w:tcPr>
            <w:tcW w:w="1032" w:type="pct"/>
            <w:tcBorders>
              <w:tl2br w:val="nil"/>
              <w:tr2bl w:val="nil"/>
            </w:tcBorders>
            <w:shd w:val="clear" w:color="auto" w:fill="auto"/>
            <w:noWrap w:val="0"/>
            <w:vAlign w:val="center"/>
          </w:tcPr>
          <w:p w14:paraId="616982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5461C2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7F7D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FA0D5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9B6F2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20146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3A9852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纯碱、膨润土废弃包装</w:t>
            </w:r>
          </w:p>
        </w:tc>
        <w:tc>
          <w:tcPr>
            <w:tcW w:w="933" w:type="pct"/>
            <w:vMerge w:val="continue"/>
            <w:tcBorders>
              <w:tl2br w:val="nil"/>
              <w:tr2bl w:val="nil"/>
            </w:tcBorders>
            <w:noWrap w:val="0"/>
            <w:vAlign w:val="center"/>
          </w:tcPr>
          <w:p w14:paraId="1DBA5E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76F430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统一收集后由钻井施工企业回收综合利用</w:t>
            </w:r>
          </w:p>
        </w:tc>
        <w:tc>
          <w:tcPr>
            <w:tcW w:w="973" w:type="pct"/>
            <w:tcBorders>
              <w:tl2br w:val="nil"/>
              <w:tr2bl w:val="nil"/>
            </w:tcBorders>
            <w:shd w:val="clear" w:color="auto" w:fill="auto"/>
            <w:noWrap w:val="0"/>
            <w:vAlign w:val="center"/>
          </w:tcPr>
          <w:p w14:paraId="62961B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w:t>
            </w:r>
            <w:r>
              <w:rPr>
                <w:rFonts w:hint="eastAsia" w:ascii="Times New Roman" w:hAnsi="Times New Roman" w:eastAsia="宋体" w:cs="Times New Roman"/>
                <w:color w:val="auto"/>
                <w:spacing w:val="0"/>
                <w:sz w:val="21"/>
                <w:szCs w:val="21"/>
                <w:highlight w:val="none"/>
                <w:lang w:val="en-US" w:eastAsia="zh-CN"/>
              </w:rPr>
              <w:t>袋经收集后由志丹永宏50718队、五普50839HB、五普50839HB、五普40837HB处置，未产生二次污染</w:t>
            </w:r>
          </w:p>
        </w:tc>
        <w:tc>
          <w:tcPr>
            <w:tcW w:w="1032" w:type="pct"/>
            <w:tcBorders>
              <w:tl2br w:val="nil"/>
              <w:tr2bl w:val="nil"/>
            </w:tcBorders>
            <w:noWrap w:val="0"/>
            <w:vAlign w:val="center"/>
          </w:tcPr>
          <w:p w14:paraId="032C1E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62637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CC9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397" w:type="pct"/>
            <w:vMerge w:val="continue"/>
            <w:tcBorders>
              <w:tl2br w:val="nil"/>
              <w:tr2bl w:val="nil"/>
            </w:tcBorders>
            <w:noWrap w:val="0"/>
            <w:vAlign w:val="center"/>
          </w:tcPr>
          <w:p w14:paraId="3B05C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1DC57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C5253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1F413B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废防渗布</w:t>
            </w:r>
          </w:p>
          <w:p w14:paraId="08432E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不含油</w:t>
            </w:r>
            <w:r>
              <w:rPr>
                <w:rFonts w:hint="default" w:ascii="Times New Roman" w:hAnsi="Times New Roman" w:eastAsia="宋体" w:cs="Times New Roman"/>
                <w:color w:val="auto"/>
                <w:sz w:val="21"/>
                <w:szCs w:val="21"/>
              </w:rPr>
              <w:t>）</w:t>
            </w:r>
          </w:p>
        </w:tc>
        <w:tc>
          <w:tcPr>
            <w:tcW w:w="933" w:type="pct"/>
            <w:vMerge w:val="continue"/>
            <w:tcBorders>
              <w:tl2br w:val="nil"/>
              <w:tr2bl w:val="nil"/>
            </w:tcBorders>
            <w:noWrap w:val="0"/>
            <w:vAlign w:val="center"/>
          </w:tcPr>
          <w:p w14:paraId="55E4C1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38060E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统一收集后由钻井施工企业回收综合利用</w:t>
            </w:r>
          </w:p>
        </w:tc>
        <w:tc>
          <w:tcPr>
            <w:tcW w:w="973" w:type="pct"/>
            <w:tcBorders>
              <w:tl2br w:val="nil"/>
              <w:tr2bl w:val="nil"/>
            </w:tcBorders>
            <w:shd w:val="clear" w:color="auto" w:fill="auto"/>
            <w:noWrap w:val="0"/>
            <w:vAlign w:val="center"/>
          </w:tcPr>
          <w:p w14:paraId="24EC54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w:t>
            </w:r>
            <w:r>
              <w:rPr>
                <w:rFonts w:hint="eastAsia" w:ascii="Times New Roman" w:hAnsi="Times New Roman" w:eastAsia="宋体" w:cs="Times New Roman"/>
                <w:color w:val="auto"/>
                <w:spacing w:val="0"/>
                <w:sz w:val="21"/>
                <w:szCs w:val="21"/>
                <w:highlight w:val="none"/>
                <w:lang w:val="en-US" w:eastAsia="zh-CN"/>
              </w:rPr>
              <w:t>经收集后由志丹永宏50718队、五普50839HB、五普50839HB、五普40837HB处置，未产生二次污染</w:t>
            </w:r>
          </w:p>
        </w:tc>
        <w:tc>
          <w:tcPr>
            <w:tcW w:w="1032" w:type="pct"/>
            <w:tcBorders>
              <w:tl2br w:val="nil"/>
              <w:tr2bl w:val="nil"/>
            </w:tcBorders>
            <w:noWrap w:val="0"/>
            <w:vAlign w:val="center"/>
          </w:tcPr>
          <w:p w14:paraId="4E96E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FA212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F32D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397" w:type="pct"/>
            <w:vMerge w:val="continue"/>
            <w:tcBorders>
              <w:tl2br w:val="nil"/>
              <w:tr2bl w:val="nil"/>
            </w:tcBorders>
            <w:noWrap w:val="0"/>
            <w:vAlign w:val="center"/>
          </w:tcPr>
          <w:p w14:paraId="6AFA60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85110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513EE0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736ECE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w:t>
            </w:r>
          </w:p>
        </w:tc>
        <w:tc>
          <w:tcPr>
            <w:tcW w:w="933" w:type="pct"/>
            <w:vMerge w:val="continue"/>
            <w:tcBorders>
              <w:tl2br w:val="nil"/>
              <w:tr2bl w:val="nil"/>
            </w:tcBorders>
            <w:shd w:val="clear" w:color="auto" w:fill="auto"/>
            <w:noWrap w:val="0"/>
            <w:vAlign w:val="center"/>
          </w:tcPr>
          <w:p w14:paraId="6238A1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p>
        </w:tc>
        <w:tc>
          <w:tcPr>
            <w:tcW w:w="927" w:type="pct"/>
            <w:tcBorders>
              <w:tl2br w:val="nil"/>
              <w:tr2bl w:val="nil"/>
            </w:tcBorders>
            <w:shd w:val="clear" w:color="auto" w:fill="auto"/>
            <w:noWrap w:val="0"/>
            <w:vAlign w:val="center"/>
          </w:tcPr>
          <w:p w14:paraId="2356BD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2"/>
                <w:szCs w:val="21"/>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不含油压裂砂由厂家回收利用</w:t>
            </w:r>
          </w:p>
        </w:tc>
        <w:tc>
          <w:tcPr>
            <w:tcW w:w="973" w:type="pct"/>
            <w:tcBorders>
              <w:tl2br w:val="nil"/>
              <w:tr2bl w:val="nil"/>
            </w:tcBorders>
            <w:shd w:val="clear" w:color="auto" w:fill="auto"/>
            <w:noWrap w:val="0"/>
            <w:vAlign w:val="center"/>
          </w:tcPr>
          <w:p w14:paraId="262B1B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不含油压裂砂由厂家回收利用，未产生二次污染</w:t>
            </w:r>
          </w:p>
        </w:tc>
        <w:tc>
          <w:tcPr>
            <w:tcW w:w="1032" w:type="pct"/>
            <w:tcBorders>
              <w:tl2br w:val="nil"/>
              <w:tr2bl w:val="nil"/>
            </w:tcBorders>
            <w:shd w:val="clear" w:color="auto" w:fill="auto"/>
            <w:noWrap w:val="0"/>
            <w:vAlign w:val="center"/>
          </w:tcPr>
          <w:p w14:paraId="645D4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7646D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B92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081271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577AF7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63E76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3173C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废过硫酸钾包装袋</w:t>
            </w:r>
          </w:p>
        </w:tc>
        <w:tc>
          <w:tcPr>
            <w:tcW w:w="933" w:type="pct"/>
            <w:vMerge w:val="continue"/>
            <w:tcBorders>
              <w:tl2br w:val="nil"/>
              <w:tr2bl w:val="nil"/>
            </w:tcBorders>
            <w:noWrap w:val="0"/>
            <w:vAlign w:val="center"/>
          </w:tcPr>
          <w:p w14:paraId="4387CC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45EA50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废过硫酸钾包装袋入桶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暂存后，定期委托有资质单位处置</w:t>
            </w:r>
          </w:p>
        </w:tc>
        <w:tc>
          <w:tcPr>
            <w:tcW w:w="973" w:type="pct"/>
            <w:tcBorders>
              <w:tl2br w:val="nil"/>
              <w:tr2bl w:val="nil"/>
            </w:tcBorders>
            <w:shd w:val="clear" w:color="auto" w:fill="auto"/>
            <w:noWrap w:val="0"/>
            <w:vAlign w:val="center"/>
          </w:tcPr>
          <w:p w14:paraId="5D008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废过硫酸钾包装袋</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5A4BB3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506F7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6F9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397" w:type="pct"/>
            <w:vMerge w:val="continue"/>
            <w:tcBorders>
              <w:tl2br w:val="nil"/>
              <w:tr2bl w:val="nil"/>
            </w:tcBorders>
            <w:noWrap w:val="0"/>
            <w:vAlign w:val="center"/>
          </w:tcPr>
          <w:p w14:paraId="3A7B70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E8C5D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A80A0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F2FCC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废弃防渗布（沾落地油）</w:t>
            </w:r>
          </w:p>
        </w:tc>
        <w:tc>
          <w:tcPr>
            <w:tcW w:w="933" w:type="pct"/>
            <w:vMerge w:val="continue"/>
            <w:tcBorders>
              <w:tl2br w:val="nil"/>
              <w:tr2bl w:val="nil"/>
            </w:tcBorders>
            <w:noWrap w:val="0"/>
            <w:vAlign w:val="center"/>
          </w:tcPr>
          <w:p w14:paraId="26D6CE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47087C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袋装后收集至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973" w:type="pct"/>
            <w:tcBorders>
              <w:tl2br w:val="nil"/>
              <w:tr2bl w:val="nil"/>
            </w:tcBorders>
            <w:shd w:val="clear" w:color="auto" w:fill="auto"/>
            <w:noWrap w:val="0"/>
            <w:vAlign w:val="center"/>
          </w:tcPr>
          <w:p w14:paraId="6372AF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废弃防渗布（沾落地油）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03A70F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DDC9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B64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397" w:type="pct"/>
            <w:vMerge w:val="continue"/>
            <w:tcBorders>
              <w:tl2br w:val="nil"/>
              <w:tr2bl w:val="nil"/>
            </w:tcBorders>
            <w:noWrap w:val="0"/>
            <w:vAlign w:val="center"/>
          </w:tcPr>
          <w:p w14:paraId="313C31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0DF12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3DCC23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AF9E0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落地油</w:t>
            </w:r>
          </w:p>
        </w:tc>
        <w:tc>
          <w:tcPr>
            <w:tcW w:w="933" w:type="pct"/>
            <w:vMerge w:val="continue"/>
            <w:tcBorders>
              <w:tl2br w:val="nil"/>
              <w:tr2bl w:val="nil"/>
            </w:tcBorders>
            <w:noWrap w:val="0"/>
            <w:vAlign w:val="center"/>
          </w:tcPr>
          <w:p w14:paraId="3AF720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4F5ADA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落地油泥收集桶</w:t>
            </w:r>
            <w:r>
              <w:rPr>
                <w:rFonts w:hint="eastAsia" w:ascii="Times New Roman" w:hAnsi="Times New Roman" w:eastAsia="宋体" w:cs="Times New Roman"/>
                <w:color w:val="auto"/>
                <w:szCs w:val="21"/>
                <w:lang w:val="en-US" w:eastAsia="zh-CN"/>
              </w:rPr>
              <w:t>收集（</w:t>
            </w:r>
            <w:r>
              <w:rPr>
                <w:rFonts w:hint="default" w:ascii="Times New Roman" w:hAnsi="Times New Roman" w:eastAsia="宋体" w:cs="Times New Roman"/>
                <w:color w:val="auto"/>
                <w:szCs w:val="21"/>
                <w:lang w:val="en-US" w:eastAsia="zh-CN"/>
              </w:rPr>
              <w:t>铁桶，容量约500L，地上式设置，可以移动），定期委托有资质的单位进行安全处置</w:t>
            </w:r>
          </w:p>
        </w:tc>
        <w:tc>
          <w:tcPr>
            <w:tcW w:w="973" w:type="pct"/>
            <w:tcBorders>
              <w:tl2br w:val="nil"/>
              <w:tr2bl w:val="nil"/>
            </w:tcBorders>
            <w:shd w:val="clear" w:color="auto" w:fill="auto"/>
            <w:noWrap w:val="0"/>
            <w:vAlign w:val="center"/>
          </w:tcPr>
          <w:p w14:paraId="64D964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3C3773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A1A2C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42E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397" w:type="pct"/>
            <w:vMerge w:val="continue"/>
            <w:tcBorders>
              <w:tl2br w:val="nil"/>
              <w:tr2bl w:val="nil"/>
            </w:tcBorders>
            <w:noWrap w:val="0"/>
            <w:vAlign w:val="center"/>
          </w:tcPr>
          <w:p w14:paraId="63F542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59E8F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61E46F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A8B3976">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4"/>
                <w:szCs w:val="21"/>
                <w:lang w:val="en-US" w:eastAsia="zh-CN" w:bidi="ar-SA"/>
              </w:rPr>
            </w:pPr>
            <w:r>
              <w:rPr>
                <w:rFonts w:hint="default" w:ascii="Times New Roman" w:hAnsi="Times New Roman" w:cs="Times New Roman"/>
                <w:color w:val="auto"/>
                <w:sz w:val="21"/>
                <w:szCs w:val="21"/>
              </w:rPr>
              <w:t>废机油</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废润滑油</w:t>
            </w:r>
          </w:p>
        </w:tc>
        <w:tc>
          <w:tcPr>
            <w:tcW w:w="933" w:type="pct"/>
            <w:vMerge w:val="continue"/>
            <w:tcBorders>
              <w:tl2br w:val="nil"/>
              <w:tr2bl w:val="nil"/>
            </w:tcBorders>
            <w:noWrap w:val="0"/>
            <w:vAlign w:val="center"/>
          </w:tcPr>
          <w:p w14:paraId="7291A8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0E7C49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采用废油回收桶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973" w:type="pct"/>
            <w:tcBorders>
              <w:tl2br w:val="nil"/>
              <w:tr2bl w:val="nil"/>
            </w:tcBorders>
            <w:shd w:val="clear" w:color="auto" w:fill="auto"/>
            <w:noWrap w:val="0"/>
            <w:vAlign w:val="center"/>
          </w:tcPr>
          <w:p w14:paraId="59FE71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废机油、废润滑油采用废油回收桶（0.5m</w:t>
            </w:r>
            <w:r>
              <w:rPr>
                <w:rFonts w:hint="eastAsia" w:ascii="Times New Roman" w:hAnsi="Times New Roman" w:eastAsia="宋体" w:cs="Times New Roman"/>
                <w:color w:val="auto"/>
                <w:spacing w:val="0"/>
                <w:sz w:val="21"/>
                <w:szCs w:val="21"/>
                <w:highlight w:val="none"/>
                <w:vertAlign w:val="superscript"/>
                <w:lang w:val="en-US" w:eastAsia="zh-CN" w:bidi="ar-SA"/>
              </w:rPr>
              <w:t>3</w:t>
            </w:r>
            <w:r>
              <w:rPr>
                <w:rFonts w:hint="eastAsia" w:ascii="Times New Roman" w:hAnsi="Times New Roman" w:eastAsia="宋体" w:cs="Times New Roman"/>
                <w:color w:val="auto"/>
                <w:spacing w:val="0"/>
                <w:sz w:val="21"/>
                <w:szCs w:val="21"/>
                <w:highlight w:val="none"/>
                <w:lang w:val="en-US" w:eastAsia="zh-CN" w:bidi="ar-SA"/>
              </w:rPr>
              <w:t>）收集至临时危废贮存库暂存后，定期委托平凉海螺环保科技有限责任公司外运处置</w:t>
            </w:r>
          </w:p>
        </w:tc>
        <w:tc>
          <w:tcPr>
            <w:tcW w:w="1032" w:type="pct"/>
            <w:tcBorders>
              <w:tl2br w:val="nil"/>
              <w:tr2bl w:val="nil"/>
            </w:tcBorders>
            <w:noWrap w:val="0"/>
            <w:vAlign w:val="center"/>
          </w:tcPr>
          <w:p w14:paraId="157D3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4D45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4EF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26E7DA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9B8DC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5EB6DA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129DD2CF">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4"/>
                <w:szCs w:val="22"/>
                <w:lang w:val="en-US" w:eastAsia="zh-CN" w:bidi="ar-SA"/>
              </w:rPr>
            </w:pPr>
            <w:r>
              <w:rPr>
                <w:rFonts w:hint="eastAsia" w:ascii="Times New Roman" w:hAnsi="Times New Roman" w:cs="Times New Roman"/>
                <w:color w:val="auto"/>
                <w:sz w:val="21"/>
                <w:szCs w:val="21"/>
                <w:lang w:val="en-US" w:eastAsia="zh-CN"/>
              </w:rPr>
              <w:t>废含油抹布</w:t>
            </w:r>
          </w:p>
        </w:tc>
        <w:tc>
          <w:tcPr>
            <w:tcW w:w="933" w:type="pct"/>
            <w:vMerge w:val="continue"/>
            <w:tcBorders>
              <w:tl2br w:val="nil"/>
              <w:tr2bl w:val="nil"/>
            </w:tcBorders>
            <w:noWrap w:val="0"/>
            <w:vAlign w:val="center"/>
          </w:tcPr>
          <w:p w14:paraId="5B6222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566397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废含油抹布采用废含油抹布回收桶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973" w:type="pct"/>
            <w:tcBorders>
              <w:tl2br w:val="nil"/>
              <w:tr2bl w:val="nil"/>
            </w:tcBorders>
            <w:shd w:val="clear" w:color="auto" w:fill="auto"/>
            <w:noWrap w:val="0"/>
            <w:vAlign w:val="center"/>
          </w:tcPr>
          <w:p w14:paraId="0E1997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废含油抹布经收集暂存于临时危废贮存库后，委托庆阳丰泰环保有限责任公司处置，未产生二次污染</w:t>
            </w:r>
          </w:p>
        </w:tc>
        <w:tc>
          <w:tcPr>
            <w:tcW w:w="1032" w:type="pct"/>
            <w:tcBorders>
              <w:tl2br w:val="nil"/>
              <w:tr2bl w:val="nil"/>
            </w:tcBorders>
            <w:noWrap w:val="0"/>
            <w:vAlign w:val="center"/>
          </w:tcPr>
          <w:p w14:paraId="24CEBC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59750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2C2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397" w:type="pct"/>
            <w:vMerge w:val="continue"/>
            <w:tcBorders>
              <w:tl2br w:val="nil"/>
              <w:tr2bl w:val="nil"/>
            </w:tcBorders>
            <w:noWrap w:val="0"/>
            <w:vAlign w:val="center"/>
          </w:tcPr>
          <w:p w14:paraId="03E439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21419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86183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0B8444D9">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eastAsia" w:cs="Times New Roman"/>
                <w:color w:val="auto"/>
                <w:sz w:val="21"/>
                <w:szCs w:val="21"/>
                <w:lang w:val="en-US" w:eastAsia="zh-CN"/>
              </w:rPr>
              <w:t>含油压裂砂、含油岩屑</w:t>
            </w:r>
          </w:p>
        </w:tc>
        <w:tc>
          <w:tcPr>
            <w:tcW w:w="933" w:type="pct"/>
            <w:vMerge w:val="continue"/>
            <w:tcBorders>
              <w:tl2br w:val="nil"/>
              <w:tr2bl w:val="nil"/>
            </w:tcBorders>
            <w:noWrap w:val="0"/>
            <w:vAlign w:val="center"/>
          </w:tcPr>
          <w:p w14:paraId="7865CE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78C4DF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含油压裂砂、含油岩屑产生后立即装袋、密封，全部由专用车辆运送至污油泥临时储存点暂存，最终交由有资质单位进行妥善处理</w:t>
            </w:r>
          </w:p>
        </w:tc>
        <w:tc>
          <w:tcPr>
            <w:tcW w:w="973" w:type="pct"/>
            <w:tcBorders>
              <w:tl2br w:val="nil"/>
              <w:tr2bl w:val="nil"/>
            </w:tcBorders>
            <w:shd w:val="clear" w:color="auto" w:fill="auto"/>
            <w:noWrap w:val="0"/>
            <w:vAlign w:val="center"/>
          </w:tcPr>
          <w:p w14:paraId="46F5AD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5D53F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242ED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46AC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7" w:type="pct"/>
            <w:vMerge w:val="continue"/>
            <w:tcBorders>
              <w:tl2br w:val="nil"/>
              <w:tr2bl w:val="nil"/>
            </w:tcBorders>
            <w:noWrap w:val="0"/>
            <w:vAlign w:val="center"/>
          </w:tcPr>
          <w:p w14:paraId="7437AF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EDBDB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tcBorders>
              <w:tl2br w:val="nil"/>
              <w:tr2bl w:val="nil"/>
            </w:tcBorders>
            <w:noWrap w:val="0"/>
            <w:vAlign w:val="center"/>
          </w:tcPr>
          <w:p w14:paraId="14013E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生态环境保护措施</w:t>
            </w:r>
          </w:p>
        </w:tc>
        <w:tc>
          <w:tcPr>
            <w:tcW w:w="933" w:type="pct"/>
            <w:tcBorders>
              <w:tl2br w:val="nil"/>
              <w:tr2bl w:val="nil"/>
            </w:tcBorders>
            <w:noWrap w:val="0"/>
            <w:vAlign w:val="center"/>
          </w:tcPr>
          <w:p w14:paraId="6E8AA6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tc>
        <w:tc>
          <w:tcPr>
            <w:tcW w:w="927" w:type="pct"/>
            <w:tcBorders>
              <w:tl2br w:val="nil"/>
              <w:tr2bl w:val="nil"/>
            </w:tcBorders>
            <w:noWrap w:val="0"/>
            <w:vAlign w:val="center"/>
          </w:tcPr>
          <w:p w14:paraId="58668B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对临时占用土地（井场及进场道路）进行表土留存，分层回填，整平翻松，及时将表土运至场地绿化区及临时占地恢复区使用。本项目需生态恢复的面积为无开发利用价值的评价井的临时占地面积，具体恢复面积由勘探结果确定。</w:t>
            </w:r>
          </w:p>
        </w:tc>
        <w:tc>
          <w:tcPr>
            <w:tcW w:w="973" w:type="pct"/>
            <w:tcBorders>
              <w:tl2br w:val="nil"/>
              <w:tr2bl w:val="nil"/>
            </w:tcBorders>
            <w:shd w:val="clear" w:color="auto" w:fill="auto"/>
            <w:noWrap w:val="0"/>
            <w:vAlign w:val="center"/>
          </w:tcPr>
          <w:p w14:paraId="7948F2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加强生态环境保护工作。严格控制施工作业范围所有施工活动均在施工作业带内进行；</w:t>
            </w:r>
          </w:p>
          <w:p w14:paraId="7CE7E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spacing w:val="0"/>
                <w:kern w:val="21"/>
                <w:sz w:val="21"/>
                <w:szCs w:val="21"/>
                <w:highlight w:val="none"/>
                <w:lang w:val="en-US" w:eastAsia="zh-CN"/>
              </w:rPr>
              <w:t>JH2P42、JH2P44、良平101H场地已恢复平整</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井口进行临时关井，待转产，除预留转为生产开发所需的面积外，对其余临时占地进行了恢复</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w:t>
            </w:r>
            <w:r>
              <w:rPr>
                <w:rFonts w:hint="eastAsia" w:ascii="Times New Roman" w:hAnsi="Times New Roman" w:eastAsia="宋体" w:cs="Times New Roman"/>
                <w:color w:val="auto"/>
                <w:spacing w:val="0"/>
                <w:kern w:val="21"/>
                <w:sz w:val="21"/>
                <w:szCs w:val="21"/>
                <w:highlight w:val="none"/>
                <w:lang w:val="en-US" w:eastAsia="zh-CN" w:bidi="ar-SA"/>
              </w:rPr>
              <w:t>了</w:t>
            </w:r>
            <w:r>
              <w:rPr>
                <w:rFonts w:hint="default" w:ascii="Times New Roman" w:hAnsi="Times New Roman" w:eastAsia="宋体" w:cs="Times New Roman"/>
                <w:color w:val="auto"/>
                <w:spacing w:val="0"/>
                <w:kern w:val="21"/>
                <w:sz w:val="21"/>
                <w:szCs w:val="21"/>
                <w:highlight w:val="none"/>
                <w:lang w:val="en-US" w:eastAsia="zh-CN" w:bidi="ar-SA"/>
              </w:rPr>
              <w:t>绿化</w:t>
            </w:r>
            <w:r>
              <w:rPr>
                <w:rFonts w:hint="eastAsia" w:ascii="Times New Roman" w:hAnsi="Times New Roman" w:eastAsia="宋体" w:cs="Times New Roman"/>
                <w:color w:val="auto"/>
                <w:spacing w:val="0"/>
                <w:kern w:val="21"/>
                <w:sz w:val="21"/>
                <w:szCs w:val="21"/>
                <w:highlight w:val="none"/>
                <w:lang w:val="en-US" w:eastAsia="zh-CN" w:bidi="ar-SA"/>
              </w:rPr>
              <w:t>；</w:t>
            </w:r>
            <w:r>
              <w:rPr>
                <w:rFonts w:hint="default" w:ascii="Times New Roman" w:hAnsi="Times New Roman" w:eastAsia="宋体" w:cs="Times New Roman"/>
                <w:color w:val="auto"/>
                <w:spacing w:val="0"/>
                <w:kern w:val="21"/>
                <w:sz w:val="21"/>
                <w:szCs w:val="21"/>
                <w:highlight w:val="none"/>
                <w:lang w:val="en-US" w:eastAsia="zh-CN"/>
              </w:rPr>
              <w:t>长探105</w:t>
            </w:r>
            <w:r>
              <w:rPr>
                <w:rFonts w:hint="eastAsia" w:ascii="Times New Roman" w:hAnsi="Times New Roman" w:eastAsia="宋体" w:cs="Times New Roman"/>
                <w:color w:val="auto"/>
                <w:spacing w:val="0"/>
                <w:kern w:val="21"/>
                <w:sz w:val="21"/>
                <w:szCs w:val="21"/>
                <w:highlight w:val="none"/>
                <w:lang w:val="en-US" w:eastAsia="zh-CN"/>
              </w:rPr>
              <w:t>已永久封井，</w:t>
            </w:r>
            <w:r>
              <w:rPr>
                <w:rFonts w:hint="eastAsia" w:ascii="Times New Roman" w:hAnsi="Times New Roman" w:eastAsia="宋体" w:cs="Times New Roman"/>
                <w:color w:val="auto"/>
                <w:sz w:val="21"/>
                <w:szCs w:val="21"/>
                <w:highlight w:val="none"/>
                <w:lang w:val="en-US" w:eastAsia="zh-CN"/>
              </w:rPr>
              <w:t>除井口外其余占地已平整并进行了绿化</w:t>
            </w:r>
          </w:p>
        </w:tc>
        <w:tc>
          <w:tcPr>
            <w:tcW w:w="1032" w:type="pct"/>
            <w:tcBorders>
              <w:tl2br w:val="nil"/>
              <w:tr2bl w:val="nil"/>
            </w:tcBorders>
            <w:shd w:val="clear" w:color="auto" w:fill="auto"/>
            <w:noWrap w:val="0"/>
            <w:vAlign w:val="center"/>
          </w:tcPr>
          <w:p w14:paraId="550C7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1C37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EF0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397" w:type="pct"/>
            <w:vMerge w:val="continue"/>
            <w:tcBorders>
              <w:tl2br w:val="nil"/>
              <w:tr2bl w:val="nil"/>
            </w:tcBorders>
            <w:noWrap w:val="0"/>
            <w:vAlign w:val="center"/>
          </w:tcPr>
          <w:p w14:paraId="229090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37" w:type="pct"/>
            <w:vMerge w:val="restart"/>
            <w:tcBorders>
              <w:tl2br w:val="nil"/>
              <w:tr2bl w:val="nil"/>
            </w:tcBorders>
            <w:noWrap w:val="0"/>
            <w:vAlign w:val="center"/>
          </w:tcPr>
          <w:p w14:paraId="43F358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其他</w:t>
            </w:r>
          </w:p>
        </w:tc>
        <w:tc>
          <w:tcPr>
            <w:tcW w:w="375" w:type="pct"/>
            <w:gridSpan w:val="2"/>
            <w:vMerge w:val="restart"/>
            <w:tcBorders>
              <w:tl2br w:val="nil"/>
              <w:tr2bl w:val="nil"/>
            </w:tcBorders>
            <w:noWrap w:val="0"/>
            <w:vAlign w:val="center"/>
          </w:tcPr>
          <w:p w14:paraId="4E32D0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风险防范措施、</w:t>
            </w:r>
          </w:p>
          <w:p w14:paraId="3EB4F8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土壤、地下水防范措施</w:t>
            </w:r>
          </w:p>
        </w:tc>
        <w:tc>
          <w:tcPr>
            <w:tcW w:w="933" w:type="pct"/>
            <w:vMerge w:val="restart"/>
            <w:tcBorders>
              <w:tl2br w:val="nil"/>
              <w:tr2bl w:val="nil"/>
            </w:tcBorders>
            <w:noWrap w:val="0"/>
            <w:vAlign w:val="center"/>
          </w:tcPr>
          <w:p w14:paraId="335414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w:t>
            </w:r>
            <w:r>
              <w:rPr>
                <w:rFonts w:hint="eastAsia" w:ascii="Times New Roman" w:hAnsi="Times New Roman" w:eastAsia="宋体" w:cs="Times New Roman"/>
                <w:color w:val="0000FF"/>
                <w:sz w:val="21"/>
                <w:szCs w:val="21"/>
                <w:highlight w:val="none"/>
                <w:lang w:val="en-US" w:eastAsia="zh-CN"/>
              </w:rPr>
              <w:t>按要求编制环境应急预案，并报环境保护主管部门备案。</w:t>
            </w:r>
          </w:p>
          <w:p w14:paraId="197686A9">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p>
        </w:tc>
        <w:tc>
          <w:tcPr>
            <w:tcW w:w="927" w:type="pct"/>
            <w:tcBorders>
              <w:tl2br w:val="nil"/>
              <w:tr2bl w:val="nil"/>
            </w:tcBorders>
            <w:noWrap w:val="0"/>
            <w:vAlign w:val="center"/>
          </w:tcPr>
          <w:p w14:paraId="15AB8F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项目区设置灭火器、正压式呼吸器、便携式可燃气体检测仪等</w:t>
            </w:r>
          </w:p>
        </w:tc>
        <w:tc>
          <w:tcPr>
            <w:tcW w:w="973" w:type="pct"/>
            <w:tcBorders>
              <w:tl2br w:val="nil"/>
              <w:tr2bl w:val="nil"/>
            </w:tcBorders>
            <w:noWrap w:val="0"/>
            <w:vAlign w:val="center"/>
          </w:tcPr>
          <w:p w14:paraId="0F4628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sz w:val="21"/>
                <w:szCs w:val="21"/>
                <w:lang w:val="en-US" w:eastAsia="zh-CN"/>
              </w:rPr>
              <w:t>施工期间，</w:t>
            </w:r>
            <w:r>
              <w:rPr>
                <w:rFonts w:hint="eastAsia" w:ascii="Times New Roman" w:hAnsi="Times New Roman" w:eastAsia="宋体" w:cs="Times New Roman"/>
                <w:color w:val="auto"/>
                <w:kern w:val="2"/>
                <w:sz w:val="21"/>
                <w:szCs w:val="22"/>
                <w:lang w:val="en-US" w:eastAsia="zh-CN" w:bidi="ar-SA"/>
              </w:rPr>
              <w:t>项目区设置灭火器、正压式呼吸器、便携式可燃气体检测仪等；</w:t>
            </w:r>
          </w:p>
          <w:p w14:paraId="54E962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kern w:val="2"/>
                <w:sz w:val="21"/>
                <w:szCs w:val="22"/>
                <w:lang w:val="en-US" w:eastAsia="zh-CN" w:bidi="ar-SA"/>
              </w:rPr>
              <w:t>采油一厂</w:t>
            </w: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lang w:val="en-US" w:eastAsia="zh-CN"/>
              </w:rPr>
              <w:t>制定了突发环境事件应急预案，并于</w:t>
            </w:r>
            <w:r>
              <w:rPr>
                <w:rFonts w:hint="eastAsia" w:ascii="Times New Roman" w:hAnsi="Times New Roman" w:eastAsia="宋体" w:cs="Times New Roman"/>
                <w:color w:val="auto"/>
                <w:sz w:val="21"/>
                <w:szCs w:val="21"/>
                <w:highlight w:val="none"/>
                <w:lang w:val="en-US" w:eastAsia="zh-CN"/>
              </w:rPr>
              <w:t>2023年1月11日取得了庆阳市生态环境局宁县分局</w:t>
            </w:r>
            <w:r>
              <w:rPr>
                <w:rFonts w:hint="default" w:ascii="Times New Roman" w:hAnsi="Times New Roman" w:eastAsia="宋体" w:cs="Times New Roman"/>
                <w:color w:val="auto"/>
                <w:sz w:val="21"/>
                <w:szCs w:val="21"/>
                <w:highlight w:val="none"/>
                <w:lang w:val="en-US" w:eastAsia="zh-CN"/>
              </w:rPr>
              <w:t>预案备案文件，并</w:t>
            </w:r>
            <w:r>
              <w:rPr>
                <w:rFonts w:hint="eastAsia" w:ascii="Times New Roman" w:hAnsi="Times New Roman" w:eastAsia="宋体" w:cs="Times New Roman"/>
                <w:color w:val="auto"/>
                <w:sz w:val="21"/>
                <w:szCs w:val="21"/>
                <w:highlight w:val="none"/>
                <w:lang w:val="en-US" w:eastAsia="zh-CN"/>
              </w:rPr>
              <w:t>按照</w:t>
            </w:r>
            <w:r>
              <w:rPr>
                <w:rFonts w:hint="default" w:ascii="Times New Roman" w:hAnsi="Times New Roman" w:eastAsia="宋体" w:cs="Times New Roman"/>
                <w:color w:val="auto"/>
                <w:sz w:val="21"/>
                <w:szCs w:val="21"/>
                <w:highlight w:val="none"/>
                <w:lang w:val="en-US" w:eastAsia="zh-CN"/>
              </w:rPr>
              <w:t>预案中相关应急措施进行定期演练。</w:t>
            </w:r>
            <w:r>
              <w:rPr>
                <w:rFonts w:hint="eastAsia" w:ascii="Times New Roman" w:hAnsi="Times New Roman" w:eastAsia="宋体" w:cs="Times New Roman"/>
                <w:color w:val="auto"/>
                <w:sz w:val="21"/>
                <w:szCs w:val="21"/>
                <w:highlight w:val="none"/>
                <w:lang w:val="en-US" w:eastAsia="zh-CN"/>
              </w:rPr>
              <w:t>该应急预案修编日期为2026年1月11日，在本项目验收时间范围内。</w:t>
            </w:r>
            <w:r>
              <w:rPr>
                <w:rFonts w:hint="eastAsia" w:ascii="Times New Roman" w:hAnsi="Times New Roman" w:eastAsia="宋体" w:cs="Times New Roman"/>
                <w:color w:val="0000FF"/>
                <w:sz w:val="21"/>
                <w:szCs w:val="21"/>
                <w:highlight w:val="none"/>
                <w:lang w:val="en-US" w:eastAsia="zh-CN"/>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tc>
        <w:tc>
          <w:tcPr>
            <w:tcW w:w="1032" w:type="pct"/>
            <w:tcBorders>
              <w:tl2br w:val="nil"/>
              <w:tr2bl w:val="nil"/>
            </w:tcBorders>
            <w:noWrap w:val="0"/>
            <w:vAlign w:val="center"/>
          </w:tcPr>
          <w:p w14:paraId="3D9A09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11C49E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EAB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97" w:type="pct"/>
            <w:vMerge w:val="continue"/>
            <w:tcBorders>
              <w:tl2br w:val="nil"/>
              <w:tr2bl w:val="nil"/>
            </w:tcBorders>
            <w:noWrap w:val="0"/>
            <w:vAlign w:val="center"/>
          </w:tcPr>
          <w:p w14:paraId="20A846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952ED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vMerge w:val="continue"/>
            <w:tcBorders>
              <w:tl2br w:val="nil"/>
              <w:tr2bl w:val="nil"/>
            </w:tcBorders>
            <w:noWrap w:val="0"/>
            <w:vAlign w:val="center"/>
          </w:tcPr>
          <w:p w14:paraId="5687C6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33" w:type="pct"/>
            <w:vMerge w:val="continue"/>
            <w:tcBorders>
              <w:tl2br w:val="nil"/>
              <w:tr2bl w:val="nil"/>
            </w:tcBorders>
            <w:noWrap w:val="0"/>
            <w:vAlign w:val="center"/>
          </w:tcPr>
          <w:p w14:paraId="3760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noWrap w:val="0"/>
            <w:vAlign w:val="center"/>
          </w:tcPr>
          <w:p w14:paraId="105C3C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井场内设置30m</w:t>
            </w:r>
            <w:r>
              <w:rPr>
                <w:rFonts w:hint="eastAsia" w:ascii="Times New Roman" w:hAnsi="Times New Roman" w:eastAsia="宋体" w:cs="Times New Roman"/>
                <w:color w:val="auto"/>
                <w:sz w:val="21"/>
                <w:szCs w:val="21"/>
                <w:highlight w:val="none"/>
                <w:vertAlign w:val="superscript"/>
                <w:lang w:val="en-US" w:eastAsia="zh-CN"/>
              </w:rPr>
              <w:t>3</w:t>
            </w:r>
            <w:r>
              <w:rPr>
                <w:rFonts w:hint="eastAsia" w:ascii="Times New Roman" w:hAnsi="Times New Roman" w:eastAsia="宋体" w:cs="Times New Roman"/>
                <w:color w:val="auto"/>
                <w:sz w:val="21"/>
                <w:szCs w:val="21"/>
                <w:highlight w:val="none"/>
                <w:lang w:val="en-US" w:eastAsia="zh-CN"/>
              </w:rPr>
              <w:t>初期雨水收集罐、30m</w:t>
            </w:r>
            <w:r>
              <w:rPr>
                <w:rFonts w:hint="eastAsia" w:ascii="Times New Roman" w:hAnsi="Times New Roman" w:eastAsia="宋体" w:cs="Times New Roman"/>
                <w:color w:val="auto"/>
                <w:sz w:val="21"/>
                <w:szCs w:val="21"/>
                <w:highlight w:val="none"/>
                <w:vertAlign w:val="superscript"/>
                <w:lang w:val="en-US" w:eastAsia="zh-CN"/>
              </w:rPr>
              <w:t>3</w:t>
            </w:r>
            <w:r>
              <w:rPr>
                <w:rFonts w:hint="eastAsia" w:ascii="Times New Roman" w:hAnsi="Times New Roman" w:eastAsia="宋体" w:cs="Times New Roman"/>
                <w:color w:val="auto"/>
                <w:sz w:val="21"/>
                <w:szCs w:val="21"/>
                <w:highlight w:val="none"/>
                <w:lang w:val="en-US" w:eastAsia="zh-CN"/>
              </w:rPr>
              <w:t>污油罐（兼作事故罐），井场四周设置不低于20cm的土围堰，且井场大门处修建挡土梁；废过硫酸钾包装袋、废弃防渗布（沾落地油）、落地油、废机油、废润滑油、废含油抹布、含油压裂砂暂存于临时危废贮存库；含油压裂砂、含油岩屑收集至油泥暂存点暂存后，定期委托有资质单位外运处置</w:t>
            </w:r>
          </w:p>
        </w:tc>
        <w:tc>
          <w:tcPr>
            <w:tcW w:w="973" w:type="pct"/>
            <w:tcBorders>
              <w:tl2br w:val="nil"/>
              <w:tr2bl w:val="nil"/>
            </w:tcBorders>
            <w:noWrap w:val="0"/>
            <w:vAlign w:val="center"/>
          </w:tcPr>
          <w:p w14:paraId="1223EA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kern w:val="2"/>
                <w:sz w:val="21"/>
                <w:szCs w:val="22"/>
                <w:lang w:val="en-US" w:eastAsia="zh-CN" w:bidi="ar-SA"/>
              </w:rPr>
              <w:t>井</w:t>
            </w:r>
            <w:r>
              <w:rPr>
                <w:rFonts w:hint="default" w:ascii="Times New Roman" w:hAnsi="Times New Roman" w:eastAsia="宋体" w:cs="Times New Roman"/>
                <w:color w:val="auto"/>
                <w:kern w:val="2"/>
                <w:sz w:val="21"/>
                <w:szCs w:val="22"/>
                <w:lang w:val="en-US" w:eastAsia="zh-CN" w:bidi="ar-SA"/>
              </w:rPr>
              <w:t>场内设置30m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初期雨水收集罐、30m</w:t>
            </w:r>
            <w:r>
              <w:rPr>
                <w:rFonts w:hint="default" w:ascii="Times New Roman" w:hAnsi="Times New Roman" w:eastAsia="宋体" w:cs="Times New Roman"/>
                <w:color w:val="auto"/>
                <w:kern w:val="2"/>
                <w:sz w:val="21"/>
                <w:szCs w:val="22"/>
                <w:vertAlign w:val="superscript"/>
                <w:lang w:val="en-US" w:eastAsia="zh-CN" w:bidi="ar-SA"/>
              </w:rPr>
              <w:t>3</w:t>
            </w:r>
            <w:r>
              <w:rPr>
                <w:rFonts w:hint="eastAsia" w:ascii="Times New Roman" w:hAnsi="Times New Roman" w:eastAsia="宋体" w:cs="Times New Roman"/>
                <w:color w:val="auto"/>
                <w:kern w:val="2"/>
                <w:sz w:val="21"/>
                <w:szCs w:val="22"/>
                <w:lang w:val="en-US" w:eastAsia="zh-CN" w:bidi="ar-SA"/>
              </w:rPr>
              <w:t>污油罐（兼作事故罐）</w:t>
            </w:r>
            <w:r>
              <w:rPr>
                <w:rFonts w:hint="default" w:ascii="Times New Roman" w:hAnsi="Times New Roman" w:eastAsia="宋体" w:cs="Times New Roman"/>
                <w:color w:val="auto"/>
                <w:kern w:val="2"/>
                <w:sz w:val="21"/>
                <w:szCs w:val="22"/>
                <w:lang w:val="en-US" w:eastAsia="zh-CN" w:bidi="ar-SA"/>
              </w:rPr>
              <w:t>，</w:t>
            </w:r>
            <w:r>
              <w:rPr>
                <w:rFonts w:hint="default" w:ascii="Times New Roman" w:hAnsi="Times New Roman" w:cs="Times New Roman" w:eastAsiaTheme="minorEastAsia"/>
                <w:color w:val="0000FF"/>
                <w:sz w:val="21"/>
                <w:szCs w:val="21"/>
                <w:lang w:val="en-US" w:eastAsia="zh-CN"/>
              </w:rPr>
              <w:t>防渗布四周设20cm高围堰，井场周围设20cm的土围堰</w:t>
            </w:r>
            <w:r>
              <w:rPr>
                <w:rFonts w:hint="default" w:ascii="Times New Roman" w:hAnsi="Times New Roman" w:eastAsia="宋体" w:cs="Times New Roman"/>
                <w:color w:val="0000FF"/>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且井场大门处修建挡土梁</w:t>
            </w:r>
            <w:r>
              <w:rPr>
                <w:rFonts w:hint="eastAsia" w:ascii="Times New Roman" w:hAnsi="Times New Roman" w:eastAsia="宋体" w:cs="Times New Roman"/>
                <w:color w:val="auto"/>
                <w:kern w:val="2"/>
                <w:sz w:val="21"/>
                <w:szCs w:val="22"/>
                <w:lang w:val="en-US" w:eastAsia="zh-CN" w:bidi="ar-SA"/>
              </w:rPr>
              <w:t>；</w:t>
            </w:r>
            <w:r>
              <w:rPr>
                <w:rFonts w:hint="eastAsia" w:ascii="Times New Roman" w:hAnsi="Times New Roman" w:eastAsia="宋体" w:cs="Times New Roman"/>
                <w:color w:val="auto"/>
                <w:spacing w:val="0"/>
                <w:sz w:val="21"/>
                <w:szCs w:val="21"/>
                <w:highlight w:val="none"/>
                <w:lang w:val="en-US" w:eastAsia="zh-CN" w:bidi="ar-SA"/>
              </w:rPr>
              <w:t>废机油、废润滑油委托平凉海螺环保科技有限责任公司外运处置；</w:t>
            </w:r>
            <w:r>
              <w:rPr>
                <w:rFonts w:hint="eastAsia" w:ascii="Times New Roman" w:hAnsi="Times New Roman" w:eastAsia="宋体" w:cs="Times New Roman"/>
                <w:color w:val="auto"/>
                <w:kern w:val="2"/>
                <w:sz w:val="21"/>
                <w:szCs w:val="22"/>
                <w:lang w:val="en-US" w:eastAsia="zh-CN" w:bidi="ar-SA"/>
              </w:rPr>
              <w:t>其他危险废物收集暂存于临时危废贮存库后，运至</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eastAsia" w:ascii="Times New Roman" w:hAnsi="Times New Roman" w:eastAsia="宋体" w:cs="Times New Roman"/>
                <w:color w:val="auto"/>
                <w:kern w:val="2"/>
                <w:sz w:val="21"/>
                <w:szCs w:val="22"/>
                <w:lang w:val="en-US" w:eastAsia="zh-CN" w:bidi="ar-SA"/>
              </w:rPr>
              <w:t>处置。</w:t>
            </w:r>
          </w:p>
        </w:tc>
        <w:tc>
          <w:tcPr>
            <w:tcW w:w="1032" w:type="pct"/>
            <w:tcBorders>
              <w:tl2br w:val="nil"/>
              <w:tr2bl w:val="nil"/>
            </w:tcBorders>
            <w:noWrap w:val="0"/>
            <w:vAlign w:val="center"/>
          </w:tcPr>
          <w:p w14:paraId="69723A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356849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50D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97" w:type="pct"/>
            <w:vMerge w:val="continue"/>
            <w:tcBorders>
              <w:tl2br w:val="nil"/>
              <w:tr2bl w:val="nil"/>
            </w:tcBorders>
            <w:noWrap w:val="0"/>
            <w:vAlign w:val="center"/>
          </w:tcPr>
          <w:p w14:paraId="73E282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6AD7E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vMerge w:val="continue"/>
            <w:tcBorders>
              <w:tl2br w:val="nil"/>
              <w:tr2bl w:val="nil"/>
            </w:tcBorders>
            <w:noWrap w:val="0"/>
            <w:vAlign w:val="center"/>
          </w:tcPr>
          <w:p w14:paraId="074634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933" w:type="pct"/>
            <w:vMerge w:val="continue"/>
            <w:tcBorders>
              <w:tl2br w:val="nil"/>
              <w:tr2bl w:val="nil"/>
            </w:tcBorders>
            <w:noWrap w:val="0"/>
            <w:vAlign w:val="center"/>
          </w:tcPr>
          <w:p w14:paraId="1BA07031">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03952F8D">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w:t>
            </w:r>
            <w:r>
              <w:rPr>
                <w:rFonts w:hint="eastAsia" w:ascii="Times New Roman" w:hAnsi="Times New Roman" w:eastAsia="宋体" w:cs="Times New Roman"/>
                <w:color w:val="auto"/>
                <w:kern w:val="2"/>
                <w:sz w:val="21"/>
                <w:szCs w:val="22"/>
                <w:lang w:val="en-US" w:eastAsia="zh-CN" w:bidi="ar-SA"/>
              </w:rPr>
              <w:t>临时危废贮存库</w:t>
            </w:r>
            <w:r>
              <w:rPr>
                <w:rFonts w:hint="default" w:ascii="Times New Roman" w:hAnsi="Times New Roman" w:eastAsia="宋体" w:cs="Times New Roman"/>
                <w:color w:val="auto"/>
                <w:kern w:val="2"/>
                <w:sz w:val="21"/>
                <w:szCs w:val="22"/>
                <w:lang w:val="en-US" w:eastAsia="zh-CN" w:bidi="ar-SA"/>
              </w:rPr>
              <w:t>等划分为重点防渗区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地面底部利用机械将衬层压实，铺设防渗材料（2.0</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，等效黏土防渗层Mb≥6.0m，K≤1×10</w:t>
            </w:r>
            <w:r>
              <w:rPr>
                <w:rFonts w:hint="eastAsia" w:ascii="Times New Roman" w:hAnsi="Times New Roman" w:eastAsia="宋体" w:cs="Times New Roman"/>
                <w:color w:val="auto"/>
                <w:kern w:val="2"/>
                <w:sz w:val="21"/>
                <w:szCs w:val="22"/>
                <w:vertAlign w:val="superscript"/>
                <w:lang w:val="en-US" w:eastAsia="zh-CN" w:bidi="ar-SA"/>
              </w:rPr>
              <w:t>-</w:t>
            </w:r>
            <w:r>
              <w:rPr>
                <w:rFonts w:hint="eastAsia" w:ascii="Times New Roman" w:hAnsi="Times New Roman" w:cs="Times New Roman"/>
                <w:color w:val="auto"/>
                <w:kern w:val="2"/>
                <w:sz w:val="21"/>
                <w:szCs w:val="22"/>
                <w:vertAlign w:val="superscript"/>
                <w:lang w:val="en-US" w:eastAsia="zh-CN" w:bidi="ar-SA"/>
              </w:rPr>
              <w:t>10</w:t>
            </w:r>
            <w:r>
              <w:rPr>
                <w:rFonts w:hint="eastAsia" w:ascii="Times New Roman" w:hAnsi="Times New Roman" w:eastAsia="宋体" w:cs="Times New Roman"/>
                <w:color w:val="auto"/>
                <w:kern w:val="2"/>
                <w:sz w:val="21"/>
                <w:szCs w:val="22"/>
                <w:lang w:val="en-US" w:eastAsia="zh-CN" w:bidi="ar-SA"/>
              </w:rPr>
              <w:t>cm/s，参照执行《石油化工工程防渗技术规范》（GB/T50934-2013）；</w:t>
            </w:r>
          </w:p>
          <w:p w14:paraId="711B274D">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原辅材料存储区、环保厕所</w:t>
            </w:r>
            <w:r>
              <w:rPr>
                <w:rFonts w:hint="eastAsia" w:ascii="Times New Roman" w:hAnsi="Times New Roman" w:eastAsia="宋体" w:cs="Times New Roman"/>
                <w:color w:val="auto"/>
                <w:kern w:val="2"/>
                <w:sz w:val="21"/>
                <w:szCs w:val="22"/>
                <w:lang w:val="en-US" w:eastAsia="zh-CN" w:bidi="ar-SA"/>
              </w:rPr>
              <w:t>、雨水导排渠</w:t>
            </w:r>
            <w:r>
              <w:rPr>
                <w:rFonts w:hint="default" w:ascii="Times New Roman" w:hAnsi="Times New Roman" w:eastAsia="宋体" w:cs="Times New Roman"/>
                <w:color w:val="auto"/>
                <w:kern w:val="2"/>
                <w:sz w:val="21"/>
                <w:szCs w:val="22"/>
                <w:lang w:val="en-US" w:eastAsia="zh-CN" w:bidi="ar-SA"/>
              </w:rPr>
              <w:t>划分为一般防渗区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地面底部利用机械将衬层压实，铺设防渗材料（1.5</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cm/s，参照执行《石油化工工程防渗技术规范》（GB/T50934-2013）</w:t>
            </w:r>
            <w:r>
              <w:rPr>
                <w:rFonts w:hint="eastAsia" w:ascii="Times New Roman" w:hAnsi="Times New Roman" w:eastAsia="宋体" w:cs="Times New Roman"/>
                <w:color w:val="auto"/>
                <w:kern w:val="2"/>
                <w:sz w:val="21"/>
                <w:szCs w:val="22"/>
                <w:lang w:val="en-US" w:eastAsia="zh-CN" w:bidi="ar-SA"/>
              </w:rPr>
              <w:t>；</w:t>
            </w:r>
          </w:p>
          <w:p w14:paraId="69D9A0E0">
            <w:pPr>
              <w:pStyle w:val="94"/>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w:t>
            </w:r>
            <w:r>
              <w:rPr>
                <w:rFonts w:hint="eastAsia" w:ascii="Times New Roman" w:hAnsi="Times New Roman" w:eastAsia="宋体" w:cs="Times New Roman"/>
                <w:color w:val="auto"/>
                <w:kern w:val="2"/>
                <w:sz w:val="21"/>
                <w:szCs w:val="22"/>
                <w:lang w:val="en-US" w:eastAsia="zh-CN" w:bidi="ar-SA"/>
              </w:rPr>
              <w:t>，采用黏土碾压方式进行防渗</w:t>
            </w:r>
            <w:r>
              <w:rPr>
                <w:rFonts w:hint="default" w:ascii="Times New Roman" w:hAnsi="Times New Roman" w:eastAsia="宋体" w:cs="Times New Roman"/>
                <w:color w:val="auto"/>
                <w:kern w:val="2"/>
                <w:sz w:val="21"/>
                <w:szCs w:val="22"/>
                <w:lang w:val="en-US" w:eastAsia="zh-CN" w:bidi="ar-SA"/>
              </w:rPr>
              <w:t>。</w:t>
            </w:r>
          </w:p>
        </w:tc>
        <w:tc>
          <w:tcPr>
            <w:tcW w:w="973" w:type="pct"/>
            <w:tcBorders>
              <w:tl2br w:val="nil"/>
              <w:tr2bl w:val="nil"/>
            </w:tcBorders>
            <w:shd w:val="clear" w:color="auto" w:fill="auto"/>
            <w:noWrap w:val="0"/>
            <w:vAlign w:val="center"/>
          </w:tcPr>
          <w:p w14:paraId="6AD288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项目区域采取分区防渗措施；</w:t>
            </w:r>
            <w:r>
              <w:rPr>
                <w:rFonts w:hint="default" w:ascii="Times New Roman" w:hAnsi="Times New Roman" w:eastAsia="宋体" w:cs="Times New Roman"/>
                <w:color w:val="auto"/>
                <w:kern w:val="2"/>
                <w:sz w:val="21"/>
                <w:szCs w:val="22"/>
                <w:lang w:val="en-US" w:eastAsia="zh-CN" w:bidi="ar-SA"/>
              </w:rPr>
              <w:t>钻井平台、泥浆不落地系统区、泥浆循环罐区、柴油罐区、</w:t>
            </w:r>
            <w:r>
              <w:rPr>
                <w:rFonts w:hint="eastAsia" w:ascii="Times New Roman" w:hAnsi="Times New Roman" w:eastAsia="宋体" w:cs="Times New Roman"/>
                <w:color w:val="auto"/>
                <w:kern w:val="2"/>
                <w:sz w:val="21"/>
                <w:szCs w:val="22"/>
                <w:lang w:val="en-US" w:eastAsia="zh-CN" w:bidi="ar-SA"/>
              </w:rPr>
              <w:t>临时危废贮存库</w:t>
            </w:r>
            <w:r>
              <w:rPr>
                <w:rFonts w:hint="default" w:ascii="Times New Roman" w:hAnsi="Times New Roman" w:eastAsia="宋体" w:cs="Times New Roman"/>
                <w:color w:val="auto"/>
                <w:kern w:val="2"/>
                <w:sz w:val="21"/>
                <w:szCs w:val="22"/>
                <w:lang w:val="en-US" w:eastAsia="zh-CN" w:bidi="ar-SA"/>
              </w:rPr>
              <w:t>等划分为重点防渗区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铺设防渗材料（2.0</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，等效黏土防渗层Mb≥6.0m，K≤1×10</w:t>
            </w:r>
            <w:r>
              <w:rPr>
                <w:rFonts w:hint="eastAsia" w:ascii="Times New Roman" w:hAnsi="Times New Roman" w:eastAsia="宋体" w:cs="Times New Roman"/>
                <w:color w:val="auto"/>
                <w:kern w:val="2"/>
                <w:sz w:val="21"/>
                <w:szCs w:val="22"/>
                <w:vertAlign w:val="superscript"/>
                <w:lang w:val="en-US" w:eastAsia="zh-CN" w:bidi="ar-SA"/>
              </w:rPr>
              <w:t>-</w:t>
            </w:r>
            <w:r>
              <w:rPr>
                <w:rFonts w:hint="eastAsia" w:ascii="Times New Roman" w:hAnsi="Times New Roman" w:cs="Times New Roman"/>
                <w:color w:val="auto"/>
                <w:kern w:val="2"/>
                <w:sz w:val="21"/>
                <w:szCs w:val="22"/>
                <w:vertAlign w:val="superscript"/>
                <w:lang w:val="en-US" w:eastAsia="zh-CN" w:bidi="ar-SA"/>
              </w:rPr>
              <w:t>10</w:t>
            </w:r>
            <w:r>
              <w:rPr>
                <w:rFonts w:hint="eastAsia" w:ascii="Times New Roman" w:hAnsi="Times New Roman" w:eastAsia="宋体" w:cs="Times New Roman"/>
                <w:color w:val="auto"/>
                <w:kern w:val="2"/>
                <w:sz w:val="21"/>
                <w:szCs w:val="22"/>
                <w:lang w:val="en-US" w:eastAsia="zh-CN" w:bidi="ar-SA"/>
              </w:rPr>
              <w:t>cm/s；</w:t>
            </w:r>
            <w:r>
              <w:rPr>
                <w:rFonts w:hint="default" w:ascii="Times New Roman" w:hAnsi="Times New Roman" w:eastAsia="宋体" w:cs="Times New Roman"/>
                <w:color w:val="auto"/>
                <w:kern w:val="2"/>
                <w:sz w:val="21"/>
                <w:szCs w:val="22"/>
                <w:lang w:val="en-US" w:eastAsia="zh-CN" w:bidi="ar-SA"/>
              </w:rPr>
              <w:t>辅材料存储区、环保厕所</w:t>
            </w:r>
            <w:r>
              <w:rPr>
                <w:rFonts w:hint="eastAsia" w:ascii="Times New Roman" w:hAnsi="Times New Roman" w:eastAsia="宋体" w:cs="Times New Roman"/>
                <w:color w:val="auto"/>
                <w:kern w:val="2"/>
                <w:sz w:val="21"/>
                <w:szCs w:val="22"/>
                <w:lang w:val="en-US" w:eastAsia="zh-CN" w:bidi="ar-SA"/>
              </w:rPr>
              <w:t>、雨水导排渠</w:t>
            </w:r>
            <w:r>
              <w:rPr>
                <w:rFonts w:hint="default" w:ascii="Times New Roman" w:hAnsi="Times New Roman" w:eastAsia="宋体" w:cs="Times New Roman"/>
                <w:color w:val="auto"/>
                <w:kern w:val="2"/>
                <w:sz w:val="21"/>
                <w:szCs w:val="22"/>
                <w:lang w:val="en-US" w:eastAsia="zh-CN" w:bidi="ar-SA"/>
              </w:rPr>
              <w:t>划分为一般防渗区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地面底部利用机械将衬层压实，铺设防渗材料（1.5</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w:t>
            </w:r>
            <w:r>
              <w:rPr>
                <w:rFonts w:hint="eastAsia" w:ascii="Times New Roman" w:hAnsi="Times New Roman" w:eastAsia="宋体" w:cs="Times New Roman"/>
                <w:color w:val="auto"/>
                <w:kern w:val="2"/>
                <w:sz w:val="21"/>
                <w:szCs w:val="22"/>
                <w:lang w:val="en-US" w:eastAsia="zh-CN" w:bidi="ar-SA"/>
              </w:rPr>
              <w:t>，采用黏土碾压方式进行防渗</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满足防渗要求</w:t>
            </w:r>
            <w:r>
              <w:rPr>
                <w:rFonts w:hint="eastAsia" w:ascii="Times New Roman" w:hAnsi="Times New Roman" w:eastAsia="宋体" w:cs="Times New Roman"/>
                <w:color w:val="auto"/>
                <w:sz w:val="21"/>
                <w:szCs w:val="21"/>
                <w:lang w:eastAsia="zh-CN"/>
              </w:rPr>
              <w:t>，制定各类固废的管理制度进行严格管理，建立</w:t>
            </w:r>
            <w:r>
              <w:rPr>
                <w:rFonts w:hint="eastAsia" w:ascii="Times New Roman" w:hAnsi="Times New Roman" w:eastAsia="宋体" w:cs="Times New Roman"/>
                <w:color w:val="auto"/>
                <w:sz w:val="21"/>
                <w:szCs w:val="21"/>
                <w:lang w:val="en-US" w:eastAsia="zh-CN"/>
              </w:rPr>
              <w:t>了</w:t>
            </w:r>
            <w:r>
              <w:rPr>
                <w:rFonts w:hint="eastAsia" w:ascii="Times New Roman" w:hAnsi="Times New Roman" w:eastAsia="宋体" w:cs="Times New Roman"/>
                <w:color w:val="auto"/>
                <w:sz w:val="21"/>
                <w:szCs w:val="21"/>
                <w:lang w:eastAsia="zh-CN"/>
              </w:rPr>
              <w:t>各类台账及转移联单。</w:t>
            </w:r>
          </w:p>
        </w:tc>
        <w:tc>
          <w:tcPr>
            <w:tcW w:w="1032" w:type="pct"/>
            <w:tcBorders>
              <w:tl2br w:val="nil"/>
              <w:tr2bl w:val="nil"/>
            </w:tcBorders>
            <w:noWrap w:val="0"/>
            <w:vAlign w:val="center"/>
          </w:tcPr>
          <w:p w14:paraId="748F17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28BB0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bl>
    <w:p w14:paraId="596835B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由上表可知，项目性质、位置、主体生产工艺未发生变化，污染防治措施未降低及弱化；钻井深度与环评有差异，但完钻层位一致，同时施工期落实了环评提出的各项污染防治措施，污废水综合利用不外排，各类固废均妥善处置，未引起不利环境影响加剧，故本项目变动不属于《关于印发环评管理中部分行业建设项目重大变动清单的通知》（环办〔2015〕52 号）中的重大变动内容，可纳入本次竣工环境保护验收。 </w:t>
      </w:r>
    </w:p>
    <w:p w14:paraId="563A269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sectPr>
          <w:type w:val="continuous"/>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r>
        <w:rPr>
          <w:rFonts w:hint="default" w:ascii="Times New Roman" w:hAnsi="Times New Roman" w:eastAsia="宋体" w:cs="Times New Roman"/>
          <w:color w:val="auto"/>
          <w:sz w:val="24"/>
          <w:szCs w:val="24"/>
          <w:highlight w:val="none"/>
          <w:lang w:val="en-US" w:eastAsia="zh-CN"/>
        </w:rPr>
        <w:t>同时对照《关于进一步加强石油天然气行业环境影响评价管理的通知》（环办环评函〔2019〕910 号文），项目建设情况均不存在重大变更，变动情况可纳入本次竣工环境保护验收一并解决。</w:t>
      </w:r>
    </w:p>
    <w:p w14:paraId="0EEB1150">
      <w:pPr>
        <w:numPr>
          <w:ilvl w:val="0"/>
          <w:numId w:val="0"/>
        </w:numPr>
        <w:rPr>
          <w:rFonts w:hint="default"/>
          <w:color w:val="auto"/>
          <w:lang w:val="en-US" w:eastAsia="zh-CN"/>
        </w:rPr>
        <w:sectPr>
          <w:type w:val="continuous"/>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C57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22" w:type="dxa"/>
          </w:tcPr>
          <w:p w14:paraId="557679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4.3生产工艺流程（附流程图）</w:t>
            </w:r>
          </w:p>
          <w:p w14:paraId="79B8A54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本项目施工主要涉及钻井工程和井下作业。（包括井场基础建设以及钻井设备安装等）、钻井工程（钻井、固井、洗井、压裂等）、试井、完井作业后关井、井队搬迁及废弃物的处理等（根据</w:t>
            </w:r>
            <w:r>
              <w:rPr>
                <w:rFonts w:hint="eastAsia" w:ascii="Times New Roman" w:hAnsi="Times New Roman" w:eastAsia="宋体" w:cs="Times New Roman"/>
                <w:color w:val="auto"/>
                <w:sz w:val="24"/>
                <w:szCs w:val="24"/>
                <w:highlight w:val="none"/>
                <w:lang w:val="en-US" w:eastAsia="zh-CN"/>
              </w:rPr>
              <w:t>石油、天然气</w:t>
            </w:r>
            <w:r>
              <w:rPr>
                <w:rFonts w:hint="default" w:ascii="Times New Roman" w:hAnsi="Times New Roman" w:eastAsia="宋体" w:cs="Times New Roman"/>
                <w:color w:val="auto"/>
                <w:sz w:val="24"/>
                <w:szCs w:val="24"/>
                <w:highlight w:val="none"/>
              </w:rPr>
              <w:t>测试结果，</w:t>
            </w:r>
            <w:r>
              <w:rPr>
                <w:rFonts w:hint="eastAsia" w:ascii="Times New Roman" w:hAnsi="Times New Roman" w:eastAsia="宋体" w:cs="Times New Roman"/>
                <w:color w:val="auto"/>
                <w:spacing w:val="0"/>
                <w:w w:val="100"/>
                <w:sz w:val="24"/>
                <w:szCs w:val="24"/>
                <w:highlight w:val="none"/>
                <w:lang w:val="en-US" w:eastAsia="zh-CN"/>
              </w:rPr>
              <w:t>JH2P42、JH2P44、良平101H</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lang w:val="en-US" w:eastAsia="zh-CN"/>
              </w:rPr>
              <w:t>具有开采价值，已</w:t>
            </w:r>
            <w:r>
              <w:rPr>
                <w:rFonts w:hint="default" w:ascii="Times New Roman" w:hAnsi="Times New Roman" w:eastAsia="宋体" w:cs="Times New Roman"/>
                <w:color w:val="auto"/>
                <w:sz w:val="24"/>
                <w:szCs w:val="24"/>
                <w:highlight w:val="none"/>
              </w:rPr>
              <w:t>暂时关井</w:t>
            </w:r>
            <w:r>
              <w:rPr>
                <w:rFonts w:hint="eastAsia" w:ascii="Times New Roman" w:hAnsi="Times New Roman" w:eastAsia="宋体" w:cs="Times New Roman"/>
                <w:color w:val="auto"/>
                <w:sz w:val="24"/>
                <w:szCs w:val="24"/>
                <w:highlight w:val="none"/>
                <w:lang w:val="en-US" w:eastAsia="zh-CN"/>
              </w:rPr>
              <w:t>待转产；</w:t>
            </w:r>
            <w:r>
              <w:rPr>
                <w:rFonts w:hint="eastAsia" w:ascii="Times New Roman" w:hAnsi="Times New Roman" w:eastAsia="宋体" w:cs="Times New Roman"/>
                <w:color w:val="auto"/>
                <w:spacing w:val="0"/>
                <w:w w:val="100"/>
                <w:sz w:val="24"/>
                <w:szCs w:val="24"/>
                <w:highlight w:val="none"/>
                <w:lang w:val="en-US" w:eastAsia="zh-CN"/>
              </w:rPr>
              <w:t>长探105井场不具有开采价值，已永久封井</w:t>
            </w:r>
            <w:r>
              <w:rPr>
                <w:rFonts w:hint="default" w:ascii="Times New Roman" w:hAnsi="Times New Roman" w:eastAsia="宋体" w:cs="Times New Roman"/>
                <w:color w:val="auto"/>
                <w:sz w:val="24"/>
                <w:szCs w:val="24"/>
                <w:highlight w:val="none"/>
              </w:rPr>
              <w:t>）。</w:t>
            </w:r>
          </w:p>
          <w:p w14:paraId="0991C7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z w:val="24"/>
                <w:lang w:val="en-US" w:eastAsia="zh-CN"/>
              </w:rPr>
            </w:pPr>
            <w:r>
              <w:rPr>
                <w:rFonts w:hint="eastAsia" w:ascii="Times New Roman" w:hAnsi="Times New Roman" w:eastAsia="宋体" w:cs="Times New Roman"/>
                <w:b/>
                <w:bCs/>
                <w:color w:val="auto"/>
                <w:sz w:val="24"/>
                <w:lang w:val="en-US" w:eastAsia="zh-CN"/>
              </w:rPr>
              <w:t>4.3.1钻井工程</w:t>
            </w:r>
          </w:p>
          <w:p w14:paraId="06025B1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本项目生产工艺包括：钻前工程、钻井工程、完井测试、完井搬迁。具体生产工艺流程见图</w:t>
            </w:r>
            <w:r>
              <w:rPr>
                <w:rFonts w:hint="default" w:ascii="Times New Roman" w:hAnsi="Times New Roman" w:eastAsia="宋体" w:cs="Times New Roman"/>
                <w:color w:val="auto"/>
                <w:sz w:val="24"/>
                <w:szCs w:val="24"/>
                <w:highlight w:val="none"/>
                <w:lang w:val="en-US" w:eastAsia="zh-CN"/>
              </w:rPr>
              <w:t>4-1</w:t>
            </w:r>
            <w:r>
              <w:rPr>
                <w:rFonts w:hint="eastAsia" w:ascii="Times New Roman" w:hAnsi="Times New Roman" w:eastAsia="宋体" w:cs="Times New Roman"/>
                <w:color w:val="auto"/>
                <w:sz w:val="24"/>
                <w:szCs w:val="24"/>
                <w:highlight w:val="none"/>
                <w:lang w:val="en-US" w:eastAsia="zh-CN"/>
              </w:rPr>
              <w:t>。</w:t>
            </w:r>
          </w:p>
          <w:p w14:paraId="6BA1E8B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1</w:t>
            </w:r>
            <w:r>
              <w:rPr>
                <w:rFonts w:hint="eastAsia" w:ascii="Times New Roman" w:hAnsi="Times New Roman" w:eastAsia="宋体" w:cs="Times New Roman"/>
                <w:b/>
                <w:bCs/>
                <w:color w:val="auto"/>
                <w:sz w:val="24"/>
                <w:szCs w:val="24"/>
                <w:highlight w:val="none"/>
                <w:lang w:val="en-US" w:eastAsia="zh-CN"/>
              </w:rPr>
              <w:t xml:space="preserve">、钻前工程 </w:t>
            </w:r>
          </w:p>
          <w:p w14:paraId="6E62EA4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 xml:space="preserve">首先对井场进行平整。平整后进行基础建设。钻井平台采用混凝土加固，主要目的为避免钻井设备、机架等因下沉不均而导致井斜、垮塌等事故。基础建设完毕进行设备设施安装，主要包括钻井机架、钻井机械、辅助钻井液过滤、柴油发电机组安装调试工作。同时进行施工人员临时住房、洗漱设施的建设。 </w:t>
            </w:r>
          </w:p>
          <w:p w14:paraId="218AE50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2</w:t>
            </w:r>
            <w:r>
              <w:rPr>
                <w:rFonts w:hint="eastAsia" w:ascii="Times New Roman" w:hAnsi="Times New Roman" w:eastAsia="宋体" w:cs="Times New Roman"/>
                <w:b/>
                <w:bCs/>
                <w:color w:val="auto"/>
                <w:sz w:val="24"/>
                <w:szCs w:val="24"/>
                <w:highlight w:val="none"/>
                <w:lang w:val="en-US" w:eastAsia="zh-CN"/>
              </w:rPr>
              <w:t xml:space="preserve">、钻井工程 </w:t>
            </w:r>
          </w:p>
          <w:p w14:paraId="3E99637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⑴钻井与固井 </w:t>
            </w:r>
          </w:p>
          <w:p w14:paraId="3DF0E5F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设备设施安装就绪后开始钻井作业，用足够的压力把钻头压到井底岩石上，使钻头牙齿吃入岩石中并旋转以破碎井底岩石，同时钻头喷嘴喷出的钻井液不断冲击井底，随时将井底岩屑从钻杆和地层的环形空间返至地面。钻井液是钻井施工过程中的</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血液</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 xml:space="preserve">起到冷却钻头、喷射破坏岩石和携带地层岩屑返回地面的作用。 </w:t>
            </w:r>
          </w:p>
          <w:p w14:paraId="73FEE70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首先进行一开作业，钻至地下第一层岩层完钻；同步进行固井，即钻柱下钻一定深度后，将表层套管（无缝钢管材质）下井，在井壁与表面套管之间空隙内灌注水泥砂浆。 </w:t>
            </w:r>
          </w:p>
          <w:p w14:paraId="32A50DC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一开完钻后试压并安装防喷装置，期间出现垮塌、缩颈等事故时停钻及时处理，待固井完成即水泥砂浆液固化后开展二开作业。二开作业采用直径小于表层套管内径的钻柱进行钻井作业，钻至目的层深即完钻，然后将生产套管（无缝钢管材质、外直径小于表层套管而壁厚大于表层套管）下井，同样在井壁与套管之间空隙内灌注水泥砂浆液，待水泥砂浆液固化后即固井完成。下钻过程中，如发现地下水或试油、气压力明显升高，有喷出可能时，及时注入压井液进行压井作业，即利用矿物水基悬浊液平衡井内压力，使井内水、石油、天然气不至于井喷，同时也便于采集。</w:t>
            </w:r>
          </w:p>
          <w:p w14:paraId="0AF5868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⑵测井、录井作业 </w:t>
            </w:r>
          </w:p>
          <w:p w14:paraId="634DE2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用多种专门仪器放入钻井的井内，沿着井身测量钻井地质坡面上地层的各种物理参数（电阻率、自然电位、中子、密度、声波等等），然后利用这些物理参数和地质信息（泥质含量、孔隙度、饱和度、渗透率等等）之间应有的关系，采用特定的方法把测井信息加工转换成地质信息，系统地收集、记录、分析来自井下的各种信息，从而研究地下岩石物理性质与渗流特性，寻找和评价</w:t>
            </w:r>
            <w:r>
              <w:rPr>
                <w:rFonts w:hint="eastAsia" w:ascii="Times New Roman" w:hAnsi="Times New Roman" w:eastAsia="宋体" w:cs="Times New Roman"/>
                <w:color w:val="auto"/>
                <w:sz w:val="24"/>
                <w:szCs w:val="24"/>
                <w:highlight w:val="none"/>
                <w:lang w:val="en-US" w:eastAsia="zh-CN"/>
              </w:rPr>
              <w:t>石油、天然气</w:t>
            </w:r>
            <w:r>
              <w:rPr>
                <w:rFonts w:hint="default" w:ascii="Times New Roman" w:hAnsi="Times New Roman" w:eastAsia="宋体" w:cs="Times New Roman"/>
                <w:color w:val="auto"/>
                <w:sz w:val="24"/>
                <w:szCs w:val="24"/>
                <w:highlight w:val="none"/>
                <w:lang w:val="en-US" w:eastAsia="zh-CN"/>
              </w:rPr>
              <w:t xml:space="preserve">资源。主要采用电测井方法，测井仪器主要由下井仪器、绞车、电缆及井口装置、地面测量、记录和控制系统组成。 </w:t>
            </w:r>
          </w:p>
          <w:p w14:paraId="4F3AB89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⑶洗井 </w:t>
            </w:r>
          </w:p>
          <w:p w14:paraId="1F955B3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井眼钻至</w:t>
            </w:r>
            <w:r>
              <w:rPr>
                <w:rFonts w:hint="eastAsia" w:ascii="Times New Roman" w:hAnsi="Times New Roman" w:eastAsia="宋体" w:cs="Times New Roman"/>
                <w:color w:val="auto"/>
                <w:sz w:val="24"/>
                <w:szCs w:val="24"/>
                <w:highlight w:val="none"/>
                <w:lang w:val="en-US" w:eastAsia="zh-CN"/>
              </w:rPr>
              <w:t>目的层</w:t>
            </w:r>
            <w:r>
              <w:rPr>
                <w:rFonts w:hint="default" w:ascii="Times New Roman" w:hAnsi="Times New Roman" w:eastAsia="宋体" w:cs="Times New Roman"/>
                <w:color w:val="auto"/>
                <w:sz w:val="24"/>
                <w:szCs w:val="24"/>
                <w:highlight w:val="none"/>
                <w:lang w:val="en-US" w:eastAsia="zh-CN"/>
              </w:rPr>
              <w:t xml:space="preserve">深即完钻，固井并安装套管头以及相关防喷等安全设施，准备就绪后开始洗井作业，即利用清水或低密度矿物粉末水基悬浊液对井内空间进行冲洗作业，直至注入液体与流出液体成分差别固定不变时即完成洗井。 </w:t>
            </w:r>
          </w:p>
          <w:p w14:paraId="60F3410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⑷压裂 </w:t>
            </w:r>
          </w:p>
          <w:p w14:paraId="6BFC500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采用高压水枪射孔，在井底煤层、岩层中制造孔洞、空腔，然后由压裂液（成分为水凝胶）携带支撑剂（石英砂或陶粒），通过高压泵车注入目的层，在目的层中铺置形成一条疏松的</w:t>
            </w:r>
            <w:r>
              <w:rPr>
                <w:rFonts w:hint="eastAsia" w:ascii="Times New Roman" w:hAnsi="Times New Roman" w:eastAsia="宋体" w:cs="Times New Roman"/>
                <w:color w:val="auto"/>
                <w:sz w:val="24"/>
                <w:szCs w:val="24"/>
                <w:highlight w:val="none"/>
                <w:lang w:val="en-US" w:eastAsia="zh-CN"/>
              </w:rPr>
              <w:t>石油、天然气</w:t>
            </w:r>
            <w:r>
              <w:rPr>
                <w:rFonts w:hint="default" w:ascii="Times New Roman" w:hAnsi="Times New Roman" w:eastAsia="宋体" w:cs="Times New Roman"/>
                <w:color w:val="auto"/>
                <w:sz w:val="24"/>
                <w:szCs w:val="24"/>
                <w:highlight w:val="none"/>
                <w:lang w:val="en-US" w:eastAsia="zh-CN"/>
              </w:rPr>
              <w:t xml:space="preserve">高渗透带，加快地层流体流向井筒的速率。 </w:t>
            </w:r>
          </w:p>
          <w:p w14:paraId="347F573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⑸射孔 </w:t>
            </w:r>
          </w:p>
          <w:p w14:paraId="4074A7C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采用电缆射孔和油</w:t>
            </w:r>
            <w:r>
              <w:rPr>
                <w:rFonts w:hint="eastAsia" w:ascii="Times New Roman" w:hAnsi="Times New Roman" w:eastAsia="宋体" w:cs="Times New Roman"/>
                <w:color w:val="auto"/>
                <w:sz w:val="24"/>
                <w:szCs w:val="24"/>
                <w:highlight w:val="none"/>
                <w:lang w:val="en-US" w:eastAsia="zh-CN"/>
              </w:rPr>
              <w:t>、气</w:t>
            </w:r>
            <w:r>
              <w:rPr>
                <w:rFonts w:hint="default" w:ascii="Times New Roman" w:hAnsi="Times New Roman" w:eastAsia="宋体" w:cs="Times New Roman"/>
                <w:color w:val="auto"/>
                <w:sz w:val="24"/>
                <w:szCs w:val="24"/>
                <w:highlight w:val="none"/>
                <w:lang w:val="en-US" w:eastAsia="zh-CN"/>
              </w:rPr>
              <w:t>管输送射孔两种方式，能够满足直井、大斜度井、水平井等各种</w:t>
            </w:r>
            <w:r>
              <w:rPr>
                <w:rFonts w:hint="eastAsia" w:ascii="Times New Roman" w:hAnsi="Times New Roman" w:eastAsia="宋体" w:cs="Times New Roman"/>
                <w:color w:val="auto"/>
                <w:sz w:val="24"/>
                <w:szCs w:val="24"/>
                <w:highlight w:val="none"/>
                <w:lang w:val="en-US" w:eastAsia="zh-CN"/>
              </w:rPr>
              <w:t>井况下的射孔作业。</w:t>
            </w:r>
          </w:p>
          <w:p w14:paraId="4FB4DA8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3</w:t>
            </w:r>
            <w:r>
              <w:rPr>
                <w:rFonts w:hint="eastAsia" w:ascii="Times New Roman" w:hAnsi="Times New Roman" w:eastAsia="宋体" w:cs="Times New Roman"/>
                <w:b/>
                <w:bCs/>
                <w:color w:val="auto"/>
                <w:sz w:val="24"/>
                <w:szCs w:val="24"/>
                <w:highlight w:val="none"/>
                <w:lang w:val="en-US" w:eastAsia="zh-CN"/>
              </w:rPr>
              <w:t>、完井试油、气</w:t>
            </w:r>
          </w:p>
          <w:p w14:paraId="0FB1EE0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⑴试油、气</w:t>
            </w:r>
          </w:p>
          <w:p w14:paraId="2B9124D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采用通井规下井测试通道是否畅通，然后下管；最后开启阀门，测试石油、天然气输出速率</w:t>
            </w:r>
            <w:r>
              <w:rPr>
                <w:rFonts w:hint="eastAsia" w:ascii="宋体" w:hAnsi="宋体" w:eastAsia="宋体" w:cs="宋体"/>
                <w:color w:val="auto"/>
                <w:kern w:val="0"/>
                <w:sz w:val="24"/>
                <w:szCs w:val="24"/>
                <w:lang w:val="en-US" w:eastAsia="zh-CN" w:bidi="ar"/>
              </w:rPr>
              <w:t>。它主要包括对目的层进行射孔、洗井、</w:t>
            </w:r>
            <w:r>
              <w:rPr>
                <w:rFonts w:hint="eastAsia" w:ascii="Times New Roman" w:hAnsi="Times New Roman" w:eastAsia="宋体" w:cs="Times New Roman"/>
                <w:color w:val="auto"/>
                <w:sz w:val="24"/>
                <w:szCs w:val="24"/>
                <w:highlight w:val="none"/>
                <w:lang w:val="en-US" w:eastAsia="zh-CN"/>
              </w:rPr>
              <w:t xml:space="preserve">诱流和测试等。 </w:t>
            </w:r>
          </w:p>
          <w:p w14:paraId="48A03D4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⑵封井</w:t>
            </w:r>
          </w:p>
          <w:p w14:paraId="4E933B4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试油、气完成后，确定井场具备工业开采的价值，进行临时关井；无开采价值进行永久封井。根据开发区域油、气藏地质特点，完井方式选择套管射孔完井，套管头采用卡瓦简易套管头</w:t>
            </w:r>
            <w:r>
              <w:rPr>
                <w:rFonts w:hint="eastAsia" w:ascii="Times New Roman" w:hAnsi="Times New Roman" w:eastAsia="宋体" w:cs="Times New Roman"/>
                <w:color w:val="auto"/>
                <w:sz w:val="24"/>
                <w:szCs w:val="24"/>
                <w:lang w:val="en-US" w:eastAsia="zh-CN"/>
              </w:rPr>
              <w:t>。</w:t>
            </w:r>
          </w:p>
          <w:p w14:paraId="5110FB0A">
            <w:pPr>
              <w:keepNext w:val="0"/>
              <w:keepLines w:val="0"/>
              <w:widowControl/>
              <w:suppressLineNumbers w:val="0"/>
              <w:spacing w:before="0" w:beforeAutospacing="0" w:afterAutospacing="0"/>
              <w:ind w:left="0" w:right="0" w:firstLine="482" w:firstLineChars="200"/>
              <w:jc w:val="left"/>
              <w:rPr>
                <w:rFonts w:hint="default"/>
                <w:color w:val="auto"/>
              </w:rPr>
            </w:pPr>
            <w:r>
              <w:rPr>
                <w:rFonts w:hint="default" w:ascii="Times New Roman" w:hAnsi="Times New Roman" w:eastAsia="宋体" w:cs="Times New Roman"/>
                <w:b/>
                <w:bCs/>
                <w:color w:val="auto"/>
                <w:kern w:val="0"/>
                <w:sz w:val="24"/>
                <w:szCs w:val="24"/>
                <w:lang w:val="en-US" w:eastAsia="zh-CN" w:bidi="ar"/>
              </w:rPr>
              <w:t>4</w:t>
            </w:r>
            <w:r>
              <w:rPr>
                <w:rFonts w:hint="eastAsia" w:ascii="宋体" w:hAnsi="宋体" w:eastAsia="宋体" w:cs="宋体"/>
                <w:b/>
                <w:bCs/>
                <w:color w:val="auto"/>
                <w:kern w:val="0"/>
                <w:sz w:val="24"/>
                <w:szCs w:val="24"/>
                <w:lang w:val="en-US" w:eastAsia="zh-CN" w:bidi="ar"/>
              </w:rPr>
              <w:t xml:space="preserve">、完井搬迁 </w:t>
            </w:r>
          </w:p>
          <w:p w14:paraId="59302C9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封井完成后，施工队伍撤离，后续进行相关绿化、防止水土流失工作。对钻井井场能重复利用的设施搬迁利用，不能利用的统一收集交回收单位处置；对构筑的设备基础拆除后作业场地进行平整，搬迁前妥善处理钻井后废弃物，做到工完、料净、场地清。 </w:t>
            </w:r>
          </w:p>
          <w:p w14:paraId="29758A8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根据钻井作业规范和钻井环保管理规定，钻井液等原辅材料全部回收，废水和固体废物全部进行合规处置。</w:t>
            </w:r>
          </w:p>
          <w:p w14:paraId="7D2C30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施工期主要工艺流程及产污环节见图</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lang w:val="en-US" w:eastAsia="zh-CN"/>
              </w:rPr>
              <w:t>。</w:t>
            </w:r>
          </w:p>
          <w:p w14:paraId="6901096F">
            <w:pPr>
              <w:keepNext w:val="0"/>
              <w:keepLines w:val="0"/>
              <w:widowControl/>
              <w:suppressLineNumbers w:val="0"/>
              <w:spacing w:before="0" w:beforeAutospacing="0" w:afterAutospacing="0"/>
              <w:ind w:left="0" w:right="0" w:firstLine="480" w:firstLineChars="200"/>
              <w:jc w:val="center"/>
              <w:rPr>
                <w:rFonts w:hint="default" w:ascii="Times New Roman" w:hAnsi="Times New Roman" w:cs="Times New Roman"/>
                <w:color w:val="auto"/>
                <w:sz w:val="24"/>
              </w:rPr>
            </w:pPr>
            <w:r>
              <w:rPr>
                <w:rFonts w:hint="default" w:ascii="Times New Roman" w:hAnsi="Times New Roman" w:cs="Times New Roman"/>
                <w:color w:val="auto"/>
                <w:sz w:val="24"/>
              </w:rPr>
              <w:object>
                <v:shape id="_x0000_i1025" o:spt="75" type="#_x0000_t75" style="height:260.05pt;width:321.5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p>
          <w:p w14:paraId="2E95F13F">
            <w:pPr>
              <w:keepNext w:val="0"/>
              <w:keepLines w:val="0"/>
              <w:widowControl/>
              <w:suppressLineNumbers w:val="0"/>
              <w:spacing w:before="0" w:beforeAutospacing="0" w:afterAutospacing="0"/>
              <w:ind w:left="0" w:right="0" w:firstLine="482" w:firstLineChars="200"/>
              <w:jc w:val="center"/>
              <w:rPr>
                <w:rFonts w:hint="default" w:ascii="Times New Roman" w:hAnsi="Times New Roman" w:eastAsia="宋体" w:cs="Times New Roman"/>
                <w:b/>
                <w:bCs/>
                <w:color w:val="auto"/>
                <w:spacing w:val="0"/>
                <w:sz w:val="24"/>
                <w:szCs w:val="24"/>
                <w:highlight w:val="none"/>
              </w:rPr>
            </w:pPr>
            <w:r>
              <w:rPr>
                <w:rFonts w:hint="eastAsia" w:ascii="Times New Roman" w:hAnsi="Times New Roman" w:eastAsia="宋体" w:cs="Times New Roman"/>
                <w:b/>
                <w:bCs/>
                <w:color w:val="auto"/>
                <w:spacing w:val="0"/>
                <w:sz w:val="24"/>
                <w:szCs w:val="24"/>
                <w:highlight w:val="none"/>
                <w:lang w:val="en-US" w:eastAsia="zh-CN"/>
              </w:rPr>
              <w:t>图4</w:t>
            </w:r>
            <w:r>
              <w:rPr>
                <w:rFonts w:hint="default" w:ascii="Times New Roman" w:hAnsi="Times New Roman" w:eastAsia="宋体" w:cs="Times New Roman"/>
                <w:b/>
                <w:bCs/>
                <w:color w:val="auto"/>
                <w:spacing w:val="0"/>
                <w:sz w:val="24"/>
                <w:szCs w:val="24"/>
                <w:highlight w:val="none"/>
                <w:lang w:val="en-US" w:eastAsia="zh-CN"/>
              </w:rPr>
              <w:t>-</w:t>
            </w:r>
            <w:r>
              <w:rPr>
                <w:rFonts w:hint="eastAsia" w:ascii="Times New Roman" w:hAnsi="Times New Roman" w:eastAsia="宋体" w:cs="Times New Roman"/>
                <w:b/>
                <w:bCs/>
                <w:color w:val="auto"/>
                <w:spacing w:val="0"/>
                <w:sz w:val="24"/>
                <w:szCs w:val="24"/>
                <w:highlight w:val="none"/>
                <w:lang w:val="en-US" w:eastAsia="zh-CN"/>
              </w:rPr>
              <w:t>1</w:t>
            </w:r>
            <w:r>
              <w:rPr>
                <w:rFonts w:hint="default" w:ascii="Times New Roman" w:hAnsi="Times New Roman" w:eastAsia="宋体" w:cs="Times New Roman"/>
                <w:b/>
                <w:bCs/>
                <w:color w:val="auto"/>
                <w:spacing w:val="0"/>
                <w:sz w:val="24"/>
                <w:szCs w:val="24"/>
                <w:highlight w:val="none"/>
              </w:rPr>
              <w:t>施工期主要工艺流程及产污环节示意图</w:t>
            </w:r>
          </w:p>
          <w:p w14:paraId="64EF4298">
            <w:pPr>
              <w:keepNext w:val="0"/>
              <w:keepLines w:val="0"/>
              <w:widowControl/>
              <w:suppressLineNumbers w:val="0"/>
              <w:spacing w:before="0" w:beforeAutospacing="0" w:afterAutospacing="0"/>
              <w:ind w:left="0" w:right="0" w:firstLine="482" w:firstLineChars="200"/>
              <w:jc w:val="left"/>
              <w:rPr>
                <w:rFonts w:hint="default"/>
                <w:color w:val="auto"/>
              </w:rPr>
            </w:pPr>
            <w:r>
              <w:rPr>
                <w:rFonts w:hint="eastAsia" w:ascii="宋体" w:hAnsi="宋体" w:eastAsia="宋体" w:cs="宋体"/>
                <w:b/>
                <w:bCs/>
                <w:color w:val="auto"/>
                <w:kern w:val="0"/>
                <w:sz w:val="24"/>
                <w:szCs w:val="24"/>
                <w:lang w:val="en-US" w:eastAsia="zh-CN" w:bidi="ar"/>
              </w:rPr>
              <w:t xml:space="preserve">二、运营期 </w:t>
            </w:r>
          </w:p>
          <w:p w14:paraId="091DAE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试油、气结果</w:t>
            </w:r>
            <w:r>
              <w:rPr>
                <w:rFonts w:hint="default" w:ascii="Times New Roman" w:hAnsi="Times New Roman" w:eastAsia="宋体" w:cs="Times New Roman"/>
                <w:color w:val="auto"/>
                <w:kern w:val="0"/>
                <w:sz w:val="24"/>
                <w:szCs w:val="24"/>
                <w:lang w:val="en-US" w:eastAsia="zh-CN" w:bidi="ar"/>
              </w:rPr>
              <w:t>表明，</w:t>
            </w:r>
            <w:r>
              <w:rPr>
                <w:rFonts w:hint="eastAsia" w:ascii="Times New Roman" w:hAnsi="Times New Roman" w:eastAsia="宋体" w:cs="Times New Roman"/>
                <w:color w:val="auto"/>
                <w:spacing w:val="0"/>
                <w:w w:val="100"/>
                <w:sz w:val="24"/>
                <w:szCs w:val="24"/>
                <w:highlight w:val="none"/>
                <w:lang w:val="en-US" w:eastAsia="zh-CN"/>
              </w:rPr>
              <w:t>JH2P42、JH2P44、良平101H</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lang w:val="en-US" w:eastAsia="zh-CN"/>
              </w:rPr>
              <w:t>具有开采价值，已</w:t>
            </w:r>
            <w:r>
              <w:rPr>
                <w:rFonts w:hint="default" w:ascii="Times New Roman" w:hAnsi="Times New Roman" w:eastAsia="宋体" w:cs="Times New Roman"/>
                <w:color w:val="auto"/>
                <w:sz w:val="24"/>
                <w:szCs w:val="24"/>
                <w:highlight w:val="none"/>
              </w:rPr>
              <w:t>暂时关井</w:t>
            </w:r>
            <w:r>
              <w:rPr>
                <w:rFonts w:hint="eastAsia" w:ascii="Times New Roman" w:hAnsi="Times New Roman" w:eastAsia="宋体" w:cs="Times New Roman"/>
                <w:color w:val="auto"/>
                <w:sz w:val="24"/>
                <w:szCs w:val="24"/>
                <w:highlight w:val="none"/>
                <w:lang w:val="en-US" w:eastAsia="zh-CN"/>
              </w:rPr>
              <w:t>待转产，</w:t>
            </w:r>
            <w:r>
              <w:rPr>
                <w:rFonts w:hint="eastAsia" w:ascii="Times New Roman" w:hAnsi="Times New Roman" w:eastAsia="宋体" w:cs="Times New Roman"/>
                <w:color w:val="auto"/>
                <w:sz w:val="24"/>
                <w:szCs w:val="24"/>
                <w:highlight w:val="none"/>
                <w:lang w:eastAsia="zh-CN"/>
              </w:rPr>
              <w:t>井场</w:t>
            </w:r>
            <w:r>
              <w:rPr>
                <w:rFonts w:hint="eastAsia" w:ascii="宋体" w:hAnsi="宋体" w:eastAsia="宋体" w:cs="宋体"/>
                <w:color w:val="auto"/>
                <w:kern w:val="0"/>
                <w:sz w:val="24"/>
                <w:szCs w:val="24"/>
                <w:lang w:val="en-US" w:eastAsia="zh-CN" w:bidi="ar"/>
              </w:rPr>
              <w:t>已拆除与采油无关的设备，保留临时关井设施，后续进行环境影响评价等工作。</w:t>
            </w:r>
            <w:r>
              <w:rPr>
                <w:rFonts w:hint="eastAsia" w:ascii="Times New Roman" w:hAnsi="Times New Roman" w:eastAsia="宋体" w:cs="Times New Roman"/>
                <w:color w:val="auto"/>
                <w:spacing w:val="0"/>
                <w:w w:val="100"/>
                <w:sz w:val="24"/>
                <w:szCs w:val="24"/>
                <w:highlight w:val="none"/>
                <w:lang w:val="en-US" w:eastAsia="zh-CN"/>
              </w:rPr>
              <w:t>长探105井场不具有开采价值，已永久封井。</w:t>
            </w:r>
          </w:p>
          <w:p w14:paraId="4AAD7BD9">
            <w:pPr>
              <w:keepNext w:val="0"/>
              <w:keepLines w:val="0"/>
              <w:widowControl/>
              <w:suppressLineNumbers w:val="0"/>
              <w:spacing w:before="0" w:beforeAutospacing="0" w:afterAutospacing="0"/>
              <w:ind w:left="0" w:right="0" w:firstLine="482" w:firstLineChars="200"/>
              <w:jc w:val="left"/>
              <w:rPr>
                <w:rFonts w:hint="default"/>
                <w:color w:val="auto"/>
              </w:rPr>
            </w:pPr>
            <w:r>
              <w:rPr>
                <w:rFonts w:hint="eastAsia" w:ascii="宋体" w:hAnsi="宋体" w:eastAsia="宋体" w:cs="宋体"/>
                <w:b/>
                <w:bCs/>
                <w:color w:val="auto"/>
                <w:kern w:val="0"/>
                <w:sz w:val="24"/>
                <w:szCs w:val="24"/>
                <w:lang w:val="en-US" w:eastAsia="zh-CN" w:bidi="ar"/>
              </w:rPr>
              <w:t xml:space="preserve">三、封井期主要工艺过程 </w:t>
            </w:r>
          </w:p>
          <w:p w14:paraId="13AD701D">
            <w:pPr>
              <w:pStyle w:val="2"/>
              <w:keepNext w:val="0"/>
              <w:keepLines w:val="0"/>
              <w:widowControl w:val="0"/>
              <w:suppressLineNumbers w:val="0"/>
              <w:spacing w:before="0" w:beforeAutospacing="0" w:afterAutospacing="0"/>
              <w:ind w:left="0" w:leftChars="0" w:right="0" w:firstLine="520" w:firstLineChars="200"/>
              <w:jc w:val="both"/>
              <w:rPr>
                <w:rFonts w:hint="default" w:ascii="Times New Roman" w:hAnsi="Times New Roman" w:cs="Times New Roman"/>
                <w:color w:val="auto"/>
                <w:highlight w:val="none"/>
                <w:lang w:val="en-US" w:eastAsia="zh-CN"/>
              </w:rPr>
            </w:pPr>
            <w:r>
              <w:rPr>
                <w:rFonts w:hint="eastAsia" w:ascii="宋体" w:hAnsi="宋体" w:eastAsia="宋体" w:cs="宋体"/>
                <w:color w:val="auto"/>
                <w:kern w:val="0"/>
                <w:sz w:val="24"/>
                <w:szCs w:val="24"/>
                <w:lang w:val="en-US" w:eastAsia="zh-CN" w:bidi="ar"/>
              </w:rPr>
              <w:t>本项目经勘探，进行完测井分析后随即临时关井及永久封井，因此不涉及闭井期。</w:t>
            </w:r>
          </w:p>
        </w:tc>
      </w:tr>
      <w:tr w14:paraId="623D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trPr>
        <w:tc>
          <w:tcPr>
            <w:tcW w:w="8522" w:type="dxa"/>
          </w:tcPr>
          <w:p w14:paraId="6799146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4.4工程占地及平面布置（附图）</w:t>
            </w:r>
          </w:p>
          <w:p w14:paraId="0C331B38">
            <w:pPr>
              <w:pStyle w:val="5"/>
              <w:keepNext/>
              <w:keepLines/>
              <w:pageBreakBefore w:val="0"/>
              <w:widowControl/>
              <w:suppressLineNumbers w:val="0"/>
              <w:kinsoku/>
              <w:wordWrap/>
              <w:overflowPunct/>
              <w:topLinePunct w:val="0"/>
              <w:autoSpaceDE/>
              <w:autoSpaceDN/>
              <w:bidi w:val="0"/>
              <w:adjustRightInd/>
              <w:snapToGrid/>
              <w:spacing w:before="0" w:beforeLines="0" w:after="0" w:line="360" w:lineRule="auto"/>
              <w:ind w:left="0" w:right="0" w:firstLine="480" w:firstLineChars="200"/>
              <w:jc w:val="both"/>
              <w:textAlignment w:val="auto"/>
              <w:rPr>
                <w:rFonts w:hint="default" w:ascii="Times New Roman" w:hAnsi="Times New Roman" w:eastAsia="宋体" w:cs="Times New Roman"/>
                <w:b w:val="0"/>
                <w:color w:val="auto"/>
                <w:spacing w:val="0"/>
                <w:w w:val="100"/>
                <w:sz w:val="24"/>
                <w:szCs w:val="24"/>
                <w:highlight w:val="none"/>
                <w:lang w:val="en-US" w:eastAsia="zh-CN" w:bidi="ar-SA"/>
              </w:rPr>
            </w:pPr>
            <w:r>
              <w:rPr>
                <w:rFonts w:hint="default" w:ascii="Times New Roman" w:hAnsi="Times New Roman" w:eastAsia="宋体" w:cs="Times New Roman"/>
                <w:b w:val="0"/>
                <w:color w:val="auto"/>
                <w:spacing w:val="0"/>
                <w:w w:val="100"/>
                <w:sz w:val="24"/>
                <w:szCs w:val="24"/>
                <w:highlight w:val="none"/>
                <w:lang w:val="en-US" w:eastAsia="zh-CN" w:bidi="ar-SA"/>
              </w:rPr>
              <w:t>该项目为勘探井建设项目，工程建设过程止于关井。场址临时占地主要包括井场</w:t>
            </w:r>
            <w:r>
              <w:rPr>
                <w:rFonts w:hint="eastAsia" w:cs="Times New Roman"/>
                <w:b w:val="0"/>
                <w:color w:val="auto"/>
                <w:spacing w:val="0"/>
                <w:w w:val="100"/>
                <w:sz w:val="24"/>
                <w:szCs w:val="24"/>
                <w:highlight w:val="none"/>
                <w:lang w:val="en-US" w:eastAsia="zh-CN" w:bidi="ar-SA"/>
              </w:rPr>
              <w:t>、进场道路</w:t>
            </w:r>
            <w:r>
              <w:rPr>
                <w:rFonts w:hint="default" w:ascii="Times New Roman" w:hAnsi="Times New Roman" w:eastAsia="宋体" w:cs="Times New Roman"/>
                <w:b w:val="0"/>
                <w:color w:val="auto"/>
                <w:spacing w:val="0"/>
                <w:w w:val="100"/>
                <w:sz w:val="24"/>
                <w:szCs w:val="24"/>
                <w:highlight w:val="none"/>
                <w:lang w:val="en-US" w:eastAsia="zh-CN" w:bidi="ar-SA"/>
              </w:rPr>
              <w:t>、附属设施占地及生活区占地；本项目占地均为临时占地，项目</w:t>
            </w:r>
            <w:r>
              <w:rPr>
                <w:rFonts w:hint="eastAsia" w:cs="Times New Roman"/>
                <w:b w:val="0"/>
                <w:color w:val="auto"/>
                <w:spacing w:val="0"/>
                <w:w w:val="100"/>
                <w:sz w:val="24"/>
                <w:szCs w:val="24"/>
                <w:highlight w:val="none"/>
                <w:lang w:val="en-US" w:eastAsia="zh-CN" w:bidi="ar-SA"/>
              </w:rPr>
              <w:t>临时</w:t>
            </w:r>
            <w:r>
              <w:rPr>
                <w:rFonts w:hint="default" w:ascii="Times New Roman" w:hAnsi="Times New Roman" w:eastAsia="宋体" w:cs="Times New Roman"/>
                <w:b w:val="0"/>
                <w:color w:val="auto"/>
                <w:spacing w:val="0"/>
                <w:w w:val="100"/>
                <w:sz w:val="24"/>
                <w:szCs w:val="24"/>
                <w:highlight w:val="none"/>
                <w:lang w:val="en-US" w:eastAsia="zh-CN" w:bidi="ar-SA"/>
              </w:rPr>
              <w:t>占地面积约</w:t>
            </w:r>
            <w:r>
              <w:rPr>
                <w:rFonts w:hint="eastAsia"/>
                <w:b w:val="0"/>
                <w:bCs w:val="0"/>
                <w:color w:val="auto"/>
                <w:sz w:val="24"/>
                <w:highlight w:val="none"/>
                <w:lang w:val="en-US" w:eastAsia="zh-CN"/>
              </w:rPr>
              <w:t>36981.73</w:t>
            </w:r>
            <w:r>
              <w:rPr>
                <w:rFonts w:hint="default" w:ascii="Times New Roman" w:hAnsi="Times New Roman" w:eastAsia="宋体" w:cs="Times New Roman"/>
                <w:b w:val="0"/>
                <w:color w:val="auto"/>
                <w:spacing w:val="0"/>
                <w:w w:val="100"/>
                <w:sz w:val="24"/>
                <w:szCs w:val="24"/>
                <w:highlight w:val="none"/>
                <w:lang w:val="en-US" w:eastAsia="zh-CN" w:bidi="ar-SA"/>
              </w:rPr>
              <w:t>m</w:t>
            </w:r>
            <w:r>
              <w:rPr>
                <w:rFonts w:hint="default" w:ascii="Times New Roman" w:hAnsi="Times New Roman" w:eastAsia="宋体" w:cs="Times New Roman"/>
                <w:b w:val="0"/>
                <w:color w:val="auto"/>
                <w:spacing w:val="0"/>
                <w:w w:val="100"/>
                <w:sz w:val="24"/>
                <w:szCs w:val="24"/>
                <w:highlight w:val="none"/>
                <w:vertAlign w:val="superscript"/>
                <w:lang w:val="en-US" w:eastAsia="zh-CN" w:bidi="ar-SA"/>
              </w:rPr>
              <w:t>2</w:t>
            </w:r>
            <w:r>
              <w:rPr>
                <w:rFonts w:hint="default" w:ascii="Times New Roman" w:hAnsi="Times New Roman" w:eastAsia="宋体" w:cs="Times New Roman"/>
                <w:b w:val="0"/>
                <w:color w:val="auto"/>
                <w:spacing w:val="0"/>
                <w:w w:val="100"/>
                <w:sz w:val="24"/>
                <w:szCs w:val="24"/>
                <w:highlight w:val="none"/>
                <w:lang w:val="en-US" w:eastAsia="zh-CN" w:bidi="ar-SA"/>
              </w:rPr>
              <w:t>，占地类型为</w:t>
            </w:r>
            <w:r>
              <w:rPr>
                <w:rFonts w:hint="eastAsia" w:cs="Times New Roman"/>
                <w:b w:val="0"/>
                <w:color w:val="auto"/>
                <w:spacing w:val="0"/>
                <w:w w:val="100"/>
                <w:sz w:val="24"/>
                <w:szCs w:val="24"/>
                <w:highlight w:val="none"/>
                <w:lang w:val="en-US" w:eastAsia="zh-CN" w:bidi="ar-SA"/>
              </w:rPr>
              <w:t>耕地。</w:t>
            </w:r>
            <w:r>
              <w:rPr>
                <w:rFonts w:hint="default" w:ascii="Times New Roman" w:hAnsi="Times New Roman" w:cs="Times New Roman"/>
                <w:b w:val="0"/>
                <w:color w:val="auto"/>
                <w:spacing w:val="0"/>
                <w:w w:val="100"/>
                <w:sz w:val="24"/>
                <w:szCs w:val="24"/>
                <w:highlight w:val="none"/>
                <w:lang w:val="en-US" w:eastAsia="zh-CN" w:bidi="ar-SA"/>
              </w:rPr>
              <w:t>根据现场踏勘，JH2P42、JH2P44、良平101H场地已恢复平整，井口进行临时关井，待转产，除预留转为生产开发所需的面积外，对其余临时占地进行了恢复，对进场道路及井场周边等及时进行了绿化；长探105已永久封井，井场已平整并进行了绿化</w:t>
            </w:r>
            <w:r>
              <w:rPr>
                <w:rFonts w:hint="default" w:ascii="Times New Roman" w:hAnsi="Times New Roman" w:eastAsia="宋体" w:cs="Times New Roman"/>
                <w:b w:val="0"/>
                <w:color w:val="auto"/>
                <w:spacing w:val="0"/>
                <w:w w:val="100"/>
                <w:sz w:val="24"/>
                <w:szCs w:val="24"/>
                <w:highlight w:val="none"/>
                <w:lang w:val="en-US" w:eastAsia="zh-CN" w:bidi="ar-SA"/>
              </w:rPr>
              <w:t xml:space="preserve">。 </w:t>
            </w:r>
          </w:p>
          <w:p w14:paraId="2FB74BD4">
            <w:pPr>
              <w:pStyle w:val="5"/>
              <w:keepNext/>
              <w:keepLines/>
              <w:pageBreakBefore w:val="0"/>
              <w:widowControl/>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default"/>
                <w:color w:val="auto"/>
                <w:lang w:val="en-US" w:eastAsia="zh-CN"/>
              </w:rPr>
            </w:pPr>
            <w:r>
              <w:rPr>
                <w:rFonts w:hint="default" w:ascii="Times New Roman" w:hAnsi="Times New Roman" w:eastAsia="宋体" w:cs="Times New Roman"/>
                <w:b w:val="0"/>
                <w:color w:val="auto"/>
                <w:spacing w:val="0"/>
                <w:w w:val="100"/>
                <w:sz w:val="24"/>
                <w:szCs w:val="24"/>
                <w:highlight w:val="none"/>
                <w:lang w:val="en-US" w:eastAsia="zh-CN" w:bidi="ar-SA"/>
              </w:rPr>
              <w:t>项目平面布置按照《钻前工程及井场布置技术要求》（SY/T5466-2013）等石油天然气行业标准的要求进行。据调查，项目平面布置图与环评阶段一致。</w:t>
            </w:r>
          </w:p>
        </w:tc>
      </w:tr>
      <w:tr w14:paraId="7A7D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8C96CE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4.5工程环境保护投资明细</w:t>
            </w:r>
          </w:p>
          <w:p w14:paraId="64C8F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根据环评文本，</w:t>
            </w:r>
            <w:r>
              <w:rPr>
                <w:rFonts w:hint="default" w:ascii="Times New Roman" w:hAnsi="Times New Roman" w:eastAsia="宋体" w:cs="Times New Roman"/>
                <w:color w:val="auto"/>
                <w:spacing w:val="0"/>
                <w:w w:val="100"/>
                <w:sz w:val="24"/>
                <w:szCs w:val="24"/>
                <w:highlight w:val="none"/>
                <w:lang w:val="en-US" w:eastAsia="zh-CN" w:bidi="ar-SA"/>
              </w:rPr>
              <w:t>本项目总投资共</w:t>
            </w:r>
            <w:r>
              <w:rPr>
                <w:rFonts w:hint="eastAsia" w:ascii="Times New Roman" w:hAnsi="Times New Roman" w:eastAsia="宋体" w:cs="Times New Roman"/>
                <w:color w:val="auto"/>
                <w:spacing w:val="0"/>
                <w:w w:val="100"/>
                <w:sz w:val="24"/>
                <w:szCs w:val="24"/>
                <w:highlight w:val="none"/>
                <w:lang w:val="en-US" w:eastAsia="zh-CN" w:bidi="ar-SA"/>
              </w:rPr>
              <w:t>110</w:t>
            </w:r>
            <w:r>
              <w:rPr>
                <w:rFonts w:hint="default" w:ascii="Times New Roman" w:hAnsi="Times New Roman" w:eastAsia="宋体" w:cs="Times New Roman"/>
                <w:color w:val="auto"/>
                <w:spacing w:val="0"/>
                <w:w w:val="100"/>
                <w:sz w:val="24"/>
                <w:szCs w:val="24"/>
                <w:highlight w:val="none"/>
                <w:lang w:val="en-US" w:eastAsia="zh-CN" w:bidi="ar-SA"/>
              </w:rPr>
              <w:t>00万元，其中环保投资约695.6万元，占总投资的</w:t>
            </w:r>
            <w:r>
              <w:rPr>
                <w:rFonts w:hint="eastAsia" w:ascii="Times New Roman" w:hAnsi="Times New Roman" w:cs="Times New Roman"/>
                <w:color w:val="auto"/>
                <w:sz w:val="24"/>
                <w:lang w:eastAsia="zh-CN"/>
              </w:rPr>
              <w:t>6.32</w:t>
            </w:r>
            <w:r>
              <w:rPr>
                <w:rFonts w:hint="default" w:ascii="Times New Roman" w:hAnsi="Times New Roman" w:eastAsia="宋体" w:cs="Times New Roman"/>
                <w:color w:val="auto"/>
                <w:spacing w:val="0"/>
                <w:w w:val="100"/>
                <w:sz w:val="24"/>
                <w:szCs w:val="24"/>
                <w:highlight w:val="none"/>
                <w:lang w:val="en-US" w:eastAsia="zh-CN" w:bidi="ar-SA"/>
              </w:rPr>
              <w:t>%。根据现场踏勘，并核实实际环保设施情况可知，</w:t>
            </w:r>
            <w:r>
              <w:rPr>
                <w:rFonts w:hint="default" w:ascii="Times New Roman" w:hAnsi="Times New Roman" w:eastAsia="宋体" w:cs="Times New Roman"/>
                <w:color w:val="auto"/>
                <w:sz w:val="24"/>
                <w:szCs w:val="24"/>
                <w:highlight w:val="none"/>
                <w:lang w:val="en-US" w:eastAsia="zh-CN" w:bidi="ar-SA"/>
              </w:rPr>
              <w:t>实际总投资</w:t>
            </w:r>
            <w:r>
              <w:rPr>
                <w:rFonts w:hint="eastAsia" w:ascii="Times New Roman" w:hAnsi="Times New Roman" w:eastAsia="宋体" w:cs="Times New Roman"/>
                <w:color w:val="auto"/>
                <w:sz w:val="24"/>
                <w:szCs w:val="24"/>
                <w:highlight w:val="none"/>
                <w:lang w:val="en-US" w:eastAsia="zh-CN" w:bidi="ar-SA"/>
              </w:rPr>
              <w:t>1500</w:t>
            </w:r>
            <w:r>
              <w:rPr>
                <w:rFonts w:hint="default" w:ascii="Times New Roman" w:hAnsi="Times New Roman" w:eastAsia="宋体" w:cs="Times New Roman"/>
                <w:color w:val="auto"/>
                <w:sz w:val="24"/>
                <w:szCs w:val="24"/>
                <w:highlight w:val="none"/>
                <w:lang w:val="en-US" w:eastAsia="zh-CN" w:bidi="ar-SA"/>
              </w:rPr>
              <w:t>万元，实际环保投资</w:t>
            </w:r>
            <w:r>
              <w:rPr>
                <w:rFonts w:hint="eastAsia" w:ascii="Times New Roman" w:hAnsi="Times New Roman" w:eastAsia="宋体" w:cs="Times New Roman"/>
                <w:color w:val="auto"/>
                <w:sz w:val="24"/>
                <w:szCs w:val="24"/>
                <w:highlight w:val="none"/>
                <w:lang w:val="en-US" w:eastAsia="zh-CN" w:bidi="ar-SA"/>
              </w:rPr>
              <w:t>199.35</w:t>
            </w:r>
            <w:r>
              <w:rPr>
                <w:rFonts w:hint="default" w:ascii="Times New Roman" w:hAnsi="Times New Roman" w:eastAsia="宋体" w:cs="Times New Roman"/>
                <w:color w:val="auto"/>
                <w:sz w:val="24"/>
                <w:szCs w:val="24"/>
                <w:highlight w:val="none"/>
                <w:lang w:val="en-US" w:eastAsia="zh-CN" w:bidi="ar-SA"/>
              </w:rPr>
              <w:t>万元，占实际总投资的</w:t>
            </w:r>
            <w:r>
              <w:rPr>
                <w:rFonts w:hint="eastAsia" w:ascii="Times New Roman" w:hAnsi="Times New Roman" w:eastAsia="宋体" w:cs="Times New Roman"/>
                <w:color w:val="auto"/>
                <w:sz w:val="24"/>
                <w:szCs w:val="24"/>
                <w:highlight w:val="none"/>
                <w:lang w:val="en-US" w:eastAsia="zh-CN" w:bidi="ar-SA"/>
              </w:rPr>
              <w:t>13.29%</w:t>
            </w:r>
            <w:r>
              <w:rPr>
                <w:rFonts w:hint="default" w:ascii="Times New Roman" w:hAnsi="Times New Roman" w:eastAsia="宋体" w:cs="Times New Roman"/>
                <w:color w:val="auto"/>
                <w:sz w:val="24"/>
                <w:szCs w:val="24"/>
                <w:highlight w:val="none"/>
                <w:lang w:val="en-US" w:eastAsia="zh-CN" w:bidi="ar-SA"/>
              </w:rPr>
              <w:t>。（见表4-</w:t>
            </w:r>
            <w:r>
              <w:rPr>
                <w:rFonts w:hint="eastAsia" w:ascii="Times New Roman" w:hAnsi="Times New Roman" w:eastAsia="宋体" w:cs="Times New Roman"/>
                <w:color w:val="auto"/>
                <w:sz w:val="24"/>
                <w:szCs w:val="24"/>
                <w:highlight w:val="none"/>
                <w:lang w:val="en-US" w:eastAsia="zh-CN" w:bidi="ar-SA"/>
              </w:rPr>
              <w:t>4</w:t>
            </w:r>
            <w:r>
              <w:rPr>
                <w:rFonts w:hint="default" w:ascii="Times New Roman" w:hAnsi="Times New Roman" w:eastAsia="宋体" w:cs="Times New Roman"/>
                <w:color w:val="auto"/>
                <w:sz w:val="24"/>
                <w:szCs w:val="24"/>
                <w:highlight w:val="none"/>
                <w:lang w:val="en-US" w:eastAsia="zh-CN" w:bidi="ar-SA"/>
              </w:rPr>
              <w:t>）。</w:t>
            </w:r>
          </w:p>
          <w:p w14:paraId="5CECD040">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表4-</w:t>
            </w:r>
            <w:r>
              <w:rPr>
                <w:rFonts w:hint="eastAsia" w:ascii="Times New Roman" w:hAnsi="Times New Roman" w:eastAsia="宋体" w:cs="Times New Roman"/>
                <w:b/>
                <w:bCs/>
                <w:color w:val="auto"/>
                <w:sz w:val="21"/>
                <w:szCs w:val="21"/>
                <w:highlight w:val="none"/>
                <w:lang w:val="en-US" w:eastAsia="zh-CN" w:bidi="ar-SA"/>
              </w:rPr>
              <w:t>4</w:t>
            </w:r>
            <w:r>
              <w:rPr>
                <w:rFonts w:hint="default" w:ascii="Times New Roman" w:hAnsi="Times New Roman" w:eastAsia="宋体" w:cs="Times New Roman"/>
                <w:b/>
                <w:bCs/>
                <w:color w:val="auto"/>
                <w:sz w:val="21"/>
                <w:szCs w:val="21"/>
                <w:highlight w:val="none"/>
                <w:lang w:val="en-US" w:eastAsia="zh-CN" w:bidi="ar-SA"/>
              </w:rPr>
              <w:t>项目实际环保投资和环评阶段变化情况对比一览表   单位：（万元）</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779"/>
              <w:gridCol w:w="2300"/>
              <w:gridCol w:w="753"/>
              <w:gridCol w:w="759"/>
              <w:gridCol w:w="2129"/>
              <w:gridCol w:w="703"/>
            </w:tblGrid>
            <w:tr w14:paraId="33AC37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restart"/>
                  <w:tcBorders>
                    <w:tl2br w:val="nil"/>
                    <w:tr2bl w:val="nil"/>
                  </w:tcBorders>
                  <w:noWrap w:val="0"/>
                  <w:vAlign w:val="center"/>
                </w:tcPr>
                <w:p w14:paraId="1DB6F6B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序号</w:t>
                  </w:r>
                </w:p>
              </w:tc>
              <w:tc>
                <w:tcPr>
                  <w:tcW w:w="727" w:type="pct"/>
                  <w:gridSpan w:val="2"/>
                  <w:vMerge w:val="restart"/>
                  <w:tcBorders>
                    <w:tl2br w:val="nil"/>
                    <w:tr2bl w:val="nil"/>
                  </w:tcBorders>
                  <w:noWrap w:val="0"/>
                  <w:vAlign w:val="center"/>
                </w:tcPr>
                <w:p w14:paraId="10959F9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项目</w:t>
                  </w:r>
                </w:p>
              </w:tc>
              <w:tc>
                <w:tcPr>
                  <w:tcW w:w="2303" w:type="pct"/>
                  <w:gridSpan w:val="3"/>
                  <w:tcBorders>
                    <w:tl2br w:val="nil"/>
                    <w:tr2bl w:val="nil"/>
                  </w:tcBorders>
                  <w:noWrap w:val="0"/>
                  <w:vAlign w:val="center"/>
                </w:tcPr>
                <w:p w14:paraId="710624D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环评阶段采取环保措施及投资</w:t>
                  </w:r>
                </w:p>
              </w:tc>
              <w:tc>
                <w:tcPr>
                  <w:tcW w:w="1711" w:type="pct"/>
                  <w:gridSpan w:val="2"/>
                  <w:tcBorders>
                    <w:tl2br w:val="nil"/>
                    <w:tr2bl w:val="nil"/>
                  </w:tcBorders>
                  <w:noWrap w:val="0"/>
                  <w:vAlign w:val="center"/>
                </w:tcPr>
                <w:p w14:paraId="666C3FC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施工采取环保措施及实际投资</w:t>
                  </w:r>
                </w:p>
              </w:tc>
            </w:tr>
            <w:tr w14:paraId="4A9CA9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2B1B861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727" w:type="pct"/>
                  <w:gridSpan w:val="2"/>
                  <w:vMerge w:val="continue"/>
                  <w:tcBorders>
                    <w:tl2br w:val="nil"/>
                    <w:tr2bl w:val="nil"/>
                  </w:tcBorders>
                  <w:noWrap w:val="0"/>
                  <w:vAlign w:val="center"/>
                </w:tcPr>
                <w:p w14:paraId="114F945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1390" w:type="pct"/>
                  <w:tcBorders>
                    <w:tl2br w:val="nil"/>
                    <w:tr2bl w:val="nil"/>
                  </w:tcBorders>
                  <w:noWrap w:val="0"/>
                  <w:vAlign w:val="center"/>
                </w:tcPr>
                <w:p w14:paraId="1A71F82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设施</w:t>
                  </w:r>
                </w:p>
              </w:tc>
              <w:tc>
                <w:tcPr>
                  <w:tcW w:w="455" w:type="pct"/>
                  <w:tcBorders>
                    <w:tl2br w:val="nil"/>
                    <w:tr2bl w:val="nil"/>
                  </w:tcBorders>
                  <w:noWrap w:val="0"/>
                  <w:vAlign w:val="center"/>
                </w:tcPr>
                <w:p w14:paraId="21A36A0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数量</w:t>
                  </w:r>
                </w:p>
              </w:tc>
              <w:tc>
                <w:tcPr>
                  <w:tcW w:w="458" w:type="pct"/>
                  <w:tcBorders>
                    <w:tl2br w:val="nil"/>
                    <w:tr2bl w:val="nil"/>
                  </w:tcBorders>
                  <w:noWrap w:val="0"/>
                  <w:vAlign w:val="center"/>
                </w:tcPr>
                <w:p w14:paraId="71DB8E5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金额</w:t>
                  </w:r>
                </w:p>
              </w:tc>
              <w:tc>
                <w:tcPr>
                  <w:tcW w:w="1286" w:type="pct"/>
                  <w:tcBorders>
                    <w:tl2br w:val="nil"/>
                    <w:tr2bl w:val="nil"/>
                  </w:tcBorders>
                  <w:noWrap w:val="0"/>
                  <w:vAlign w:val="center"/>
                </w:tcPr>
                <w:p w14:paraId="059228E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设施</w:t>
                  </w:r>
                </w:p>
              </w:tc>
              <w:tc>
                <w:tcPr>
                  <w:tcW w:w="424" w:type="pct"/>
                  <w:tcBorders>
                    <w:tl2br w:val="nil"/>
                    <w:tr2bl w:val="nil"/>
                  </w:tcBorders>
                  <w:noWrap w:val="0"/>
                  <w:vAlign w:val="center"/>
                </w:tcPr>
                <w:p w14:paraId="03C1E2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金额</w:t>
                  </w:r>
                </w:p>
              </w:tc>
            </w:tr>
            <w:tr w14:paraId="70182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56" w:type="pct"/>
                  <w:vMerge w:val="restart"/>
                  <w:tcBorders>
                    <w:tl2br w:val="nil"/>
                    <w:tr2bl w:val="nil"/>
                  </w:tcBorders>
                  <w:noWrap w:val="0"/>
                  <w:vAlign w:val="center"/>
                </w:tcPr>
                <w:p w14:paraId="5F153E6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w:t>
                  </w:r>
                </w:p>
              </w:tc>
              <w:tc>
                <w:tcPr>
                  <w:tcW w:w="256" w:type="pct"/>
                  <w:vMerge w:val="restart"/>
                  <w:tcBorders>
                    <w:tl2br w:val="nil"/>
                    <w:tr2bl w:val="nil"/>
                  </w:tcBorders>
                  <w:noWrap w:val="0"/>
                  <w:vAlign w:val="center"/>
                </w:tcPr>
                <w:p w14:paraId="78FF189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废气</w:t>
                  </w:r>
                </w:p>
                <w:p w14:paraId="58775E2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noWrap w:val="0"/>
                  <w:vAlign w:val="center"/>
                </w:tcPr>
                <w:p w14:paraId="66577E0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施工扬尘</w:t>
                  </w:r>
                </w:p>
              </w:tc>
              <w:tc>
                <w:tcPr>
                  <w:tcW w:w="1390" w:type="pct"/>
                  <w:tcBorders>
                    <w:tl2br w:val="nil"/>
                    <w:tr2bl w:val="nil"/>
                  </w:tcBorders>
                  <w:noWrap w:val="0"/>
                  <w:vAlign w:val="center"/>
                </w:tcPr>
                <w:p w14:paraId="0C864DA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洒水设备、设置挡板、车辆运输遮盖苫布</w:t>
                  </w:r>
                </w:p>
              </w:tc>
              <w:tc>
                <w:tcPr>
                  <w:tcW w:w="455" w:type="pct"/>
                  <w:tcBorders>
                    <w:tl2br w:val="nil"/>
                    <w:tr2bl w:val="nil"/>
                  </w:tcBorders>
                  <w:noWrap w:val="0"/>
                  <w:vAlign w:val="center"/>
                </w:tcPr>
                <w:p w14:paraId="4D6E9F4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7817289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41.3 </w:t>
                  </w:r>
                </w:p>
              </w:tc>
              <w:tc>
                <w:tcPr>
                  <w:tcW w:w="1286" w:type="pct"/>
                  <w:tcBorders>
                    <w:tl2br w:val="nil"/>
                    <w:tr2bl w:val="nil"/>
                  </w:tcBorders>
                  <w:noWrap w:val="0"/>
                  <w:vAlign w:val="center"/>
                </w:tcPr>
                <w:p w14:paraId="76586B5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洒水设备、设置挡板、车辆运输遮盖苫布</w:t>
                  </w:r>
                </w:p>
              </w:tc>
              <w:tc>
                <w:tcPr>
                  <w:tcW w:w="424" w:type="pct"/>
                  <w:tcBorders>
                    <w:tl2br w:val="nil"/>
                    <w:tr2bl w:val="nil"/>
                  </w:tcBorders>
                  <w:noWrap w:val="0"/>
                  <w:vAlign w:val="center"/>
                </w:tcPr>
                <w:p w14:paraId="015F8A2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13.1 </w:t>
                  </w:r>
                </w:p>
              </w:tc>
            </w:tr>
            <w:tr w14:paraId="133BF6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56" w:type="pct"/>
                  <w:vMerge w:val="continue"/>
                  <w:tcBorders>
                    <w:tl2br w:val="nil"/>
                    <w:tr2bl w:val="nil"/>
                  </w:tcBorders>
                  <w:noWrap w:val="0"/>
                  <w:vAlign w:val="center"/>
                </w:tcPr>
                <w:p w14:paraId="4D00A4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C6A1F3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noWrap w:val="0"/>
                  <w:vAlign w:val="center"/>
                </w:tcPr>
                <w:p w14:paraId="3C2904F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柴油燃烧烟气</w:t>
                  </w:r>
                </w:p>
              </w:tc>
              <w:tc>
                <w:tcPr>
                  <w:tcW w:w="1390" w:type="pct"/>
                  <w:tcBorders>
                    <w:tl2br w:val="nil"/>
                    <w:tr2bl w:val="nil"/>
                  </w:tcBorders>
                  <w:noWrap w:val="0"/>
                  <w:vAlign w:val="center"/>
                </w:tcPr>
                <w:p w14:paraId="037E411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柴油发电机简易排气筒</w:t>
                  </w:r>
                </w:p>
              </w:tc>
              <w:tc>
                <w:tcPr>
                  <w:tcW w:w="455" w:type="pct"/>
                  <w:tcBorders>
                    <w:tl2br w:val="nil"/>
                    <w:tr2bl w:val="nil"/>
                  </w:tcBorders>
                  <w:noWrap w:val="0"/>
                  <w:vAlign w:val="center"/>
                </w:tcPr>
                <w:p w14:paraId="1D21D58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11套</w:t>
                  </w:r>
                </w:p>
              </w:tc>
              <w:tc>
                <w:tcPr>
                  <w:tcW w:w="458" w:type="pct"/>
                  <w:tcBorders>
                    <w:tl2br w:val="nil"/>
                    <w:tr2bl w:val="nil"/>
                  </w:tcBorders>
                  <w:shd w:val="clear" w:color="auto" w:fill="auto"/>
                  <w:noWrap w:val="0"/>
                  <w:vAlign w:val="center"/>
                </w:tcPr>
                <w:p w14:paraId="560E7C2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4.1 </w:t>
                  </w:r>
                </w:p>
              </w:tc>
              <w:tc>
                <w:tcPr>
                  <w:tcW w:w="1286" w:type="pct"/>
                  <w:tcBorders>
                    <w:tl2br w:val="nil"/>
                    <w:tr2bl w:val="nil"/>
                  </w:tcBorders>
                  <w:noWrap w:val="0"/>
                  <w:vAlign w:val="center"/>
                </w:tcPr>
                <w:p w14:paraId="5A6D211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柴油发电机简易排气筒4套</w:t>
                  </w:r>
                </w:p>
              </w:tc>
              <w:tc>
                <w:tcPr>
                  <w:tcW w:w="424" w:type="pct"/>
                  <w:tcBorders>
                    <w:tl2br w:val="nil"/>
                    <w:tr2bl w:val="nil"/>
                  </w:tcBorders>
                  <w:noWrap w:val="0"/>
                  <w:vAlign w:val="center"/>
                </w:tcPr>
                <w:p w14:paraId="7D4776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1.3 </w:t>
                  </w:r>
                </w:p>
              </w:tc>
            </w:tr>
            <w:tr w14:paraId="3DB1A4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256" w:type="pct"/>
                  <w:vMerge w:val="continue"/>
                  <w:tcBorders>
                    <w:tl2br w:val="nil"/>
                    <w:tr2bl w:val="nil"/>
                  </w:tcBorders>
                  <w:noWrap w:val="0"/>
                  <w:vAlign w:val="center"/>
                </w:tcPr>
                <w:p w14:paraId="0223A58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C4368A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noWrap w:val="0"/>
                  <w:vAlign w:val="center"/>
                </w:tcPr>
                <w:p w14:paraId="1AC8CBD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伴生气</w:t>
                  </w:r>
                </w:p>
              </w:tc>
              <w:tc>
                <w:tcPr>
                  <w:tcW w:w="1390" w:type="pct"/>
                  <w:tcBorders>
                    <w:tl2br w:val="nil"/>
                    <w:tr2bl w:val="nil"/>
                  </w:tcBorders>
                  <w:noWrap w:val="0"/>
                  <w:vAlign w:val="center"/>
                </w:tcPr>
                <w:p w14:paraId="5A2704F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伴生气产生量很小，无法量化，无组织排放</w:t>
                  </w:r>
                </w:p>
              </w:tc>
              <w:tc>
                <w:tcPr>
                  <w:tcW w:w="455" w:type="pct"/>
                  <w:tcBorders>
                    <w:tl2br w:val="nil"/>
                    <w:tr2bl w:val="nil"/>
                  </w:tcBorders>
                  <w:noWrap w:val="0"/>
                  <w:vAlign w:val="center"/>
                </w:tcPr>
                <w:p w14:paraId="73F1FD0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779DA4C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1286" w:type="pct"/>
                  <w:tcBorders>
                    <w:tl2br w:val="nil"/>
                    <w:tr2bl w:val="nil"/>
                  </w:tcBorders>
                  <w:noWrap w:val="0"/>
                  <w:vAlign w:val="center"/>
                </w:tcPr>
                <w:p w14:paraId="4211511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无组织排放</w:t>
                  </w:r>
                </w:p>
              </w:tc>
              <w:tc>
                <w:tcPr>
                  <w:tcW w:w="424" w:type="pct"/>
                  <w:tcBorders>
                    <w:tl2br w:val="nil"/>
                    <w:tr2bl w:val="nil"/>
                  </w:tcBorders>
                  <w:noWrap w:val="0"/>
                  <w:vAlign w:val="center"/>
                </w:tcPr>
                <w:p w14:paraId="154C2E8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0.0 </w:t>
                  </w:r>
                </w:p>
              </w:tc>
            </w:tr>
            <w:tr w14:paraId="0E5A69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256" w:type="pct"/>
                  <w:vMerge w:val="restart"/>
                  <w:tcBorders>
                    <w:tl2br w:val="nil"/>
                    <w:tr2bl w:val="nil"/>
                  </w:tcBorders>
                  <w:noWrap w:val="0"/>
                  <w:vAlign w:val="center"/>
                </w:tcPr>
                <w:p w14:paraId="5B7E7D8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2</w:t>
                  </w:r>
                </w:p>
              </w:tc>
              <w:tc>
                <w:tcPr>
                  <w:tcW w:w="256" w:type="pct"/>
                  <w:vMerge w:val="restart"/>
                  <w:tcBorders>
                    <w:tl2br w:val="nil"/>
                    <w:tr2bl w:val="nil"/>
                  </w:tcBorders>
                  <w:noWrap w:val="0"/>
                  <w:vAlign w:val="center"/>
                </w:tcPr>
                <w:p w14:paraId="4AE78AD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废水</w:t>
                  </w:r>
                </w:p>
                <w:p w14:paraId="4BD3E18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vMerge w:val="restart"/>
                  <w:tcBorders>
                    <w:tl2br w:val="nil"/>
                    <w:tr2bl w:val="nil"/>
                  </w:tcBorders>
                  <w:shd w:val="clear" w:color="auto" w:fill="auto"/>
                  <w:noWrap w:val="0"/>
                  <w:vAlign w:val="center"/>
                </w:tcPr>
                <w:p w14:paraId="235551F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钻井、洗井、井下作业废水</w:t>
                  </w:r>
                </w:p>
              </w:tc>
              <w:tc>
                <w:tcPr>
                  <w:tcW w:w="1390" w:type="pct"/>
                  <w:tcBorders>
                    <w:tl2br w:val="nil"/>
                    <w:tr2bl w:val="nil"/>
                  </w:tcBorders>
                  <w:shd w:val="clear" w:color="auto" w:fill="auto"/>
                  <w:noWrap w:val="0"/>
                  <w:vAlign w:val="center"/>
                </w:tcPr>
                <w:p w14:paraId="67D18B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地上废水收集罐</w:t>
                  </w:r>
                </w:p>
              </w:tc>
              <w:tc>
                <w:tcPr>
                  <w:tcW w:w="455" w:type="pct"/>
                  <w:tcBorders>
                    <w:tl2br w:val="nil"/>
                    <w:tr2bl w:val="nil"/>
                  </w:tcBorders>
                  <w:shd w:val="clear" w:color="auto" w:fill="auto"/>
                  <w:noWrap w:val="0"/>
                  <w:vAlign w:val="center"/>
                </w:tcPr>
                <w:p w14:paraId="77691BE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11套</w:t>
                  </w:r>
                </w:p>
              </w:tc>
              <w:tc>
                <w:tcPr>
                  <w:tcW w:w="458" w:type="pct"/>
                  <w:tcBorders>
                    <w:tl2br w:val="nil"/>
                    <w:tr2bl w:val="nil"/>
                  </w:tcBorders>
                  <w:shd w:val="clear" w:color="auto" w:fill="auto"/>
                  <w:noWrap w:val="0"/>
                  <w:vAlign w:val="center"/>
                </w:tcPr>
                <w:p w14:paraId="447062A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4.1 </w:t>
                  </w:r>
                </w:p>
              </w:tc>
              <w:tc>
                <w:tcPr>
                  <w:tcW w:w="1286" w:type="pct"/>
                  <w:vMerge w:val="restart"/>
                  <w:tcBorders>
                    <w:tl2br w:val="nil"/>
                    <w:tr2bl w:val="nil"/>
                  </w:tcBorders>
                  <w:noWrap w:val="0"/>
                  <w:vAlign w:val="center"/>
                </w:tcPr>
                <w:p w14:paraId="652BC2D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地上废水收集罐及拉运费用</w:t>
                  </w:r>
                </w:p>
              </w:tc>
              <w:tc>
                <w:tcPr>
                  <w:tcW w:w="424" w:type="pct"/>
                  <w:vMerge w:val="restart"/>
                  <w:tcBorders>
                    <w:tl2br w:val="nil"/>
                    <w:tr2bl w:val="nil"/>
                  </w:tcBorders>
                  <w:noWrap w:val="0"/>
                  <w:vAlign w:val="center"/>
                </w:tcPr>
                <w:p w14:paraId="146508B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1.3 </w:t>
                  </w:r>
                </w:p>
              </w:tc>
            </w:tr>
            <w:tr w14:paraId="5685B5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256" w:type="pct"/>
                  <w:vMerge w:val="continue"/>
                  <w:tcBorders>
                    <w:tl2br w:val="nil"/>
                    <w:tr2bl w:val="nil"/>
                  </w:tcBorders>
                  <w:noWrap w:val="0"/>
                  <w:vAlign w:val="center"/>
                </w:tcPr>
                <w:p w14:paraId="4E7C29E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98E3A6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vMerge w:val="continue"/>
                  <w:tcBorders>
                    <w:tl2br w:val="nil"/>
                    <w:tr2bl w:val="nil"/>
                  </w:tcBorders>
                  <w:noWrap w:val="0"/>
                  <w:vAlign w:val="center"/>
                </w:tcPr>
                <w:p w14:paraId="5ADA455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1390" w:type="pct"/>
                  <w:tcBorders>
                    <w:tl2br w:val="nil"/>
                    <w:tr2bl w:val="nil"/>
                  </w:tcBorders>
                  <w:shd w:val="clear" w:color="auto" w:fill="auto"/>
                  <w:noWrap w:val="0"/>
                  <w:vAlign w:val="center"/>
                </w:tcPr>
                <w:p w14:paraId="48917A3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废水拉运处理费用</w:t>
                  </w:r>
                </w:p>
              </w:tc>
              <w:tc>
                <w:tcPr>
                  <w:tcW w:w="455" w:type="pct"/>
                  <w:tcBorders>
                    <w:tl2br w:val="nil"/>
                    <w:tr2bl w:val="nil"/>
                  </w:tcBorders>
                  <w:shd w:val="clear" w:color="auto" w:fill="auto"/>
                  <w:noWrap w:val="0"/>
                  <w:vAlign w:val="center"/>
                </w:tcPr>
                <w:p w14:paraId="4337CE8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60C4AC4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66.0 </w:t>
                  </w:r>
                </w:p>
              </w:tc>
              <w:tc>
                <w:tcPr>
                  <w:tcW w:w="1286" w:type="pct"/>
                  <w:vMerge w:val="continue"/>
                  <w:tcBorders>
                    <w:tl2br w:val="nil"/>
                    <w:tr2bl w:val="nil"/>
                  </w:tcBorders>
                  <w:noWrap w:val="0"/>
                  <w:vAlign w:val="center"/>
                </w:tcPr>
                <w:p w14:paraId="23C3B0B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24" w:type="pct"/>
                  <w:vMerge w:val="continue"/>
                  <w:tcBorders>
                    <w:tl2br w:val="nil"/>
                    <w:tr2bl w:val="nil"/>
                  </w:tcBorders>
                  <w:noWrap w:val="0"/>
                  <w:vAlign w:val="center"/>
                </w:tcPr>
                <w:p w14:paraId="08EA7E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p>
              </w:tc>
            </w:tr>
            <w:tr w14:paraId="5A5FD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56" w:type="pct"/>
                  <w:vMerge w:val="continue"/>
                  <w:tcBorders>
                    <w:tl2br w:val="nil"/>
                    <w:tr2bl w:val="nil"/>
                  </w:tcBorders>
                  <w:noWrap w:val="0"/>
                  <w:vAlign w:val="center"/>
                </w:tcPr>
                <w:p w14:paraId="6C36851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10911BB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A469AE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生活污水</w:t>
                  </w:r>
                </w:p>
              </w:tc>
              <w:tc>
                <w:tcPr>
                  <w:tcW w:w="1390" w:type="pct"/>
                  <w:tcBorders>
                    <w:tl2br w:val="nil"/>
                    <w:tr2bl w:val="nil"/>
                  </w:tcBorders>
                  <w:shd w:val="clear" w:color="auto" w:fill="auto"/>
                  <w:noWrap w:val="0"/>
                  <w:vAlign w:val="center"/>
                </w:tcPr>
                <w:p w14:paraId="190B91A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施工现场设置移动式环保厕所</w:t>
                  </w:r>
                </w:p>
              </w:tc>
              <w:tc>
                <w:tcPr>
                  <w:tcW w:w="455" w:type="pct"/>
                  <w:tcBorders>
                    <w:tl2br w:val="nil"/>
                    <w:tr2bl w:val="nil"/>
                  </w:tcBorders>
                  <w:shd w:val="clear" w:color="auto" w:fill="auto"/>
                  <w:noWrap w:val="0"/>
                  <w:vAlign w:val="center"/>
                </w:tcPr>
                <w:p w14:paraId="7775065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11座</w:t>
                  </w:r>
                </w:p>
              </w:tc>
              <w:tc>
                <w:tcPr>
                  <w:tcW w:w="458" w:type="pct"/>
                  <w:tcBorders>
                    <w:tl2br w:val="nil"/>
                    <w:tr2bl w:val="nil"/>
                  </w:tcBorders>
                  <w:shd w:val="clear" w:color="auto" w:fill="auto"/>
                  <w:noWrap w:val="0"/>
                  <w:vAlign w:val="center"/>
                </w:tcPr>
                <w:p w14:paraId="158CCC0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11.0 </w:t>
                  </w:r>
                </w:p>
              </w:tc>
              <w:tc>
                <w:tcPr>
                  <w:tcW w:w="1286" w:type="pct"/>
                  <w:tcBorders>
                    <w:tl2br w:val="nil"/>
                    <w:tr2bl w:val="nil"/>
                  </w:tcBorders>
                  <w:noWrap w:val="0"/>
                  <w:vAlign w:val="center"/>
                </w:tcPr>
                <w:p w14:paraId="7B37AB6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施工现场设置移动式环保厕所4座</w:t>
                  </w:r>
                </w:p>
              </w:tc>
              <w:tc>
                <w:tcPr>
                  <w:tcW w:w="424" w:type="pct"/>
                  <w:tcBorders>
                    <w:tl2br w:val="nil"/>
                    <w:tr2bl w:val="nil"/>
                  </w:tcBorders>
                  <w:noWrap w:val="0"/>
                  <w:vAlign w:val="center"/>
                </w:tcPr>
                <w:p w14:paraId="51ADC21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21.0 </w:t>
                  </w:r>
                </w:p>
              </w:tc>
            </w:tr>
            <w:tr w14:paraId="1D489E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restart"/>
                  <w:tcBorders>
                    <w:tl2br w:val="nil"/>
                    <w:tr2bl w:val="nil"/>
                  </w:tcBorders>
                  <w:noWrap w:val="0"/>
                  <w:vAlign w:val="center"/>
                </w:tcPr>
                <w:p w14:paraId="25E9998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3</w:t>
                  </w:r>
                </w:p>
              </w:tc>
              <w:tc>
                <w:tcPr>
                  <w:tcW w:w="256" w:type="pct"/>
                  <w:vMerge w:val="restart"/>
                  <w:tcBorders>
                    <w:tl2br w:val="nil"/>
                    <w:tr2bl w:val="nil"/>
                  </w:tcBorders>
                  <w:noWrap w:val="0"/>
                  <w:vAlign w:val="center"/>
                </w:tcPr>
                <w:p w14:paraId="6E21FED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噪声</w:t>
                  </w:r>
                </w:p>
                <w:p w14:paraId="70258C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shd w:val="clear" w:color="auto" w:fill="auto"/>
                  <w:noWrap w:val="0"/>
                  <w:vAlign w:val="center"/>
                </w:tcPr>
                <w:p w14:paraId="073C374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柴油发电机</w:t>
                  </w:r>
                </w:p>
              </w:tc>
              <w:tc>
                <w:tcPr>
                  <w:tcW w:w="1390" w:type="pct"/>
                  <w:tcBorders>
                    <w:tl2br w:val="nil"/>
                    <w:tr2bl w:val="nil"/>
                  </w:tcBorders>
                  <w:shd w:val="clear" w:color="auto" w:fill="auto"/>
                  <w:noWrap w:val="0"/>
                  <w:vAlign w:val="center"/>
                </w:tcPr>
                <w:p w14:paraId="338CA0A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减震，安装活动板房隔声</w:t>
                  </w:r>
                </w:p>
              </w:tc>
              <w:tc>
                <w:tcPr>
                  <w:tcW w:w="455" w:type="pct"/>
                  <w:tcBorders>
                    <w:tl2br w:val="nil"/>
                    <w:tr2bl w:val="nil"/>
                  </w:tcBorders>
                  <w:shd w:val="clear" w:color="auto" w:fill="auto"/>
                  <w:noWrap w:val="0"/>
                  <w:vAlign w:val="center"/>
                </w:tcPr>
                <w:p w14:paraId="547F623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2E30168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68.8 </w:t>
                  </w:r>
                </w:p>
              </w:tc>
              <w:tc>
                <w:tcPr>
                  <w:tcW w:w="1286" w:type="pct"/>
                  <w:tcBorders>
                    <w:tl2br w:val="nil"/>
                    <w:tr2bl w:val="nil"/>
                  </w:tcBorders>
                  <w:noWrap w:val="0"/>
                  <w:vAlign w:val="center"/>
                </w:tcPr>
                <w:p w14:paraId="20A3BF7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减震，安装活动板房隔声</w:t>
                  </w:r>
                </w:p>
              </w:tc>
              <w:tc>
                <w:tcPr>
                  <w:tcW w:w="424" w:type="pct"/>
                  <w:tcBorders>
                    <w:tl2br w:val="nil"/>
                    <w:tr2bl w:val="nil"/>
                  </w:tcBorders>
                  <w:noWrap w:val="0"/>
                  <w:vAlign w:val="center"/>
                </w:tcPr>
                <w:p w14:paraId="6A28597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3.5 </w:t>
                  </w:r>
                </w:p>
              </w:tc>
            </w:tr>
            <w:tr w14:paraId="602823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2685B5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C05B7F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5727F08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泥浆泵</w:t>
                  </w:r>
                </w:p>
              </w:tc>
              <w:tc>
                <w:tcPr>
                  <w:tcW w:w="1390" w:type="pct"/>
                  <w:tcBorders>
                    <w:tl2br w:val="nil"/>
                    <w:tr2bl w:val="nil"/>
                  </w:tcBorders>
                  <w:shd w:val="clear" w:color="auto" w:fill="auto"/>
                  <w:noWrap w:val="0"/>
                  <w:vAlign w:val="center"/>
                </w:tcPr>
                <w:p w14:paraId="7661904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加衬弹性垫料</w:t>
                  </w:r>
                </w:p>
              </w:tc>
              <w:tc>
                <w:tcPr>
                  <w:tcW w:w="455" w:type="pct"/>
                  <w:tcBorders>
                    <w:tl2br w:val="nil"/>
                    <w:tr2bl w:val="nil"/>
                  </w:tcBorders>
                  <w:shd w:val="clear" w:color="auto" w:fill="auto"/>
                  <w:noWrap w:val="0"/>
                  <w:vAlign w:val="center"/>
                </w:tcPr>
                <w:p w14:paraId="12AA08B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11套</w:t>
                  </w:r>
                </w:p>
              </w:tc>
              <w:tc>
                <w:tcPr>
                  <w:tcW w:w="458" w:type="pct"/>
                  <w:tcBorders>
                    <w:tl2br w:val="nil"/>
                    <w:tr2bl w:val="nil"/>
                  </w:tcBorders>
                  <w:shd w:val="clear" w:color="auto" w:fill="auto"/>
                  <w:noWrap w:val="0"/>
                  <w:vAlign w:val="center"/>
                </w:tcPr>
                <w:p w14:paraId="5651E0F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2.5 </w:t>
                  </w:r>
                </w:p>
              </w:tc>
              <w:tc>
                <w:tcPr>
                  <w:tcW w:w="1286" w:type="pct"/>
                  <w:tcBorders>
                    <w:tl2br w:val="nil"/>
                    <w:tr2bl w:val="nil"/>
                  </w:tcBorders>
                  <w:noWrap w:val="0"/>
                  <w:vAlign w:val="center"/>
                </w:tcPr>
                <w:p w14:paraId="280A82F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加衬弹性垫料</w:t>
                  </w:r>
                </w:p>
              </w:tc>
              <w:tc>
                <w:tcPr>
                  <w:tcW w:w="424" w:type="pct"/>
                  <w:tcBorders>
                    <w:tl2br w:val="nil"/>
                    <w:tr2bl w:val="nil"/>
                  </w:tcBorders>
                  <w:shd w:val="clear" w:color="auto" w:fill="auto"/>
                  <w:noWrap w:val="0"/>
                  <w:vAlign w:val="center"/>
                </w:tcPr>
                <w:p w14:paraId="17B057E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0.8 </w:t>
                  </w:r>
                </w:p>
              </w:tc>
            </w:tr>
            <w:tr w14:paraId="72D299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256" w:type="pct"/>
                  <w:vMerge w:val="restart"/>
                  <w:tcBorders>
                    <w:tl2br w:val="nil"/>
                    <w:tr2bl w:val="nil"/>
                  </w:tcBorders>
                  <w:noWrap w:val="0"/>
                  <w:vAlign w:val="center"/>
                </w:tcPr>
                <w:p w14:paraId="164C0A8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4</w:t>
                  </w:r>
                </w:p>
              </w:tc>
              <w:tc>
                <w:tcPr>
                  <w:tcW w:w="256" w:type="pct"/>
                  <w:vMerge w:val="restart"/>
                  <w:tcBorders>
                    <w:tl2br w:val="nil"/>
                    <w:tr2bl w:val="nil"/>
                  </w:tcBorders>
                  <w:noWrap w:val="0"/>
                  <w:vAlign w:val="center"/>
                </w:tcPr>
                <w:p w14:paraId="4D54E0B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固废</w:t>
                  </w:r>
                </w:p>
                <w:p w14:paraId="72249A2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shd w:val="clear" w:color="auto" w:fill="auto"/>
                  <w:noWrap w:val="0"/>
                  <w:vAlign w:val="center"/>
                </w:tcPr>
                <w:p w14:paraId="1A19224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废弃钻井泥浆、钻井岩屑（不含油）</w:t>
                  </w:r>
                </w:p>
              </w:tc>
              <w:tc>
                <w:tcPr>
                  <w:tcW w:w="1390" w:type="pct"/>
                  <w:tcBorders>
                    <w:tl2br w:val="nil"/>
                    <w:tr2bl w:val="nil"/>
                  </w:tcBorders>
                  <w:shd w:val="clear" w:color="auto" w:fill="auto"/>
                  <w:noWrap w:val="0"/>
                  <w:vAlign w:val="center"/>
                </w:tcPr>
                <w:p w14:paraId="5D533D1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钻井井场设置移动式泥浆不落地设施，配套有污水罐、泥浆罐、压滤设施等，并在下方铺设防渗布等防渗措施。</w:t>
                  </w:r>
                </w:p>
              </w:tc>
              <w:tc>
                <w:tcPr>
                  <w:tcW w:w="455" w:type="pct"/>
                  <w:tcBorders>
                    <w:tl2br w:val="nil"/>
                    <w:tr2bl w:val="nil"/>
                  </w:tcBorders>
                  <w:shd w:val="clear" w:color="auto" w:fill="auto"/>
                  <w:noWrap w:val="0"/>
                  <w:vAlign w:val="center"/>
                </w:tcPr>
                <w:p w14:paraId="0141B87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11套</w:t>
                  </w:r>
                </w:p>
              </w:tc>
              <w:tc>
                <w:tcPr>
                  <w:tcW w:w="458" w:type="pct"/>
                  <w:tcBorders>
                    <w:tl2br w:val="nil"/>
                    <w:tr2bl w:val="nil"/>
                  </w:tcBorders>
                  <w:shd w:val="clear" w:color="auto" w:fill="auto"/>
                  <w:noWrap w:val="0"/>
                  <w:vAlign w:val="center"/>
                </w:tcPr>
                <w:p w14:paraId="6641ADE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75.6 </w:t>
                  </w:r>
                </w:p>
              </w:tc>
              <w:tc>
                <w:tcPr>
                  <w:tcW w:w="1286" w:type="pct"/>
                  <w:tcBorders>
                    <w:tl2br w:val="nil"/>
                    <w:tr2bl w:val="nil"/>
                  </w:tcBorders>
                  <w:shd w:val="clear" w:color="auto" w:fill="auto"/>
                  <w:noWrap w:val="0"/>
                  <w:vAlign w:val="center"/>
                </w:tcPr>
                <w:p w14:paraId="759045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z w:val="21"/>
                      <w:szCs w:val="21"/>
                      <w:highlight w:val="none"/>
                      <w:lang w:val="en-US" w:eastAsia="zh-CN"/>
                    </w:rPr>
                    <w:t>泥浆不落地装置4套。</w:t>
                  </w:r>
                  <w:r>
                    <w:rPr>
                      <w:rFonts w:hint="default"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钻井泥浆、钻井岩屑进入地上移动式泥浆罐，经泥浆不落地工艺固液分离后，固相暂存于固渣暂存处，由防渗漏、防溢流的运输车辆</w:t>
                  </w:r>
                  <w:r>
                    <w:rPr>
                      <w:rFonts w:hint="default"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default" w:ascii="Times New Roman" w:hAnsi="Times New Roman" w:eastAsia="宋体" w:cs="Times New Roman"/>
                      <w:b w:val="0"/>
                      <w:bCs w:val="0"/>
                      <w:color w:val="auto"/>
                      <w:sz w:val="21"/>
                      <w:szCs w:val="21"/>
                      <w:lang w:val="en-US" w:eastAsia="zh-CN"/>
                    </w:rPr>
                    <w:t>。未产生二次污染</w:t>
                  </w:r>
                </w:p>
              </w:tc>
              <w:tc>
                <w:tcPr>
                  <w:tcW w:w="703" w:type="dxa"/>
                  <w:tcBorders>
                    <w:tl2br w:val="nil"/>
                    <w:tr2bl w:val="nil"/>
                  </w:tcBorders>
                  <w:noWrap w:val="0"/>
                  <w:vAlign w:val="center"/>
                </w:tcPr>
                <w:p w14:paraId="2929118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24.1 </w:t>
                  </w:r>
                </w:p>
              </w:tc>
            </w:tr>
            <w:tr w14:paraId="49DF66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256" w:type="pct"/>
                  <w:vMerge w:val="continue"/>
                  <w:tcBorders>
                    <w:tl2br w:val="nil"/>
                    <w:tr2bl w:val="nil"/>
                  </w:tcBorders>
                  <w:noWrap w:val="0"/>
                  <w:vAlign w:val="center"/>
                </w:tcPr>
                <w:p w14:paraId="5092CFE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5F209F4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0BE1B43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纯碱、膨润土废弃包装</w:t>
                  </w:r>
                </w:p>
              </w:tc>
              <w:tc>
                <w:tcPr>
                  <w:tcW w:w="1390" w:type="pct"/>
                  <w:tcBorders>
                    <w:tl2br w:val="nil"/>
                    <w:tr2bl w:val="nil"/>
                  </w:tcBorders>
                  <w:shd w:val="clear" w:color="auto" w:fill="auto"/>
                  <w:noWrap w:val="0"/>
                  <w:vAlign w:val="center"/>
                </w:tcPr>
                <w:p w14:paraId="371258D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统一收集后由钻井施工企业回收综合利用</w:t>
                  </w:r>
                </w:p>
              </w:tc>
              <w:tc>
                <w:tcPr>
                  <w:tcW w:w="455" w:type="pct"/>
                  <w:tcBorders>
                    <w:tl2br w:val="nil"/>
                    <w:tr2bl w:val="nil"/>
                  </w:tcBorders>
                  <w:shd w:val="clear" w:color="auto" w:fill="auto"/>
                  <w:noWrap w:val="0"/>
                  <w:vAlign w:val="center"/>
                </w:tcPr>
                <w:p w14:paraId="54DD76A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46CDD23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5.5 </w:t>
                  </w:r>
                </w:p>
              </w:tc>
              <w:tc>
                <w:tcPr>
                  <w:tcW w:w="1286" w:type="pct"/>
                  <w:tcBorders>
                    <w:tl2br w:val="nil"/>
                    <w:tr2bl w:val="nil"/>
                  </w:tcBorders>
                  <w:shd w:val="clear" w:color="auto" w:fill="auto"/>
                  <w:noWrap w:val="0"/>
                  <w:vAlign w:val="center"/>
                </w:tcPr>
                <w:p w14:paraId="7F1E70C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纯碱、膨润土废弃包装袋经收集后由</w:t>
                  </w:r>
                  <w:r>
                    <w:rPr>
                      <w:rFonts w:hint="default" w:ascii="Times New Roman" w:hAnsi="Times New Roman" w:eastAsia="宋体" w:cs="Times New Roman"/>
                      <w:i w:val="0"/>
                      <w:iCs w:val="0"/>
                      <w:color w:val="auto"/>
                      <w:kern w:val="0"/>
                      <w:sz w:val="21"/>
                      <w:szCs w:val="21"/>
                      <w:u w:val="none"/>
                      <w:lang w:val="en-US" w:eastAsia="zh-CN" w:bidi="ar"/>
                    </w:rPr>
                    <w:t>志丹永宏50718队、五普50839HB、五普50839HB、五普40837HB</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703" w:type="dxa"/>
                  <w:tcBorders>
                    <w:tl2br w:val="nil"/>
                    <w:tr2bl w:val="nil"/>
                  </w:tcBorders>
                  <w:noWrap w:val="0"/>
                  <w:vAlign w:val="center"/>
                </w:tcPr>
                <w:p w14:paraId="756CB72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1.8 </w:t>
                  </w:r>
                </w:p>
              </w:tc>
            </w:tr>
            <w:tr w14:paraId="62808B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1986FD3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54FB44E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2290FA9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废防渗布</w:t>
                  </w:r>
                </w:p>
                <w:p w14:paraId="01B9470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（不含油）</w:t>
                  </w:r>
                </w:p>
              </w:tc>
              <w:tc>
                <w:tcPr>
                  <w:tcW w:w="1390" w:type="pct"/>
                  <w:tcBorders>
                    <w:tl2br w:val="nil"/>
                    <w:tr2bl w:val="nil"/>
                  </w:tcBorders>
                  <w:shd w:val="clear" w:color="auto" w:fill="auto"/>
                  <w:noWrap w:val="0"/>
                  <w:vAlign w:val="center"/>
                </w:tcPr>
                <w:p w14:paraId="72DDA37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统一收集后由钻井施工企业回收综合利用</w:t>
                  </w:r>
                </w:p>
              </w:tc>
              <w:tc>
                <w:tcPr>
                  <w:tcW w:w="455" w:type="pct"/>
                  <w:tcBorders>
                    <w:tl2br w:val="nil"/>
                    <w:tr2bl w:val="nil"/>
                  </w:tcBorders>
                  <w:shd w:val="clear" w:color="auto" w:fill="auto"/>
                  <w:noWrap w:val="0"/>
                  <w:vAlign w:val="center"/>
                </w:tcPr>
                <w:p w14:paraId="2CEB128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01F3990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5.5 </w:t>
                  </w:r>
                </w:p>
              </w:tc>
              <w:tc>
                <w:tcPr>
                  <w:tcW w:w="1286" w:type="pct"/>
                  <w:tcBorders>
                    <w:tl2br w:val="nil"/>
                    <w:tr2bl w:val="nil"/>
                  </w:tcBorders>
                  <w:shd w:val="clear" w:color="auto" w:fill="auto"/>
                  <w:noWrap w:val="0"/>
                  <w:vAlign w:val="center"/>
                </w:tcPr>
                <w:p w14:paraId="1DFB6FB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废防渗布（不含油）经收集后由</w:t>
                  </w:r>
                  <w:r>
                    <w:rPr>
                      <w:rFonts w:hint="default" w:ascii="Times New Roman" w:hAnsi="Times New Roman" w:eastAsia="宋体" w:cs="Times New Roman"/>
                      <w:i w:val="0"/>
                      <w:iCs w:val="0"/>
                      <w:color w:val="auto"/>
                      <w:kern w:val="0"/>
                      <w:sz w:val="21"/>
                      <w:szCs w:val="21"/>
                      <w:u w:val="none"/>
                      <w:lang w:val="en-US" w:eastAsia="zh-CN" w:bidi="ar"/>
                    </w:rPr>
                    <w:t>志丹永宏50718队、五普50839HB、五普50839HB、五普40837HB</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703" w:type="dxa"/>
                  <w:tcBorders>
                    <w:tl2br w:val="nil"/>
                    <w:tr2bl w:val="nil"/>
                  </w:tcBorders>
                  <w:noWrap w:val="0"/>
                  <w:vAlign w:val="center"/>
                </w:tcPr>
                <w:p w14:paraId="003F2AA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1.8 </w:t>
                  </w:r>
                </w:p>
              </w:tc>
            </w:tr>
            <w:tr w14:paraId="0B89A7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7A55A0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394E7C5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468226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10"/>
                      <w:sz w:val="22"/>
                      <w:szCs w:val="22"/>
                      <w:lang w:val="en-US" w:eastAsia="zh-CN" w:bidi="ar-SA"/>
                    </w:rPr>
                  </w:pPr>
                  <w:r>
                    <w:rPr>
                      <w:rFonts w:hint="default" w:ascii="Times New Roman" w:hAnsi="Times New Roman" w:eastAsia="宋体" w:cs="Times New Roman"/>
                      <w:bCs/>
                      <w:color w:val="auto"/>
                      <w:spacing w:val="10"/>
                      <w:lang w:val="en-US" w:eastAsia="zh-CN"/>
                    </w:rPr>
                    <w:t>不含油压裂砂</w:t>
                  </w:r>
                </w:p>
              </w:tc>
              <w:tc>
                <w:tcPr>
                  <w:tcW w:w="1390" w:type="pct"/>
                  <w:tcBorders>
                    <w:tl2br w:val="nil"/>
                    <w:tr2bl w:val="nil"/>
                  </w:tcBorders>
                  <w:shd w:val="clear" w:color="auto" w:fill="auto"/>
                  <w:noWrap w:val="0"/>
                  <w:vAlign w:val="center"/>
                </w:tcPr>
                <w:p w14:paraId="3320C4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10"/>
                      <w:sz w:val="22"/>
                      <w:szCs w:val="22"/>
                      <w:lang w:val="en-US" w:eastAsia="zh-CN" w:bidi="ar-SA"/>
                    </w:rPr>
                  </w:pPr>
                  <w:r>
                    <w:rPr>
                      <w:rFonts w:hint="default" w:ascii="Times New Roman" w:hAnsi="Times New Roman" w:eastAsia="宋体" w:cs="Times New Roman"/>
                      <w:bCs/>
                      <w:color w:val="auto"/>
                      <w:spacing w:val="10"/>
                      <w:lang w:val="en-US" w:eastAsia="zh-CN"/>
                    </w:rPr>
                    <w:t>统一收集后由厂家回收综合利用</w:t>
                  </w:r>
                </w:p>
              </w:tc>
              <w:tc>
                <w:tcPr>
                  <w:tcW w:w="455" w:type="pct"/>
                  <w:tcBorders>
                    <w:tl2br w:val="nil"/>
                    <w:tr2bl w:val="nil"/>
                  </w:tcBorders>
                  <w:shd w:val="clear" w:color="auto" w:fill="auto"/>
                  <w:noWrap w:val="0"/>
                  <w:vAlign w:val="center"/>
                </w:tcPr>
                <w:p w14:paraId="646B3A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10"/>
                      <w:sz w:val="22"/>
                      <w:szCs w:val="22"/>
                      <w:lang w:val="en-US" w:eastAsia="zh-CN" w:bidi="ar-SA"/>
                    </w:rPr>
                  </w:pPr>
                  <w:r>
                    <w:rPr>
                      <w:rFonts w:hint="default" w:ascii="Times New Roman" w:hAnsi="Times New Roman" w:eastAsia="宋体" w:cs="Times New Roman"/>
                      <w:bCs/>
                      <w:color w:val="auto"/>
                      <w:spacing w:val="10"/>
                      <w:lang w:val="en-US" w:eastAsia="zh-CN"/>
                    </w:rPr>
                    <w:t>/</w:t>
                  </w:r>
                </w:p>
              </w:tc>
              <w:tc>
                <w:tcPr>
                  <w:tcW w:w="458" w:type="pct"/>
                  <w:tcBorders>
                    <w:tl2br w:val="nil"/>
                    <w:tr2bl w:val="nil"/>
                  </w:tcBorders>
                  <w:shd w:val="clear" w:color="auto" w:fill="auto"/>
                  <w:noWrap w:val="0"/>
                  <w:vAlign w:val="center"/>
                </w:tcPr>
                <w:p w14:paraId="55E99B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10"/>
                      <w:sz w:val="22"/>
                      <w:szCs w:val="22"/>
                      <w:lang w:val="en-US" w:eastAsia="zh-CN" w:bidi="ar-SA"/>
                    </w:rPr>
                  </w:pPr>
                  <w:r>
                    <w:rPr>
                      <w:rFonts w:hint="default" w:ascii="Times New Roman" w:hAnsi="Times New Roman" w:eastAsia="宋体" w:cs="Times New Roman"/>
                      <w:bCs/>
                      <w:color w:val="auto"/>
                      <w:spacing w:val="10"/>
                      <w:lang w:val="en-US" w:eastAsia="zh-CN"/>
                    </w:rPr>
                    <w:t>1</w:t>
                  </w:r>
                </w:p>
              </w:tc>
              <w:tc>
                <w:tcPr>
                  <w:tcW w:w="1286" w:type="pct"/>
                  <w:tcBorders>
                    <w:tl2br w:val="nil"/>
                    <w:tr2bl w:val="nil"/>
                  </w:tcBorders>
                  <w:shd w:val="clear" w:color="auto" w:fill="auto"/>
                  <w:noWrap w:val="0"/>
                  <w:vAlign w:val="center"/>
                </w:tcPr>
                <w:p w14:paraId="3B3A9D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统一收集后由厂家回收综合利用</w:t>
                  </w:r>
                </w:p>
              </w:tc>
              <w:tc>
                <w:tcPr>
                  <w:tcW w:w="703" w:type="dxa"/>
                  <w:tcBorders>
                    <w:tl2br w:val="nil"/>
                    <w:tr2bl w:val="nil"/>
                  </w:tcBorders>
                  <w:shd w:val="clear" w:color="auto" w:fill="auto"/>
                  <w:noWrap w:val="0"/>
                  <w:vAlign w:val="center"/>
                </w:tcPr>
                <w:p w14:paraId="2AFB981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0.3 </w:t>
                  </w:r>
                </w:p>
              </w:tc>
            </w:tr>
            <w:tr w14:paraId="2B13EC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9CD0F6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66F45E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092F11F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建筑垃圾</w:t>
                  </w:r>
                </w:p>
              </w:tc>
              <w:tc>
                <w:tcPr>
                  <w:tcW w:w="1390" w:type="pct"/>
                  <w:tcBorders>
                    <w:tl2br w:val="nil"/>
                    <w:tr2bl w:val="nil"/>
                  </w:tcBorders>
                  <w:shd w:val="clear" w:color="auto" w:fill="auto"/>
                  <w:noWrap w:val="0"/>
                  <w:vAlign w:val="center"/>
                </w:tcPr>
                <w:p w14:paraId="76BDB6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回收利用</w:t>
                  </w:r>
                </w:p>
              </w:tc>
              <w:tc>
                <w:tcPr>
                  <w:tcW w:w="455" w:type="pct"/>
                  <w:tcBorders>
                    <w:tl2br w:val="nil"/>
                    <w:tr2bl w:val="nil"/>
                  </w:tcBorders>
                  <w:shd w:val="clear" w:color="auto" w:fill="auto"/>
                  <w:noWrap w:val="0"/>
                  <w:vAlign w:val="center"/>
                </w:tcPr>
                <w:p w14:paraId="54F3108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3976905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2.8 </w:t>
                  </w:r>
                </w:p>
              </w:tc>
              <w:tc>
                <w:tcPr>
                  <w:tcW w:w="1286" w:type="pct"/>
                  <w:tcBorders>
                    <w:tl2br w:val="nil"/>
                    <w:tr2bl w:val="nil"/>
                  </w:tcBorders>
                  <w:shd w:val="clear" w:color="auto" w:fill="auto"/>
                  <w:noWrap w:val="0"/>
                  <w:vAlign w:val="center"/>
                </w:tcPr>
                <w:p w14:paraId="513976B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未产生</w:t>
                  </w:r>
                </w:p>
              </w:tc>
              <w:tc>
                <w:tcPr>
                  <w:tcW w:w="703" w:type="dxa"/>
                  <w:tcBorders>
                    <w:tl2br w:val="nil"/>
                    <w:tr2bl w:val="nil"/>
                  </w:tcBorders>
                  <w:noWrap w:val="0"/>
                  <w:vAlign w:val="center"/>
                </w:tcPr>
                <w:p w14:paraId="2A155EF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 </w:t>
                  </w:r>
                </w:p>
              </w:tc>
            </w:tr>
            <w:tr w14:paraId="6F4B8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0230A98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C7B05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EB3869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废过硫酸钾包装袋</w:t>
                  </w:r>
                </w:p>
              </w:tc>
              <w:tc>
                <w:tcPr>
                  <w:tcW w:w="1390" w:type="pct"/>
                  <w:tcBorders>
                    <w:tl2br w:val="nil"/>
                    <w:tr2bl w:val="nil"/>
                  </w:tcBorders>
                  <w:shd w:val="clear" w:color="auto" w:fill="auto"/>
                  <w:noWrap w:val="0"/>
                  <w:vAlign w:val="center"/>
                </w:tcPr>
                <w:p w14:paraId="64422DA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废过硫酸钾包装袋入桶（0.5m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）收集至临时危废贮存库暂存后，定期委托有资质单位处置</w:t>
                  </w:r>
                </w:p>
              </w:tc>
              <w:tc>
                <w:tcPr>
                  <w:tcW w:w="455" w:type="pct"/>
                  <w:tcBorders>
                    <w:tl2br w:val="nil"/>
                    <w:tr2bl w:val="nil"/>
                  </w:tcBorders>
                  <w:shd w:val="clear" w:color="auto" w:fill="auto"/>
                  <w:noWrap w:val="0"/>
                  <w:vAlign w:val="center"/>
                </w:tcPr>
                <w:p w14:paraId="32C10E7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11个</w:t>
                  </w:r>
                </w:p>
              </w:tc>
              <w:tc>
                <w:tcPr>
                  <w:tcW w:w="458" w:type="pct"/>
                  <w:tcBorders>
                    <w:tl2br w:val="nil"/>
                    <w:tr2bl w:val="nil"/>
                  </w:tcBorders>
                  <w:shd w:val="clear" w:color="auto" w:fill="auto"/>
                  <w:noWrap w:val="0"/>
                  <w:vAlign w:val="center"/>
                </w:tcPr>
                <w:p w14:paraId="52C7E55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0.6 </w:t>
                  </w:r>
                </w:p>
              </w:tc>
              <w:tc>
                <w:tcPr>
                  <w:tcW w:w="1286" w:type="pct"/>
                  <w:tcBorders>
                    <w:tl2br w:val="nil"/>
                    <w:tr2bl w:val="nil"/>
                  </w:tcBorders>
                  <w:noWrap w:val="0"/>
                  <w:vAlign w:val="center"/>
                </w:tcPr>
                <w:p w14:paraId="1F6BE02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收集桶4个，容积约0.5m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39A85D5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0.2 </w:t>
                  </w:r>
                </w:p>
              </w:tc>
            </w:tr>
            <w:tr w14:paraId="0F8783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5BDB87C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0E740CE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112546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废弃防渗布（沾落地油）</w:t>
                  </w:r>
                </w:p>
              </w:tc>
              <w:tc>
                <w:tcPr>
                  <w:tcW w:w="1390" w:type="pct"/>
                  <w:tcBorders>
                    <w:tl2br w:val="nil"/>
                    <w:tr2bl w:val="nil"/>
                  </w:tcBorders>
                  <w:shd w:val="clear" w:color="auto" w:fill="auto"/>
                  <w:noWrap w:val="0"/>
                  <w:vAlign w:val="center"/>
                </w:tcPr>
                <w:p w14:paraId="1CDFE7C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袋装后收集至临时危废贮存库暂存后，定期委托有资质单位外运处置</w:t>
                  </w:r>
                </w:p>
              </w:tc>
              <w:tc>
                <w:tcPr>
                  <w:tcW w:w="455" w:type="pct"/>
                  <w:tcBorders>
                    <w:tl2br w:val="nil"/>
                    <w:tr2bl w:val="nil"/>
                  </w:tcBorders>
                  <w:shd w:val="clear" w:color="auto" w:fill="auto"/>
                  <w:noWrap w:val="0"/>
                  <w:vAlign w:val="center"/>
                </w:tcPr>
                <w:p w14:paraId="08C3C1F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06009D5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0.6 </w:t>
                  </w:r>
                </w:p>
              </w:tc>
              <w:tc>
                <w:tcPr>
                  <w:tcW w:w="1286" w:type="pct"/>
                  <w:tcBorders>
                    <w:tl2br w:val="nil"/>
                    <w:tr2bl w:val="nil"/>
                  </w:tcBorders>
                  <w:noWrap w:val="0"/>
                  <w:vAlign w:val="center"/>
                </w:tcPr>
                <w:p w14:paraId="4E5F5A7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收集袋若干，收集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643BD82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0.2 </w:t>
                  </w:r>
                </w:p>
              </w:tc>
            </w:tr>
            <w:tr w14:paraId="6B40F6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7FE3EE5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4E6952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66E726E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落地油</w:t>
                  </w:r>
                </w:p>
              </w:tc>
              <w:tc>
                <w:tcPr>
                  <w:tcW w:w="1390" w:type="pct"/>
                  <w:tcBorders>
                    <w:tl2br w:val="nil"/>
                    <w:tr2bl w:val="nil"/>
                  </w:tcBorders>
                  <w:shd w:val="clear" w:color="auto" w:fill="auto"/>
                  <w:noWrap w:val="0"/>
                  <w:vAlign w:val="center"/>
                </w:tcPr>
                <w:p w14:paraId="28FE81E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落地油泥收集桶收集（铁桶，容量约500L，地上式设置，可以移动），定期委托有资质的单位进行安全处置</w:t>
                  </w:r>
                </w:p>
              </w:tc>
              <w:tc>
                <w:tcPr>
                  <w:tcW w:w="455" w:type="pct"/>
                  <w:tcBorders>
                    <w:tl2br w:val="nil"/>
                    <w:tr2bl w:val="nil"/>
                  </w:tcBorders>
                  <w:shd w:val="clear" w:color="auto" w:fill="auto"/>
                  <w:noWrap w:val="0"/>
                  <w:vAlign w:val="center"/>
                </w:tcPr>
                <w:p w14:paraId="62FD0E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8座</w:t>
                  </w:r>
                </w:p>
              </w:tc>
              <w:tc>
                <w:tcPr>
                  <w:tcW w:w="458" w:type="pct"/>
                  <w:tcBorders>
                    <w:tl2br w:val="nil"/>
                    <w:tr2bl w:val="nil"/>
                  </w:tcBorders>
                  <w:shd w:val="clear" w:color="auto" w:fill="auto"/>
                  <w:noWrap w:val="0"/>
                  <w:vAlign w:val="center"/>
                </w:tcPr>
                <w:p w14:paraId="726B99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0.6 </w:t>
                  </w:r>
                </w:p>
              </w:tc>
              <w:tc>
                <w:tcPr>
                  <w:tcW w:w="1286" w:type="pct"/>
                  <w:tcBorders>
                    <w:tl2br w:val="nil"/>
                    <w:tr2bl w:val="nil"/>
                  </w:tcBorders>
                  <w:noWrap w:val="0"/>
                  <w:vAlign w:val="center"/>
                </w:tcPr>
                <w:p w14:paraId="7E9A8A4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收集桶4个，容量约500L，收集暂存于临时危废贮存库后，定期委托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08696CD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0.2 </w:t>
                  </w:r>
                </w:p>
              </w:tc>
            </w:tr>
            <w:tr w14:paraId="39EF41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B8AD39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3143ADD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E83E06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废机油、废润滑油</w:t>
                  </w:r>
                </w:p>
              </w:tc>
              <w:tc>
                <w:tcPr>
                  <w:tcW w:w="1390" w:type="pct"/>
                  <w:tcBorders>
                    <w:tl2br w:val="nil"/>
                    <w:tr2bl w:val="nil"/>
                  </w:tcBorders>
                  <w:shd w:val="clear" w:color="auto" w:fill="auto"/>
                  <w:noWrap w:val="0"/>
                  <w:vAlign w:val="center"/>
                </w:tcPr>
                <w:p w14:paraId="189AA30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采用废油回收桶（0.5m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）收集至临时危废贮存库暂存后，定期委托有资质单位外运处置</w:t>
                  </w:r>
                </w:p>
              </w:tc>
              <w:tc>
                <w:tcPr>
                  <w:tcW w:w="455" w:type="pct"/>
                  <w:tcBorders>
                    <w:tl2br w:val="nil"/>
                    <w:tr2bl w:val="nil"/>
                  </w:tcBorders>
                  <w:shd w:val="clear" w:color="auto" w:fill="auto"/>
                  <w:noWrap w:val="0"/>
                  <w:vAlign w:val="center"/>
                </w:tcPr>
                <w:p w14:paraId="0F8C7E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11个</w:t>
                  </w:r>
                </w:p>
              </w:tc>
              <w:tc>
                <w:tcPr>
                  <w:tcW w:w="458" w:type="pct"/>
                  <w:tcBorders>
                    <w:tl2br w:val="nil"/>
                    <w:tr2bl w:val="nil"/>
                  </w:tcBorders>
                  <w:shd w:val="clear" w:color="auto" w:fill="auto"/>
                  <w:noWrap w:val="0"/>
                  <w:vAlign w:val="center"/>
                </w:tcPr>
                <w:p w14:paraId="1E7F9DD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0.6 </w:t>
                  </w:r>
                </w:p>
              </w:tc>
              <w:tc>
                <w:tcPr>
                  <w:tcW w:w="1286" w:type="pct"/>
                  <w:tcBorders>
                    <w:tl2br w:val="nil"/>
                    <w:tr2bl w:val="nil"/>
                  </w:tcBorders>
                  <w:noWrap w:val="0"/>
                  <w:vAlign w:val="center"/>
                </w:tcPr>
                <w:p w14:paraId="7D93F0A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bidi="ar-SA"/>
                    </w:rPr>
                    <w:t>废机油、废润滑油采用废油回收桶（0.5m</w:t>
                  </w:r>
                  <w:r>
                    <w:rPr>
                      <w:rFonts w:hint="eastAsia" w:ascii="Times New Roman" w:hAnsi="Times New Roman" w:eastAsia="宋体" w:cs="Times New Roman"/>
                      <w:color w:val="auto"/>
                      <w:spacing w:val="0"/>
                      <w:sz w:val="21"/>
                      <w:szCs w:val="21"/>
                      <w:highlight w:val="none"/>
                      <w:vertAlign w:val="superscript"/>
                      <w:lang w:val="en-US" w:eastAsia="zh-CN" w:bidi="ar-SA"/>
                    </w:rPr>
                    <w:t>3</w:t>
                  </w:r>
                  <w:r>
                    <w:rPr>
                      <w:rFonts w:hint="eastAsia" w:ascii="Times New Roman" w:hAnsi="Times New Roman" w:eastAsia="宋体" w:cs="Times New Roman"/>
                      <w:color w:val="auto"/>
                      <w:spacing w:val="0"/>
                      <w:sz w:val="21"/>
                      <w:szCs w:val="21"/>
                      <w:highlight w:val="none"/>
                      <w:lang w:val="en-US" w:eastAsia="zh-CN" w:bidi="ar-SA"/>
                    </w:rPr>
                    <w:t>）收集至临时危废贮存库暂存后，定期委托平凉海螺环保科技有限责任公司外运处置</w:t>
                  </w:r>
                </w:p>
              </w:tc>
              <w:tc>
                <w:tcPr>
                  <w:tcW w:w="703" w:type="dxa"/>
                  <w:tcBorders>
                    <w:tl2br w:val="nil"/>
                    <w:tr2bl w:val="nil"/>
                  </w:tcBorders>
                  <w:noWrap w:val="0"/>
                  <w:vAlign w:val="center"/>
                </w:tcPr>
                <w:p w14:paraId="6CEFFE9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0.2 </w:t>
                  </w:r>
                </w:p>
              </w:tc>
            </w:tr>
            <w:tr w14:paraId="54505E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0677DD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4F44AC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3F28BD0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废含油抹布</w:t>
                  </w:r>
                </w:p>
              </w:tc>
              <w:tc>
                <w:tcPr>
                  <w:tcW w:w="1390" w:type="pct"/>
                  <w:tcBorders>
                    <w:tl2br w:val="nil"/>
                    <w:tr2bl w:val="nil"/>
                  </w:tcBorders>
                  <w:shd w:val="clear" w:color="auto" w:fill="auto"/>
                  <w:noWrap w:val="0"/>
                  <w:vAlign w:val="center"/>
                </w:tcPr>
                <w:p w14:paraId="0D763EB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废含油抹布采用废含油抹布回收桶（0.5m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），收集至临时危废贮存库暂存后，定期委托有资质单位外运处置</w:t>
                  </w:r>
                </w:p>
              </w:tc>
              <w:tc>
                <w:tcPr>
                  <w:tcW w:w="455" w:type="pct"/>
                  <w:tcBorders>
                    <w:tl2br w:val="nil"/>
                    <w:tr2bl w:val="nil"/>
                  </w:tcBorders>
                  <w:shd w:val="clear" w:color="auto" w:fill="auto"/>
                  <w:noWrap w:val="0"/>
                  <w:vAlign w:val="center"/>
                </w:tcPr>
                <w:p w14:paraId="384AFEF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11个</w:t>
                  </w:r>
                </w:p>
              </w:tc>
              <w:tc>
                <w:tcPr>
                  <w:tcW w:w="458" w:type="pct"/>
                  <w:tcBorders>
                    <w:tl2br w:val="nil"/>
                    <w:tr2bl w:val="nil"/>
                  </w:tcBorders>
                  <w:shd w:val="clear" w:color="auto" w:fill="auto"/>
                  <w:noWrap w:val="0"/>
                  <w:vAlign w:val="center"/>
                </w:tcPr>
                <w:p w14:paraId="7E1345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0.6 </w:t>
                  </w:r>
                </w:p>
              </w:tc>
              <w:tc>
                <w:tcPr>
                  <w:tcW w:w="1286" w:type="pct"/>
                  <w:tcBorders>
                    <w:tl2br w:val="nil"/>
                    <w:tr2bl w:val="nil"/>
                  </w:tcBorders>
                  <w:noWrap w:val="0"/>
                  <w:vAlign w:val="center"/>
                </w:tcPr>
                <w:p w14:paraId="1A79D7C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收集桶4个，容积约0.5m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，收集暂存于临时危废贮存库后，定期委托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65127C0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0.2 </w:t>
                  </w:r>
                </w:p>
              </w:tc>
            </w:tr>
            <w:tr w14:paraId="68D0B2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026E66D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30174E2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2112748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含油压裂砂</w:t>
                  </w:r>
                </w:p>
              </w:tc>
              <w:tc>
                <w:tcPr>
                  <w:tcW w:w="1390" w:type="pct"/>
                  <w:tcBorders>
                    <w:tl2br w:val="nil"/>
                    <w:tr2bl w:val="nil"/>
                  </w:tcBorders>
                  <w:shd w:val="clear" w:color="auto" w:fill="auto"/>
                  <w:noWrap w:val="0"/>
                  <w:vAlign w:val="center"/>
                </w:tcPr>
                <w:p w14:paraId="36B18CB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立即装袋、密封，全部收集至临时危废贮存库暂存后，最终交由有资质单位进行妥善处理。</w:t>
                  </w:r>
                </w:p>
              </w:tc>
              <w:tc>
                <w:tcPr>
                  <w:tcW w:w="455" w:type="pct"/>
                  <w:tcBorders>
                    <w:tl2br w:val="nil"/>
                    <w:tr2bl w:val="nil"/>
                  </w:tcBorders>
                  <w:shd w:val="clear" w:color="auto" w:fill="auto"/>
                  <w:noWrap w:val="0"/>
                  <w:vAlign w:val="center"/>
                </w:tcPr>
                <w:p w14:paraId="47F6191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6913B82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1.5</w:t>
                  </w:r>
                </w:p>
              </w:tc>
              <w:tc>
                <w:tcPr>
                  <w:tcW w:w="1286" w:type="pct"/>
                  <w:tcBorders>
                    <w:tl2br w:val="nil"/>
                    <w:tr2bl w:val="nil"/>
                  </w:tcBorders>
                  <w:noWrap w:val="0"/>
                  <w:vAlign w:val="center"/>
                </w:tcPr>
                <w:p w14:paraId="5F42525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立即装袋、密封，收集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0DCDBCD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0.5 </w:t>
                  </w:r>
                </w:p>
              </w:tc>
            </w:tr>
            <w:tr w14:paraId="7FB901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78AE152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478E79F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9C80D9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含油岩屑</w:t>
                  </w:r>
                </w:p>
              </w:tc>
              <w:tc>
                <w:tcPr>
                  <w:tcW w:w="1390" w:type="pct"/>
                  <w:tcBorders>
                    <w:tl2br w:val="nil"/>
                    <w:tr2bl w:val="nil"/>
                  </w:tcBorders>
                  <w:shd w:val="clear" w:color="auto" w:fill="auto"/>
                  <w:noWrap w:val="0"/>
                  <w:vAlign w:val="center"/>
                </w:tcPr>
                <w:p w14:paraId="2EB2151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含油压裂砂、含油岩屑产生后立即装袋、密封，全部由专用车辆运送至污油泥临时储存点暂存，最终交由有资质单位进行妥善处理。</w:t>
                  </w:r>
                </w:p>
              </w:tc>
              <w:tc>
                <w:tcPr>
                  <w:tcW w:w="455" w:type="pct"/>
                  <w:tcBorders>
                    <w:tl2br w:val="nil"/>
                    <w:tr2bl w:val="nil"/>
                  </w:tcBorders>
                  <w:shd w:val="clear" w:color="auto" w:fill="auto"/>
                  <w:noWrap w:val="0"/>
                  <w:vAlign w:val="center"/>
                </w:tcPr>
                <w:p w14:paraId="09A61A3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1BC69D4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1.5</w:t>
                  </w:r>
                </w:p>
              </w:tc>
              <w:tc>
                <w:tcPr>
                  <w:tcW w:w="1286" w:type="pct"/>
                  <w:tcBorders>
                    <w:tl2br w:val="nil"/>
                    <w:tr2bl w:val="nil"/>
                  </w:tcBorders>
                  <w:noWrap w:val="0"/>
                  <w:vAlign w:val="center"/>
                </w:tcPr>
                <w:p w14:paraId="030AAF7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收集袋若干，收集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2A90F5E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0.5 </w:t>
                  </w:r>
                </w:p>
              </w:tc>
            </w:tr>
            <w:tr w14:paraId="0DDD11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4AAE959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99B98D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4F3C95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临时危废贮存库</w:t>
                  </w:r>
                </w:p>
              </w:tc>
              <w:tc>
                <w:tcPr>
                  <w:tcW w:w="1390" w:type="pct"/>
                  <w:tcBorders>
                    <w:tl2br w:val="nil"/>
                    <w:tr2bl w:val="nil"/>
                  </w:tcBorders>
                  <w:shd w:val="clear" w:color="auto" w:fill="auto"/>
                  <w:noWrap w:val="0"/>
                  <w:vAlign w:val="center"/>
                </w:tcPr>
                <w:p w14:paraId="3710A6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10m</w:t>
                  </w:r>
                  <w:r>
                    <w:rPr>
                      <w:rFonts w:hint="default" w:ascii="Times New Roman" w:hAnsi="Times New Roman" w:eastAsia="宋体" w:cs="Times New Roman"/>
                      <w:b w:val="0"/>
                      <w:bCs w:val="0"/>
                      <w:color w:val="auto"/>
                      <w:spacing w:val="0"/>
                      <w:sz w:val="21"/>
                      <w:szCs w:val="21"/>
                      <w:highlight w:val="none"/>
                      <w:vertAlign w:val="superscript"/>
                      <w:lang w:val="en-US" w:eastAsia="zh-CN"/>
                    </w:rPr>
                    <w:t>2</w:t>
                  </w:r>
                  <w:r>
                    <w:rPr>
                      <w:rFonts w:hint="default" w:ascii="Times New Roman" w:hAnsi="Times New Roman" w:eastAsia="宋体" w:cs="Times New Roman"/>
                      <w:b w:val="0"/>
                      <w:bCs w:val="0"/>
                      <w:color w:val="auto"/>
                      <w:spacing w:val="0"/>
                      <w:sz w:val="21"/>
                      <w:szCs w:val="21"/>
                      <w:highlight w:val="none"/>
                      <w:lang w:val="en-US" w:eastAsia="zh-CN"/>
                    </w:rPr>
                    <w:t>（JH2P11、彬6、JH2P42、JH2P44、良平101H、</w:t>
                  </w:r>
                  <w:r>
                    <w:rPr>
                      <w:rFonts w:hint="eastAsia" w:ascii="Times New Roman" w:hAnsi="Times New Roman" w:eastAsia="宋体" w:cs="Times New Roman"/>
                      <w:b w:val="0"/>
                      <w:bCs w:val="0"/>
                      <w:color w:val="auto"/>
                      <w:spacing w:val="0"/>
                      <w:sz w:val="21"/>
                      <w:szCs w:val="21"/>
                      <w:highlight w:val="none"/>
                      <w:lang w:val="en-US" w:eastAsia="zh-CN"/>
                    </w:rPr>
                    <w:t>长探105</w:t>
                  </w:r>
                  <w:r>
                    <w:rPr>
                      <w:rFonts w:hint="default" w:ascii="Times New Roman" w:hAnsi="Times New Roman" w:eastAsia="宋体" w:cs="Times New Roman"/>
                      <w:b w:val="0"/>
                      <w:bCs w:val="0"/>
                      <w:color w:val="auto"/>
                      <w:spacing w:val="0"/>
                      <w:sz w:val="21"/>
                      <w:szCs w:val="21"/>
                      <w:highlight w:val="none"/>
                      <w:lang w:val="en-US" w:eastAsia="zh-CN"/>
                    </w:rPr>
                    <w:t>、长探105、长探106、</w:t>
                  </w:r>
                  <w:r>
                    <w:rPr>
                      <w:rFonts w:hint="eastAsia" w:ascii="Times New Roman" w:hAnsi="Times New Roman" w:eastAsia="宋体" w:cs="Times New Roman"/>
                      <w:b w:val="0"/>
                      <w:bCs w:val="0"/>
                      <w:color w:val="auto"/>
                      <w:spacing w:val="0"/>
                      <w:sz w:val="21"/>
                      <w:szCs w:val="21"/>
                      <w:highlight w:val="none"/>
                      <w:lang w:val="en-US" w:eastAsia="zh-CN"/>
                    </w:rPr>
                    <w:t>JH2P42</w:t>
                  </w:r>
                  <w:r>
                    <w:rPr>
                      <w:rFonts w:hint="default" w:ascii="Times New Roman" w:hAnsi="Times New Roman" w:eastAsia="宋体" w:cs="Times New Roman"/>
                      <w:b w:val="0"/>
                      <w:bCs w:val="0"/>
                      <w:color w:val="auto"/>
                      <w:spacing w:val="0"/>
                      <w:sz w:val="21"/>
                      <w:szCs w:val="21"/>
                      <w:highlight w:val="none"/>
                      <w:lang w:val="en-US" w:eastAsia="zh-CN"/>
                    </w:rPr>
                    <w:t>、宫河1H、宫河101H）</w:t>
                  </w:r>
                </w:p>
              </w:tc>
              <w:tc>
                <w:tcPr>
                  <w:tcW w:w="455" w:type="pct"/>
                  <w:tcBorders>
                    <w:tl2br w:val="nil"/>
                    <w:tr2bl w:val="nil"/>
                  </w:tcBorders>
                  <w:shd w:val="clear" w:color="auto" w:fill="auto"/>
                  <w:noWrap w:val="0"/>
                  <w:vAlign w:val="center"/>
                </w:tcPr>
                <w:p w14:paraId="23BB409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11座</w:t>
                  </w:r>
                </w:p>
              </w:tc>
              <w:tc>
                <w:tcPr>
                  <w:tcW w:w="458" w:type="pct"/>
                  <w:tcBorders>
                    <w:tl2br w:val="nil"/>
                    <w:tr2bl w:val="nil"/>
                  </w:tcBorders>
                  <w:shd w:val="clear" w:color="auto" w:fill="auto"/>
                  <w:noWrap w:val="0"/>
                  <w:vAlign w:val="center"/>
                </w:tcPr>
                <w:p w14:paraId="554548B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5.5 </w:t>
                  </w:r>
                </w:p>
              </w:tc>
              <w:tc>
                <w:tcPr>
                  <w:tcW w:w="1286" w:type="pct"/>
                  <w:tcBorders>
                    <w:tl2br w:val="nil"/>
                    <w:tr2bl w:val="nil"/>
                  </w:tcBorders>
                  <w:noWrap w:val="0"/>
                  <w:vAlign w:val="center"/>
                </w:tcPr>
                <w:p w14:paraId="029074E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设置临时危废贮存库4座，10m</w:t>
                  </w:r>
                  <w:r>
                    <w:rPr>
                      <w:rFonts w:hint="default" w:ascii="Times New Roman" w:hAnsi="Times New Roman" w:eastAsia="宋体" w:cs="Times New Roman"/>
                      <w:b w:val="0"/>
                      <w:bCs w:val="0"/>
                      <w:color w:val="auto"/>
                      <w:spacing w:val="0"/>
                      <w:sz w:val="21"/>
                      <w:szCs w:val="21"/>
                      <w:highlight w:val="none"/>
                      <w:vertAlign w:val="superscript"/>
                      <w:lang w:val="en-US" w:eastAsia="zh-CN"/>
                    </w:rPr>
                    <w:t>2</w:t>
                  </w:r>
                </w:p>
              </w:tc>
              <w:tc>
                <w:tcPr>
                  <w:tcW w:w="703" w:type="dxa"/>
                  <w:tcBorders>
                    <w:tl2br w:val="nil"/>
                    <w:tr2bl w:val="nil"/>
                  </w:tcBorders>
                  <w:noWrap w:val="0"/>
                  <w:vAlign w:val="center"/>
                </w:tcPr>
                <w:p w14:paraId="360E8E8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1.8 </w:t>
                  </w:r>
                </w:p>
              </w:tc>
            </w:tr>
            <w:tr w14:paraId="6F94C5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5148F98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0A1ABE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231FEC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生活垃圾</w:t>
                  </w:r>
                </w:p>
              </w:tc>
              <w:tc>
                <w:tcPr>
                  <w:tcW w:w="1390" w:type="pct"/>
                  <w:tcBorders>
                    <w:tl2br w:val="nil"/>
                    <w:tr2bl w:val="nil"/>
                  </w:tcBorders>
                  <w:shd w:val="clear" w:color="auto" w:fill="auto"/>
                  <w:noWrap w:val="0"/>
                  <w:vAlign w:val="center"/>
                </w:tcPr>
                <w:p w14:paraId="1BB5E11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生活垃圾桶收集后，运至政府部门指定地点处置</w:t>
                  </w:r>
                </w:p>
              </w:tc>
              <w:tc>
                <w:tcPr>
                  <w:tcW w:w="455" w:type="pct"/>
                  <w:tcBorders>
                    <w:tl2br w:val="nil"/>
                    <w:tr2bl w:val="nil"/>
                  </w:tcBorders>
                  <w:shd w:val="clear" w:color="auto" w:fill="auto"/>
                  <w:noWrap w:val="0"/>
                  <w:vAlign w:val="center"/>
                </w:tcPr>
                <w:p w14:paraId="236AADB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11个</w:t>
                  </w:r>
                </w:p>
              </w:tc>
              <w:tc>
                <w:tcPr>
                  <w:tcW w:w="458" w:type="pct"/>
                  <w:tcBorders>
                    <w:tl2br w:val="nil"/>
                    <w:tr2bl w:val="nil"/>
                  </w:tcBorders>
                  <w:shd w:val="clear" w:color="auto" w:fill="auto"/>
                  <w:noWrap w:val="0"/>
                  <w:vAlign w:val="center"/>
                </w:tcPr>
                <w:p w14:paraId="02E1BD8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 xml:space="preserve">0.1 </w:t>
                  </w:r>
                </w:p>
              </w:tc>
              <w:tc>
                <w:tcPr>
                  <w:tcW w:w="1286" w:type="pct"/>
                  <w:tcBorders>
                    <w:tl2br w:val="nil"/>
                    <w:tr2bl w:val="nil"/>
                  </w:tcBorders>
                  <w:noWrap w:val="0"/>
                  <w:vAlign w:val="center"/>
                </w:tcPr>
                <w:p w14:paraId="3FE114A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生活垃圾收集桶4个</w:t>
                  </w:r>
                </w:p>
              </w:tc>
              <w:tc>
                <w:tcPr>
                  <w:tcW w:w="703" w:type="dxa"/>
                  <w:tcBorders>
                    <w:tl2br w:val="nil"/>
                    <w:tr2bl w:val="nil"/>
                  </w:tcBorders>
                  <w:noWrap w:val="0"/>
                  <w:vAlign w:val="center"/>
                </w:tcPr>
                <w:p w14:paraId="3BBA725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0.05 </w:t>
                  </w:r>
                </w:p>
              </w:tc>
            </w:tr>
            <w:tr w14:paraId="17BCBC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56" w:type="pct"/>
                  <w:tcBorders>
                    <w:tl2br w:val="nil"/>
                    <w:tr2bl w:val="nil"/>
                  </w:tcBorders>
                  <w:noWrap w:val="0"/>
                  <w:vAlign w:val="center"/>
                </w:tcPr>
                <w:p w14:paraId="00D99F4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5</w:t>
                  </w:r>
                </w:p>
              </w:tc>
              <w:tc>
                <w:tcPr>
                  <w:tcW w:w="727" w:type="pct"/>
                  <w:gridSpan w:val="2"/>
                  <w:tcBorders>
                    <w:tl2br w:val="nil"/>
                    <w:tr2bl w:val="nil"/>
                  </w:tcBorders>
                  <w:shd w:val="clear" w:color="auto" w:fill="auto"/>
                  <w:noWrap w:val="0"/>
                  <w:vAlign w:val="center"/>
                </w:tcPr>
                <w:p w14:paraId="39FE5E4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防渗</w:t>
                  </w:r>
                </w:p>
              </w:tc>
              <w:tc>
                <w:tcPr>
                  <w:tcW w:w="1390" w:type="pct"/>
                  <w:tcBorders>
                    <w:tl2br w:val="nil"/>
                    <w:tr2bl w:val="nil"/>
                  </w:tcBorders>
                  <w:shd w:val="clear" w:color="auto" w:fill="auto"/>
                  <w:noWrap w:val="0"/>
                  <w:vAlign w:val="center"/>
                </w:tcPr>
                <w:p w14:paraId="663D1B3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p>
              </w:tc>
              <w:tc>
                <w:tcPr>
                  <w:tcW w:w="455" w:type="pct"/>
                  <w:tcBorders>
                    <w:tl2br w:val="nil"/>
                    <w:tr2bl w:val="nil"/>
                  </w:tcBorders>
                  <w:noWrap w:val="0"/>
                  <w:vAlign w:val="center"/>
                </w:tcPr>
                <w:p w14:paraId="0DFA4E8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noWrap w:val="0"/>
                  <w:vAlign w:val="center"/>
                </w:tcPr>
                <w:p w14:paraId="0167845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Cs/>
                      <w:color w:val="auto"/>
                      <w:spacing w:val="10"/>
                      <w:lang w:val="en-US" w:eastAsia="zh-CN"/>
                    </w:rPr>
                    <w:t>122.3</w:t>
                  </w:r>
                </w:p>
              </w:tc>
              <w:tc>
                <w:tcPr>
                  <w:tcW w:w="1286" w:type="pct"/>
                  <w:tcBorders>
                    <w:tl2br w:val="nil"/>
                    <w:tr2bl w:val="nil"/>
                  </w:tcBorders>
                  <w:noWrap w:val="0"/>
                  <w:vAlign w:val="center"/>
                </w:tcPr>
                <w:p w14:paraId="664359A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p>
              </w:tc>
              <w:tc>
                <w:tcPr>
                  <w:tcW w:w="703" w:type="dxa"/>
                  <w:tcBorders>
                    <w:tl2br w:val="nil"/>
                    <w:tr2bl w:val="nil"/>
                  </w:tcBorders>
                  <w:noWrap w:val="0"/>
                  <w:vAlign w:val="center"/>
                </w:tcPr>
                <w:p w14:paraId="608AD65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38.9 </w:t>
                  </w:r>
                </w:p>
              </w:tc>
            </w:tr>
            <w:tr w14:paraId="4172EF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tcBorders>
                    <w:tl2br w:val="nil"/>
                    <w:tr2bl w:val="nil"/>
                  </w:tcBorders>
                  <w:noWrap w:val="0"/>
                  <w:vAlign w:val="center"/>
                </w:tcPr>
                <w:p w14:paraId="53E6151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6</w:t>
                  </w:r>
                </w:p>
              </w:tc>
              <w:tc>
                <w:tcPr>
                  <w:tcW w:w="727" w:type="pct"/>
                  <w:gridSpan w:val="2"/>
                  <w:tcBorders>
                    <w:tl2br w:val="nil"/>
                    <w:tr2bl w:val="nil"/>
                  </w:tcBorders>
                  <w:shd w:val="clear" w:color="auto" w:fill="auto"/>
                  <w:noWrap w:val="0"/>
                  <w:vAlign w:val="center"/>
                </w:tcPr>
                <w:p w14:paraId="17D1FE0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环境风险</w:t>
                  </w:r>
                </w:p>
              </w:tc>
              <w:tc>
                <w:tcPr>
                  <w:tcW w:w="1390" w:type="pct"/>
                  <w:tcBorders>
                    <w:tl2br w:val="nil"/>
                    <w:tr2bl w:val="nil"/>
                  </w:tcBorders>
                  <w:shd w:val="clear" w:color="auto" w:fill="auto"/>
                  <w:noWrap w:val="0"/>
                  <w:vAlign w:val="center"/>
                </w:tcPr>
                <w:p w14:paraId="56D780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井场配备灭火器、沙土；井场设置30m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污油罐（兼作事故罐），井场四周设置不低于20cm高土围堰，且井场大门处修建挡土梁；开工建设前，井场单独编制突发环境事件应急预案。</w:t>
                  </w:r>
                </w:p>
              </w:tc>
              <w:tc>
                <w:tcPr>
                  <w:tcW w:w="455" w:type="pct"/>
                  <w:tcBorders>
                    <w:tl2br w:val="nil"/>
                    <w:tr2bl w:val="nil"/>
                  </w:tcBorders>
                  <w:noWrap w:val="0"/>
                  <w:vAlign w:val="center"/>
                </w:tcPr>
                <w:p w14:paraId="7A6E736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noWrap w:val="0"/>
                  <w:vAlign w:val="center"/>
                </w:tcPr>
                <w:p w14:paraId="460A5A3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82.5</w:t>
                  </w:r>
                </w:p>
              </w:tc>
              <w:tc>
                <w:tcPr>
                  <w:tcW w:w="1286" w:type="pct"/>
                  <w:tcBorders>
                    <w:tl2br w:val="nil"/>
                    <w:tr2bl w:val="nil"/>
                  </w:tcBorders>
                  <w:noWrap w:val="0"/>
                  <w:vAlign w:val="center"/>
                </w:tcPr>
                <w:p w14:paraId="7911573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Cs/>
                      <w:color w:val="auto"/>
                      <w:spacing w:val="10"/>
                      <w:sz w:val="21"/>
                      <w:szCs w:val="21"/>
                      <w:lang w:val="en-US" w:eastAsia="zh-CN"/>
                    </w:rPr>
                    <w:t>井场配备灭火器、沙土，</w:t>
                  </w:r>
                  <w:r>
                    <w:rPr>
                      <w:rFonts w:hint="default" w:ascii="Times New Roman" w:hAnsi="Times New Roman" w:cs="Times New Roman" w:eastAsiaTheme="minorEastAsia"/>
                      <w:color w:val="0000FF"/>
                      <w:sz w:val="21"/>
                      <w:szCs w:val="21"/>
                      <w:lang w:val="en-US" w:eastAsia="zh-CN"/>
                    </w:rPr>
                    <w:t>防渗布四周设20cm高围堰，井场周围设20cm的土围堰</w:t>
                  </w:r>
                  <w:r>
                    <w:rPr>
                      <w:rFonts w:hint="default" w:ascii="Times New Roman" w:hAnsi="Times New Roman" w:eastAsia="宋体" w:cs="Times New Roman"/>
                      <w:bCs/>
                      <w:color w:val="auto"/>
                      <w:spacing w:val="10"/>
                      <w:sz w:val="21"/>
                      <w:szCs w:val="21"/>
                      <w:lang w:val="en-US" w:eastAsia="zh-CN"/>
                    </w:rPr>
                    <w:t>，设置了30m</w:t>
                  </w:r>
                  <w:r>
                    <w:rPr>
                      <w:rFonts w:hint="default" w:ascii="Times New Roman" w:hAnsi="Times New Roman" w:eastAsia="宋体" w:cs="Times New Roman"/>
                      <w:bCs/>
                      <w:color w:val="auto"/>
                      <w:spacing w:val="10"/>
                      <w:sz w:val="21"/>
                      <w:szCs w:val="21"/>
                      <w:vertAlign w:val="superscript"/>
                      <w:lang w:val="en-US" w:eastAsia="zh-CN"/>
                    </w:rPr>
                    <w:t>3</w:t>
                  </w:r>
                  <w:r>
                    <w:rPr>
                      <w:rFonts w:hint="default" w:ascii="Times New Roman" w:hAnsi="Times New Roman" w:eastAsia="宋体" w:cs="Times New Roman"/>
                      <w:bCs/>
                      <w:color w:val="auto"/>
                      <w:spacing w:val="10"/>
                      <w:sz w:val="21"/>
                      <w:szCs w:val="21"/>
                      <w:lang w:val="en-US" w:eastAsia="zh-CN"/>
                    </w:rPr>
                    <w:t>污油罐（兼作事故罐），且井场大门处修建挡土梁，已编制突发环境事件应急预案，并于2023年1月11日取得了庆阳市生态环境局宁县分局预案备案文件，并按照预案中相关应急措施进行定期演练。该应急预案修编日期为2026年1月11日，在本项目验收时间范围内</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0000FF"/>
                      <w:sz w:val="21"/>
                      <w:szCs w:val="21"/>
                      <w:highlight w:val="none"/>
                      <w:lang w:val="en-US" w:eastAsia="zh-CN"/>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tc>
              <w:tc>
                <w:tcPr>
                  <w:tcW w:w="703" w:type="dxa"/>
                  <w:tcBorders>
                    <w:tl2br w:val="nil"/>
                    <w:tr2bl w:val="nil"/>
                  </w:tcBorders>
                  <w:noWrap w:val="0"/>
                  <w:vAlign w:val="center"/>
                </w:tcPr>
                <w:p w14:paraId="55A46A4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26.3 </w:t>
                  </w:r>
                </w:p>
              </w:tc>
            </w:tr>
            <w:tr w14:paraId="1E4783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tcBorders>
                    <w:tl2br w:val="nil"/>
                    <w:tr2bl w:val="nil"/>
                  </w:tcBorders>
                  <w:noWrap w:val="0"/>
                  <w:vAlign w:val="center"/>
                </w:tcPr>
                <w:p w14:paraId="7EB374A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7</w:t>
                  </w:r>
                </w:p>
              </w:tc>
              <w:tc>
                <w:tcPr>
                  <w:tcW w:w="727" w:type="pct"/>
                  <w:gridSpan w:val="2"/>
                  <w:tcBorders>
                    <w:tl2br w:val="nil"/>
                    <w:tr2bl w:val="nil"/>
                  </w:tcBorders>
                  <w:shd w:val="clear" w:color="auto" w:fill="auto"/>
                  <w:noWrap w:val="0"/>
                  <w:vAlign w:val="center"/>
                </w:tcPr>
                <w:p w14:paraId="5332097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生态恢复</w:t>
                  </w:r>
                </w:p>
              </w:tc>
              <w:tc>
                <w:tcPr>
                  <w:tcW w:w="1390" w:type="pct"/>
                  <w:tcBorders>
                    <w:tl2br w:val="nil"/>
                    <w:tr2bl w:val="nil"/>
                  </w:tcBorders>
                  <w:shd w:val="clear" w:color="auto" w:fill="auto"/>
                  <w:noWrap w:val="0"/>
                  <w:vAlign w:val="center"/>
                </w:tcPr>
                <w:p w14:paraId="455BF1D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采取工程措施和植被绿化措施，加快完成井场的绿化恢复措施，减少水土流失量</w:t>
                  </w:r>
                </w:p>
              </w:tc>
              <w:tc>
                <w:tcPr>
                  <w:tcW w:w="455" w:type="pct"/>
                  <w:tcBorders>
                    <w:tl2br w:val="nil"/>
                    <w:tr2bl w:val="nil"/>
                  </w:tcBorders>
                  <w:noWrap w:val="0"/>
                  <w:vAlign w:val="center"/>
                </w:tcPr>
                <w:p w14:paraId="2440CB1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noWrap w:val="0"/>
                  <w:vAlign w:val="center"/>
                </w:tcPr>
                <w:p w14:paraId="71E23E9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Cs/>
                      <w:color w:val="auto"/>
                      <w:spacing w:val="10"/>
                      <w:lang w:val="en-US" w:eastAsia="zh-CN"/>
                    </w:rPr>
                    <w:t xml:space="preserve">192.5 </w:t>
                  </w:r>
                </w:p>
              </w:tc>
              <w:tc>
                <w:tcPr>
                  <w:tcW w:w="1286" w:type="pct"/>
                  <w:tcBorders>
                    <w:tl2br w:val="nil"/>
                    <w:tr2bl w:val="nil"/>
                  </w:tcBorders>
                  <w:noWrap w:val="0"/>
                  <w:vAlign w:val="center"/>
                </w:tcPr>
                <w:p w14:paraId="7CA8584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JH2P42、JH2P44、良平101H</w:t>
                  </w:r>
                  <w:r>
                    <w:rPr>
                      <w:rFonts w:hint="eastAsia" w:ascii="Times New Roman" w:hAnsi="Times New Roman" w:eastAsia="宋体" w:cs="Times New Roman"/>
                      <w:b w:val="0"/>
                      <w:bCs w:val="0"/>
                      <w:color w:val="auto"/>
                      <w:spacing w:val="0"/>
                      <w:sz w:val="21"/>
                      <w:szCs w:val="21"/>
                      <w:highlight w:val="none"/>
                      <w:lang w:val="en-US" w:eastAsia="zh-CN"/>
                    </w:rPr>
                    <w:t>井场</w:t>
                  </w:r>
                  <w:r>
                    <w:rPr>
                      <w:rFonts w:hint="default" w:ascii="Times New Roman" w:hAnsi="Times New Roman" w:eastAsia="宋体" w:cs="Times New Roman"/>
                      <w:b w:val="0"/>
                      <w:bCs w:val="0"/>
                      <w:color w:val="auto"/>
                      <w:spacing w:val="0"/>
                      <w:sz w:val="21"/>
                      <w:szCs w:val="21"/>
                      <w:highlight w:val="none"/>
                      <w:lang w:val="en-US" w:eastAsia="zh-CN"/>
                    </w:rPr>
                    <w:t>已临时关井，扰动临时占地已完成平整并进行了植被恢复，减少水土流失量</w:t>
                  </w:r>
                  <w:r>
                    <w:rPr>
                      <w:rFonts w:hint="eastAsia" w:ascii="Times New Roman" w:hAnsi="Times New Roman" w:eastAsia="宋体" w:cs="Times New Roman"/>
                      <w:b w:val="0"/>
                      <w:bCs w:val="0"/>
                      <w:color w:val="auto"/>
                      <w:spacing w:val="0"/>
                      <w:sz w:val="21"/>
                      <w:szCs w:val="21"/>
                      <w:highlight w:val="none"/>
                      <w:lang w:val="en-US" w:eastAsia="zh-CN"/>
                    </w:rPr>
                    <w:t>；长探105已永久封井，井场已平整并进行了</w:t>
                  </w:r>
                  <w:r>
                    <w:rPr>
                      <w:rFonts w:hint="default" w:ascii="Times New Roman" w:hAnsi="Times New Roman" w:eastAsia="宋体" w:cs="Times New Roman"/>
                      <w:b w:val="0"/>
                      <w:bCs w:val="0"/>
                      <w:color w:val="auto"/>
                      <w:spacing w:val="0"/>
                      <w:sz w:val="21"/>
                      <w:szCs w:val="21"/>
                      <w:highlight w:val="none"/>
                      <w:lang w:val="en-US" w:eastAsia="zh-CN"/>
                    </w:rPr>
                    <w:t>植被恢复</w:t>
                  </w:r>
                  <w:r>
                    <w:rPr>
                      <w:rFonts w:hint="eastAsia" w:ascii="Times New Roman" w:hAnsi="Times New Roman" w:eastAsia="宋体" w:cs="Times New Roman"/>
                      <w:b w:val="0"/>
                      <w:bCs w:val="0"/>
                      <w:color w:val="auto"/>
                      <w:spacing w:val="0"/>
                      <w:sz w:val="21"/>
                      <w:szCs w:val="21"/>
                      <w:highlight w:val="none"/>
                      <w:lang w:val="en-US" w:eastAsia="zh-CN"/>
                    </w:rPr>
                    <w:t>。</w:t>
                  </w:r>
                </w:p>
              </w:tc>
              <w:tc>
                <w:tcPr>
                  <w:tcW w:w="703" w:type="dxa"/>
                  <w:tcBorders>
                    <w:tl2br w:val="nil"/>
                    <w:tr2bl w:val="nil"/>
                  </w:tcBorders>
                  <w:noWrap w:val="0"/>
                  <w:vAlign w:val="center"/>
                </w:tcPr>
                <w:p w14:paraId="6D9B6D9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61.3 </w:t>
                  </w:r>
                </w:p>
              </w:tc>
            </w:tr>
            <w:tr w14:paraId="502EBC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74" w:type="pct"/>
                  <w:gridSpan w:val="4"/>
                  <w:tcBorders>
                    <w:tl2br w:val="nil"/>
                    <w:tr2bl w:val="nil"/>
                  </w:tcBorders>
                  <w:noWrap w:val="0"/>
                  <w:vAlign w:val="center"/>
                </w:tcPr>
                <w:p w14:paraId="456E037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合计</w:t>
                  </w:r>
                </w:p>
              </w:tc>
              <w:tc>
                <w:tcPr>
                  <w:tcW w:w="455" w:type="pct"/>
                  <w:tcBorders>
                    <w:tl2br w:val="nil"/>
                    <w:tr2bl w:val="nil"/>
                  </w:tcBorders>
                  <w:noWrap w:val="0"/>
                  <w:vAlign w:val="center"/>
                </w:tcPr>
                <w:p w14:paraId="4868B2C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58" w:type="pct"/>
                  <w:tcBorders>
                    <w:tl2br w:val="nil"/>
                    <w:tr2bl w:val="nil"/>
                  </w:tcBorders>
                  <w:noWrap w:val="0"/>
                  <w:vAlign w:val="center"/>
                </w:tcPr>
                <w:p w14:paraId="67A9249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Cs/>
                      <w:color w:val="auto"/>
                      <w:spacing w:val="10"/>
                      <w:lang w:val="en-US" w:eastAsia="zh-CN"/>
                    </w:rPr>
                    <w:t xml:space="preserve">695.6 </w:t>
                  </w:r>
                </w:p>
              </w:tc>
              <w:tc>
                <w:tcPr>
                  <w:tcW w:w="1286" w:type="pct"/>
                  <w:tcBorders>
                    <w:tl2br w:val="nil"/>
                    <w:tr2bl w:val="nil"/>
                  </w:tcBorders>
                  <w:noWrap w:val="0"/>
                  <w:vAlign w:val="center"/>
                </w:tcPr>
                <w:p w14:paraId="52147E1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24" w:type="pct"/>
                  <w:tcBorders>
                    <w:tl2br w:val="nil"/>
                    <w:tr2bl w:val="nil"/>
                  </w:tcBorders>
                  <w:noWrap w:val="0"/>
                  <w:vAlign w:val="center"/>
                </w:tcPr>
                <w:p w14:paraId="79A1D66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199.35</w:t>
                  </w:r>
                </w:p>
              </w:tc>
            </w:tr>
            <w:tr w14:paraId="7EFC2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8"/>
                  <w:tcBorders>
                    <w:tl2br w:val="nil"/>
                    <w:tr2bl w:val="nil"/>
                  </w:tcBorders>
                  <w:noWrap w:val="0"/>
                  <w:vAlign w:val="center"/>
                </w:tcPr>
                <w:p w14:paraId="4D7F786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备注：</w:t>
                  </w:r>
                  <w:r>
                    <w:rPr>
                      <w:rFonts w:hint="eastAsia" w:ascii="Times New Roman" w:hAnsi="Times New Roman" w:eastAsia="宋体" w:cs="Times New Roman"/>
                      <w:color w:val="auto"/>
                      <w:sz w:val="21"/>
                      <w:szCs w:val="21"/>
                      <w:highlight w:val="none"/>
                      <w:lang w:val="en-US" w:eastAsia="zh-CN"/>
                    </w:rPr>
                    <w:t>施工期</w:t>
                  </w:r>
                  <w:r>
                    <w:rPr>
                      <w:rFonts w:hint="default" w:ascii="Times New Roman" w:hAnsi="Times New Roman" w:eastAsia="宋体" w:cs="Times New Roman"/>
                      <w:color w:val="auto"/>
                      <w:sz w:val="21"/>
                      <w:szCs w:val="21"/>
                      <w:highlight w:val="none"/>
                      <w:lang w:val="en-US" w:eastAsia="zh-CN"/>
                    </w:rPr>
                    <w:t>未产生建筑垃圾；费用降低。本项目井深变</w:t>
                  </w:r>
                  <w:r>
                    <w:rPr>
                      <w:rFonts w:hint="eastAsia" w:ascii="Times New Roman" w:hAnsi="Times New Roman" w:eastAsia="宋体" w:cs="Times New Roman"/>
                      <w:color w:val="auto"/>
                      <w:sz w:val="21"/>
                      <w:szCs w:val="21"/>
                      <w:highlight w:val="none"/>
                      <w:lang w:val="en-US" w:eastAsia="zh-CN"/>
                    </w:rPr>
                    <w:t>浅</w:t>
                  </w:r>
                  <w:r>
                    <w:rPr>
                      <w:rFonts w:hint="default" w:ascii="Times New Roman" w:hAnsi="Times New Roman" w:eastAsia="宋体" w:cs="Times New Roman"/>
                      <w:color w:val="auto"/>
                      <w:sz w:val="21"/>
                      <w:szCs w:val="21"/>
                      <w:highlight w:val="none"/>
                      <w:lang w:val="en-US" w:eastAsia="zh-CN"/>
                    </w:rPr>
                    <w:t>，导致施工废水、钻井泥浆、岩屑产生量较环评阶段估计值</w:t>
                  </w:r>
                  <w:r>
                    <w:rPr>
                      <w:rFonts w:hint="eastAsia" w:ascii="Times New Roman" w:hAnsi="Times New Roman" w:eastAsia="宋体" w:cs="Times New Roman"/>
                      <w:color w:val="auto"/>
                      <w:sz w:val="21"/>
                      <w:szCs w:val="21"/>
                      <w:highlight w:val="none"/>
                      <w:lang w:val="en-US" w:eastAsia="zh-CN"/>
                    </w:rPr>
                    <w:t>减少</w:t>
                  </w:r>
                  <w:r>
                    <w:rPr>
                      <w:rFonts w:hint="default" w:ascii="Times New Roman" w:hAnsi="Times New Roman" w:eastAsia="宋体" w:cs="Times New Roman"/>
                      <w:color w:val="auto"/>
                      <w:sz w:val="21"/>
                      <w:szCs w:val="21"/>
                      <w:highlight w:val="none"/>
                      <w:lang w:val="en-US" w:eastAsia="zh-CN"/>
                    </w:rPr>
                    <w:t>，导致处置费用</w:t>
                  </w:r>
                  <w:r>
                    <w:rPr>
                      <w:rFonts w:hint="eastAsia" w:ascii="Times New Roman" w:hAnsi="Times New Roman" w:eastAsia="宋体" w:cs="Times New Roman"/>
                      <w:color w:val="auto"/>
                      <w:sz w:val="21"/>
                      <w:szCs w:val="21"/>
                      <w:highlight w:val="none"/>
                      <w:lang w:val="en-US" w:eastAsia="zh-CN"/>
                    </w:rPr>
                    <w:t>降低</w:t>
                  </w:r>
                  <w:r>
                    <w:rPr>
                      <w:rFonts w:hint="default" w:ascii="Times New Roman" w:hAnsi="Times New Roman" w:eastAsia="宋体" w:cs="Times New Roman"/>
                      <w:color w:val="auto"/>
                      <w:sz w:val="21"/>
                      <w:szCs w:val="21"/>
                      <w:highlight w:val="none"/>
                      <w:lang w:val="en-US" w:eastAsia="zh-CN"/>
                    </w:rPr>
                    <w:t>；但由于建设单位施工部署发生变化，导致环评批复了的11口探井完工</w:t>
                  </w:r>
                  <w:r>
                    <w:rPr>
                      <w:rFonts w:hint="eastAsia"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lang w:val="en-US" w:eastAsia="zh-CN"/>
                    </w:rPr>
                    <w:t>口，本次验收针对</w:t>
                  </w:r>
                  <w:r>
                    <w:rPr>
                      <w:rFonts w:hint="eastAsia"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lang w:val="en-US" w:eastAsia="zh-CN"/>
                    </w:rPr>
                    <w:t>口探井进行。综上，总投资及环保投资均减少。</w:t>
                  </w:r>
                </w:p>
              </w:tc>
            </w:tr>
          </w:tbl>
          <w:p w14:paraId="425341F7">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6703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522" w:type="dxa"/>
          </w:tcPr>
          <w:p w14:paraId="0091EB6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4.6与项目有关的生态破坏和污染物排放、主要环境问题及环境保护措施</w:t>
            </w:r>
          </w:p>
          <w:p w14:paraId="4D95977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本项目建设内容仅为钻井和试</w:t>
            </w:r>
            <w:r>
              <w:rPr>
                <w:rFonts w:hint="eastAsia" w:ascii="Times New Roman" w:hAnsi="Times New Roman" w:eastAsia="宋体" w:cs="Times New Roman"/>
                <w:b w:val="0"/>
                <w:bCs w:val="0"/>
                <w:color w:val="auto"/>
                <w:spacing w:val="0"/>
                <w:w w:val="100"/>
                <w:sz w:val="24"/>
                <w:szCs w:val="24"/>
                <w:highlight w:val="none"/>
                <w:lang w:val="en-US" w:eastAsia="zh-CN" w:bidi="ar-SA"/>
              </w:rPr>
              <w:t>油、气</w:t>
            </w:r>
            <w:r>
              <w:rPr>
                <w:rFonts w:hint="default" w:ascii="Times New Roman" w:hAnsi="Times New Roman" w:eastAsia="宋体" w:cs="Times New Roman"/>
                <w:b w:val="0"/>
                <w:bCs w:val="0"/>
                <w:color w:val="auto"/>
                <w:spacing w:val="0"/>
                <w:w w:val="100"/>
                <w:sz w:val="24"/>
                <w:szCs w:val="24"/>
                <w:highlight w:val="none"/>
                <w:lang w:val="en-US" w:eastAsia="zh-CN" w:bidi="ar-SA"/>
              </w:rPr>
              <w:t>，只涉及施工期，无运营期，因此本次验收仅涉及施工期。</w:t>
            </w:r>
          </w:p>
          <w:p w14:paraId="0E65A83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4.6.1与项目有关的生态破坏和污染物排放</w:t>
            </w:r>
          </w:p>
          <w:p w14:paraId="4D334D8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w:t>
            </w:r>
            <w:r>
              <w:rPr>
                <w:rFonts w:hint="default" w:ascii="Times New Roman" w:hAnsi="Times New Roman" w:eastAsia="宋体" w:cs="Times New Roman"/>
                <w:b w:val="0"/>
                <w:bCs w:val="0"/>
                <w:color w:val="auto"/>
                <w:spacing w:val="0"/>
                <w:w w:val="100"/>
                <w:sz w:val="24"/>
                <w:szCs w:val="24"/>
                <w:highlight w:val="none"/>
                <w:lang w:val="en-US" w:eastAsia="zh-CN" w:bidi="ar-SA"/>
              </w:rPr>
              <w:t>施工期</w:t>
            </w:r>
          </w:p>
          <w:p w14:paraId="7FB8523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w:t>
            </w:r>
            <w:r>
              <w:rPr>
                <w:rFonts w:hint="default" w:ascii="Times New Roman" w:hAnsi="Times New Roman" w:eastAsia="宋体" w:cs="Times New Roman"/>
                <w:b w:val="0"/>
                <w:bCs w:val="0"/>
                <w:color w:val="auto"/>
                <w:spacing w:val="0"/>
                <w:w w:val="100"/>
                <w:sz w:val="24"/>
                <w:szCs w:val="24"/>
                <w:highlight w:val="none"/>
                <w:lang w:val="en-US" w:eastAsia="zh-CN" w:bidi="ar-SA"/>
              </w:rPr>
              <w:t>废气：扬尘、柴油机废气</w:t>
            </w:r>
            <w:r>
              <w:rPr>
                <w:rFonts w:hint="eastAsia" w:ascii="Times New Roman" w:hAnsi="Times New Roman" w:eastAsia="宋体" w:cs="Times New Roman"/>
                <w:b w:val="0"/>
                <w:bCs w:val="0"/>
                <w:color w:val="auto"/>
                <w:spacing w:val="0"/>
                <w:w w:val="100"/>
                <w:sz w:val="24"/>
                <w:szCs w:val="24"/>
                <w:highlight w:val="none"/>
                <w:lang w:val="en-US" w:eastAsia="zh-CN" w:bidi="ar-SA"/>
              </w:rPr>
              <w:t>、试油、试气伴生气及车辆废气</w:t>
            </w:r>
            <w:r>
              <w:rPr>
                <w:rFonts w:hint="default" w:ascii="Times New Roman" w:hAnsi="Times New Roman" w:eastAsia="宋体" w:cs="Times New Roman"/>
                <w:b w:val="0"/>
                <w:bCs w:val="0"/>
                <w:color w:val="auto"/>
                <w:spacing w:val="0"/>
                <w:w w:val="100"/>
                <w:sz w:val="24"/>
                <w:szCs w:val="24"/>
                <w:highlight w:val="none"/>
                <w:lang w:val="en-US" w:eastAsia="zh-CN" w:bidi="ar-SA"/>
              </w:rPr>
              <w:t>。</w:t>
            </w:r>
          </w:p>
          <w:p w14:paraId="515F6B5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w:t>
            </w:r>
            <w:r>
              <w:rPr>
                <w:rFonts w:hint="default" w:ascii="Times New Roman" w:hAnsi="Times New Roman" w:eastAsia="宋体" w:cs="Times New Roman"/>
                <w:b w:val="0"/>
                <w:bCs w:val="0"/>
                <w:color w:val="auto"/>
                <w:spacing w:val="0"/>
                <w:w w:val="100"/>
                <w:sz w:val="24"/>
                <w:szCs w:val="24"/>
                <w:highlight w:val="none"/>
                <w:lang w:val="en-US" w:eastAsia="zh-CN" w:bidi="ar-SA"/>
              </w:rPr>
              <w:t>废水：生产废水（</w:t>
            </w:r>
            <w:r>
              <w:rPr>
                <w:rFonts w:hint="eastAsia" w:ascii="Times New Roman" w:hAnsi="Times New Roman" w:eastAsia="宋体" w:cs="Times New Roman"/>
                <w:b w:val="0"/>
                <w:bCs w:val="0"/>
                <w:color w:val="auto"/>
                <w:spacing w:val="0"/>
                <w:w w:val="100"/>
                <w:sz w:val="24"/>
                <w:szCs w:val="24"/>
                <w:highlight w:val="none"/>
                <w:lang w:val="en-US" w:eastAsia="zh-CN" w:bidi="ar-SA"/>
              </w:rPr>
              <w:t>钻井废水</w:t>
            </w:r>
            <w:r>
              <w:rPr>
                <w:rFonts w:hint="default" w:ascii="Times New Roman" w:hAnsi="Times New Roman" w:eastAsia="宋体" w:cs="Times New Roman"/>
                <w:b w:val="0"/>
                <w:bCs w:val="0"/>
                <w:color w:val="auto"/>
                <w:spacing w:val="0"/>
                <w:w w:val="100"/>
                <w:sz w:val="24"/>
                <w:szCs w:val="24"/>
                <w:highlight w:val="none"/>
                <w:lang w:val="en-US" w:eastAsia="zh-CN" w:bidi="ar-SA"/>
              </w:rPr>
              <w:t>、洗井废水</w:t>
            </w:r>
            <w:r>
              <w:rPr>
                <w:rFonts w:hint="eastAsia" w:ascii="Times New Roman" w:hAnsi="Times New Roman" w:eastAsia="宋体" w:cs="Times New Roman"/>
                <w:b w:val="0"/>
                <w:bCs w:val="0"/>
                <w:color w:val="auto"/>
                <w:spacing w:val="0"/>
                <w:w w:val="100"/>
                <w:sz w:val="24"/>
                <w:szCs w:val="24"/>
                <w:highlight w:val="none"/>
                <w:lang w:val="en-US" w:eastAsia="zh-CN" w:bidi="ar-SA"/>
              </w:rPr>
              <w:t>、压裂返排液</w:t>
            </w:r>
            <w:r>
              <w:rPr>
                <w:rFonts w:hint="default" w:ascii="Times New Roman" w:hAnsi="Times New Roman" w:eastAsia="宋体" w:cs="Times New Roman"/>
                <w:b w:val="0"/>
                <w:bCs w:val="0"/>
                <w:color w:val="auto"/>
                <w:spacing w:val="0"/>
                <w:w w:val="100"/>
                <w:sz w:val="24"/>
                <w:szCs w:val="24"/>
                <w:highlight w:val="none"/>
                <w:lang w:val="en-US" w:eastAsia="zh-CN" w:bidi="ar-SA"/>
              </w:rPr>
              <w:t>）</w:t>
            </w:r>
            <w:r>
              <w:rPr>
                <w:rFonts w:hint="eastAsia" w:ascii="Times New Roman" w:hAnsi="Times New Roman" w:eastAsia="宋体" w:cs="Times New Roman"/>
                <w:b w:val="0"/>
                <w:bCs w:val="0"/>
                <w:color w:val="auto"/>
                <w:spacing w:val="0"/>
                <w:w w:val="100"/>
                <w:sz w:val="24"/>
                <w:szCs w:val="24"/>
                <w:highlight w:val="none"/>
                <w:lang w:val="en-US" w:eastAsia="zh-CN" w:bidi="ar-SA"/>
              </w:rPr>
              <w:t>、初期雨水</w:t>
            </w:r>
            <w:r>
              <w:rPr>
                <w:rFonts w:hint="default" w:ascii="Times New Roman" w:hAnsi="Times New Roman" w:eastAsia="宋体" w:cs="Times New Roman"/>
                <w:b w:val="0"/>
                <w:bCs w:val="0"/>
                <w:color w:val="auto"/>
                <w:spacing w:val="0"/>
                <w:w w:val="100"/>
                <w:sz w:val="24"/>
                <w:szCs w:val="24"/>
                <w:highlight w:val="none"/>
                <w:lang w:val="en-US" w:eastAsia="zh-CN" w:bidi="ar-SA"/>
              </w:rPr>
              <w:t>和生活污水</w:t>
            </w:r>
            <w:r>
              <w:rPr>
                <w:rFonts w:hint="eastAsia" w:ascii="Times New Roman" w:hAnsi="Times New Roman" w:eastAsia="宋体" w:cs="Times New Roman"/>
                <w:b w:val="0"/>
                <w:bCs w:val="0"/>
                <w:color w:val="auto"/>
                <w:spacing w:val="0"/>
                <w:w w:val="100"/>
                <w:sz w:val="24"/>
                <w:szCs w:val="24"/>
                <w:highlight w:val="none"/>
                <w:lang w:val="en-US" w:eastAsia="zh-CN" w:bidi="ar-SA"/>
              </w:rPr>
              <w:t>。</w:t>
            </w:r>
          </w:p>
          <w:p w14:paraId="45261ED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3）</w:t>
            </w:r>
            <w:r>
              <w:rPr>
                <w:rFonts w:hint="default" w:ascii="Times New Roman" w:hAnsi="Times New Roman" w:eastAsia="宋体" w:cs="Times New Roman"/>
                <w:b w:val="0"/>
                <w:bCs w:val="0"/>
                <w:color w:val="auto"/>
                <w:spacing w:val="0"/>
                <w:w w:val="100"/>
                <w:sz w:val="24"/>
                <w:szCs w:val="24"/>
                <w:highlight w:val="none"/>
                <w:lang w:val="en-US" w:eastAsia="zh-CN" w:bidi="ar-SA"/>
              </w:rPr>
              <w:t>噪声：钻机、柴油发电机、泥浆泵、推土机、装载机、打桩机</w:t>
            </w:r>
            <w:r>
              <w:rPr>
                <w:rFonts w:hint="eastAsia" w:ascii="Times New Roman" w:hAnsi="Times New Roman" w:eastAsia="宋体" w:cs="Times New Roman"/>
                <w:b w:val="0"/>
                <w:bCs w:val="0"/>
                <w:color w:val="auto"/>
                <w:spacing w:val="0"/>
                <w:w w:val="100"/>
                <w:sz w:val="24"/>
                <w:szCs w:val="24"/>
                <w:highlight w:val="none"/>
                <w:lang w:val="en-US" w:eastAsia="zh-CN" w:bidi="ar-SA"/>
              </w:rPr>
              <w:t>、运输车辆</w:t>
            </w:r>
            <w:r>
              <w:rPr>
                <w:rFonts w:hint="default" w:ascii="Times New Roman" w:hAnsi="Times New Roman" w:eastAsia="宋体" w:cs="Times New Roman"/>
                <w:b w:val="0"/>
                <w:bCs w:val="0"/>
                <w:color w:val="auto"/>
                <w:spacing w:val="0"/>
                <w:w w:val="100"/>
                <w:sz w:val="24"/>
                <w:szCs w:val="24"/>
                <w:highlight w:val="none"/>
                <w:lang w:val="en-US" w:eastAsia="zh-CN" w:bidi="ar-SA"/>
              </w:rPr>
              <w:t>等设备排放的噪声。</w:t>
            </w:r>
          </w:p>
          <w:p w14:paraId="54B59AD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4）</w:t>
            </w:r>
            <w:r>
              <w:rPr>
                <w:rFonts w:hint="default" w:ascii="Times New Roman" w:hAnsi="Times New Roman" w:eastAsia="宋体" w:cs="Times New Roman"/>
                <w:b w:val="0"/>
                <w:bCs w:val="0"/>
                <w:color w:val="auto"/>
                <w:spacing w:val="0"/>
                <w:w w:val="100"/>
                <w:sz w:val="24"/>
                <w:szCs w:val="24"/>
                <w:highlight w:val="none"/>
                <w:lang w:val="en-US" w:eastAsia="zh-CN" w:bidi="ar-SA"/>
              </w:rPr>
              <w:t>固体废物：</w:t>
            </w:r>
            <w:r>
              <w:rPr>
                <w:rFonts w:hint="default" w:ascii="Times New Roman" w:hAnsi="Times New Roman" w:eastAsia="宋体" w:cs="Times New Roman"/>
                <w:color w:val="auto"/>
                <w:sz w:val="24"/>
                <w:szCs w:val="22"/>
                <w:lang w:val="en-US" w:eastAsia="zh-CN"/>
              </w:rPr>
              <w:t>废弃钻井泥浆、钻井岩屑（不含油）、纯碱、膨润土废弃包装、废防渗布（不含油）、不含油压裂砂</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建筑垃圾</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废过硫酸钾包装袋</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落地油</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废机油</w:t>
            </w:r>
            <w:r>
              <w:rPr>
                <w:rFonts w:hint="eastAsia" w:ascii="Times New Roman" w:hAnsi="Times New Roman" w:eastAsia="宋体" w:cs="Times New Roman"/>
                <w:color w:val="auto"/>
                <w:sz w:val="24"/>
                <w:szCs w:val="22"/>
                <w:lang w:val="en-US" w:eastAsia="zh-CN"/>
              </w:rPr>
              <w:t>、废润滑油、废防渗布（沾落地油）、废含油抹布、</w:t>
            </w:r>
            <w:r>
              <w:rPr>
                <w:rFonts w:hint="default" w:ascii="Times New Roman" w:hAnsi="Times New Roman" w:eastAsia="宋体" w:cs="Times New Roman"/>
                <w:color w:val="auto"/>
                <w:sz w:val="24"/>
                <w:szCs w:val="22"/>
                <w:lang w:val="en-US" w:eastAsia="zh-CN"/>
              </w:rPr>
              <w:t>含油压裂砂</w:t>
            </w:r>
            <w:r>
              <w:rPr>
                <w:rFonts w:hint="eastAsia" w:ascii="Times New Roman" w:hAnsi="Times New Roman" w:eastAsia="宋体" w:cs="Times New Roman"/>
                <w:color w:val="auto"/>
                <w:sz w:val="24"/>
                <w:szCs w:val="22"/>
                <w:lang w:val="en-US" w:eastAsia="zh-CN"/>
              </w:rPr>
              <w:t>、含油岩屑</w:t>
            </w:r>
            <w:r>
              <w:rPr>
                <w:rFonts w:hint="default" w:ascii="Times New Roman" w:hAnsi="Times New Roman" w:eastAsia="宋体" w:cs="Times New Roman"/>
                <w:color w:val="auto"/>
                <w:sz w:val="24"/>
                <w:szCs w:val="22"/>
                <w:lang w:val="en-US" w:eastAsia="zh-CN"/>
              </w:rPr>
              <w:t>及生活垃圾</w:t>
            </w:r>
            <w:r>
              <w:rPr>
                <w:rFonts w:hint="eastAsia" w:ascii="Times New Roman" w:hAnsi="Times New Roman" w:eastAsia="宋体" w:cs="Times New Roman"/>
                <w:color w:val="auto"/>
                <w:sz w:val="24"/>
                <w:lang w:val="en-US" w:eastAsia="zh-CN"/>
              </w:rPr>
              <w:t>等</w:t>
            </w:r>
            <w:r>
              <w:rPr>
                <w:rFonts w:hint="eastAsia" w:ascii="Times New Roman" w:hAnsi="Times New Roman" w:eastAsia="宋体" w:cs="Times New Roman"/>
                <w:color w:val="auto"/>
                <w:sz w:val="24"/>
                <w:lang w:eastAsia="zh-CN"/>
              </w:rPr>
              <w:t>。</w:t>
            </w:r>
          </w:p>
          <w:p w14:paraId="1AD0944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5）</w:t>
            </w:r>
            <w:r>
              <w:rPr>
                <w:rFonts w:hint="default" w:ascii="Times New Roman" w:hAnsi="Times New Roman" w:eastAsia="宋体" w:cs="Times New Roman"/>
                <w:b w:val="0"/>
                <w:bCs w:val="0"/>
                <w:color w:val="auto"/>
                <w:spacing w:val="0"/>
                <w:w w:val="100"/>
                <w:sz w:val="24"/>
                <w:szCs w:val="24"/>
                <w:highlight w:val="none"/>
                <w:lang w:val="en-US" w:eastAsia="zh-CN" w:bidi="ar-SA"/>
              </w:rPr>
              <w:t>生态破坏：</w:t>
            </w:r>
          </w:p>
          <w:p w14:paraId="54C9DF0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 xml:space="preserve">压占土地：施工中压占土地，临时占地在短期改变了土地利用的结构和功能。 </w:t>
            </w:r>
          </w:p>
          <w:p w14:paraId="736A2A2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破坏植被、动物影响：施工期对临时占地面积内原有植被的清理、压占及施工人群的干扰。周围无动物栖息地，对动物影响较小。</w:t>
            </w:r>
          </w:p>
          <w:p w14:paraId="5C76162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 xml:space="preserve">破坏、污染土壤：施工期间无表土的开挖及回填，对土壤肥力及植被的生长影响较小。 </w:t>
            </w:r>
          </w:p>
          <w:p w14:paraId="59EE6C8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水土流失：井场施工过程的扰动，使井场及周边土壤结构和植被遭到破坏，降低了水土保持功能，加剧了水土流失。</w:t>
            </w:r>
          </w:p>
          <w:p w14:paraId="5D3E8E19">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w:t>
            </w:r>
            <w:r>
              <w:rPr>
                <w:rFonts w:hint="default" w:ascii="Times New Roman" w:hAnsi="Times New Roman" w:eastAsia="宋体" w:cs="Times New Roman"/>
                <w:b w:val="0"/>
                <w:bCs w:val="0"/>
                <w:color w:val="auto"/>
                <w:spacing w:val="0"/>
                <w:w w:val="100"/>
                <w:sz w:val="24"/>
                <w:szCs w:val="24"/>
                <w:highlight w:val="none"/>
                <w:lang w:val="en-US" w:eastAsia="zh-CN" w:bidi="ar-SA"/>
              </w:rPr>
              <w:t>运营期</w:t>
            </w:r>
          </w:p>
          <w:p w14:paraId="6781884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本工程为</w:t>
            </w:r>
            <w:r>
              <w:rPr>
                <w:rFonts w:hint="eastAsia" w:ascii="Times New Roman" w:hAnsi="Times New Roman" w:eastAsia="宋体" w:cs="Times New Roman"/>
                <w:color w:val="auto"/>
                <w:sz w:val="24"/>
                <w:lang w:val="en-US" w:eastAsia="zh-CN"/>
              </w:rPr>
              <w:t>勘探</w:t>
            </w:r>
            <w:r>
              <w:rPr>
                <w:rFonts w:hint="default" w:ascii="Times New Roman" w:hAnsi="Times New Roman" w:eastAsia="宋体" w:cs="Times New Roman"/>
                <w:color w:val="auto"/>
                <w:sz w:val="24"/>
                <w:lang w:val="en-US" w:eastAsia="zh-CN"/>
              </w:rPr>
              <w:t>井项目，</w:t>
            </w:r>
            <w:r>
              <w:rPr>
                <w:rFonts w:hint="eastAsia" w:ascii="Times New Roman" w:hAnsi="Times New Roman" w:eastAsia="宋体" w:cs="Times New Roman"/>
                <w:color w:val="auto"/>
                <w:sz w:val="24"/>
                <w:lang w:val="en-US" w:eastAsia="zh-CN"/>
              </w:rPr>
              <w:t>井场</w:t>
            </w:r>
            <w:r>
              <w:rPr>
                <w:rFonts w:hint="default" w:ascii="Times New Roman" w:hAnsi="Times New Roman" w:eastAsia="宋体" w:cs="Times New Roman"/>
                <w:color w:val="auto"/>
                <w:sz w:val="24"/>
                <w:lang w:val="en-US" w:eastAsia="zh-CN"/>
              </w:rPr>
              <w:t>具有工业开采价值，临时</w:t>
            </w:r>
            <w:r>
              <w:rPr>
                <w:rFonts w:hint="eastAsia" w:ascii="Times New Roman" w:hAnsi="Times New Roman" w:eastAsia="宋体" w:cs="Times New Roman"/>
                <w:color w:val="auto"/>
                <w:sz w:val="24"/>
                <w:lang w:val="en-US" w:eastAsia="zh-CN"/>
              </w:rPr>
              <w:t>关</w:t>
            </w:r>
            <w:r>
              <w:rPr>
                <w:rFonts w:hint="default" w:ascii="Times New Roman" w:hAnsi="Times New Roman" w:eastAsia="宋体" w:cs="Times New Roman"/>
                <w:color w:val="auto"/>
                <w:sz w:val="24"/>
                <w:lang w:val="en-US" w:eastAsia="zh-CN"/>
              </w:rPr>
              <w:t>井，待转产</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z w:val="24"/>
                <w:lang w:val="en-US" w:eastAsia="zh-CN"/>
              </w:rPr>
              <w:t>不涉及运营期污染物排放。</w:t>
            </w:r>
          </w:p>
          <w:p w14:paraId="7A237642">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bCs/>
                <w:color w:val="auto"/>
                <w:spacing w:val="0"/>
                <w:w w:val="100"/>
                <w:sz w:val="24"/>
                <w:szCs w:val="24"/>
                <w:highlight w:val="none"/>
                <w:lang w:val="en-US" w:eastAsia="zh-CN" w:bidi="ar-SA"/>
              </w:rPr>
              <w:t>4.6.2主要环境问题</w:t>
            </w:r>
          </w:p>
          <w:p w14:paraId="5E0E697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根据现场调查了解，项目在建设过程</w:t>
            </w:r>
            <w:r>
              <w:rPr>
                <w:rFonts w:hint="default" w:ascii="Times New Roman" w:hAnsi="Times New Roman" w:eastAsia="宋体" w:cs="Times New Roman"/>
                <w:b w:val="0"/>
                <w:bCs w:val="0"/>
                <w:color w:val="auto"/>
                <w:spacing w:val="0"/>
                <w:w w:val="100"/>
                <w:sz w:val="24"/>
                <w:szCs w:val="24"/>
                <w:highlight w:val="none"/>
                <w:lang w:val="en-US" w:eastAsia="zh-CN" w:bidi="ar-SA"/>
              </w:rPr>
              <w:t>未发生重大污染或扰民事件</w:t>
            </w:r>
            <w:r>
              <w:rPr>
                <w:rFonts w:hint="eastAsia" w:ascii="Times New Roman" w:hAnsi="Times New Roman" w:eastAsia="宋体" w:cs="Times New Roman"/>
                <w:b w:val="0"/>
                <w:bCs w:val="0"/>
                <w:color w:val="auto"/>
                <w:spacing w:val="0"/>
                <w:w w:val="100"/>
                <w:sz w:val="24"/>
                <w:szCs w:val="24"/>
                <w:highlight w:val="none"/>
                <w:lang w:val="en-US" w:eastAsia="zh-CN" w:bidi="ar-SA"/>
              </w:rPr>
              <w:t>，未发生重大生态环境问题。</w:t>
            </w:r>
          </w:p>
          <w:p w14:paraId="25FDE90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bCs/>
                <w:color w:val="auto"/>
                <w:spacing w:val="0"/>
                <w:w w:val="100"/>
                <w:sz w:val="24"/>
                <w:szCs w:val="24"/>
                <w:highlight w:val="none"/>
                <w:lang w:val="en-US" w:eastAsia="zh-CN" w:bidi="ar-SA"/>
              </w:rPr>
              <w:t>4.6.3施工期环境保护措施</w:t>
            </w:r>
          </w:p>
          <w:p w14:paraId="5E586BF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（1）施工期废气</w:t>
            </w:r>
            <w:r>
              <w:rPr>
                <w:rFonts w:hint="eastAsia" w:ascii="Times New Roman" w:hAnsi="Times New Roman" w:eastAsia="宋体" w:cs="Times New Roman"/>
                <w:color w:val="auto"/>
                <w:spacing w:val="0"/>
                <w:w w:val="100"/>
                <w:sz w:val="24"/>
                <w:szCs w:val="24"/>
                <w:highlight w:val="none"/>
                <w:lang w:val="en-US" w:eastAsia="zh-CN" w:bidi="ar-SA"/>
              </w:rPr>
              <w:t>污染防治措施</w:t>
            </w:r>
          </w:p>
          <w:p w14:paraId="6BF5F73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本项目对大气环境的影响随项目施工期结束而结束，在施工期落实了环评及批复中提出的各项大气环境保护措施。具体采取的大气环境保护措施如下： </w:t>
            </w:r>
          </w:p>
          <w:p w14:paraId="38AE339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① 开挖土方过程避开了大风天气，挖方用篷布遮盖，减少扬尘产生量。 </w:t>
            </w:r>
          </w:p>
          <w:p w14:paraId="4209845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② 运输车辆加盖篷布，对施工道路、井场进行适量洒水，以降低扬尘。 </w:t>
            </w:r>
          </w:p>
          <w:p w14:paraId="04A8CDA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③ 选用环保型柴油发电机，使用优质轻柴油，简易排气筒排放；排气管朝向避开了农户分布及项目区工作人员办公生活的方位； </w:t>
            </w:r>
          </w:p>
          <w:p w14:paraId="7B5981B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④ 少量试油伴生气逸散；试气废气经放喷管放喷燃烧。本项目试油、气过程中无井喷事故发生。</w:t>
            </w:r>
          </w:p>
          <w:p w14:paraId="63B897BC">
            <w:pPr>
              <w:pStyle w:val="8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ascii="Times New Roman" w:hAnsi="Times New Roman" w:cs="Times New Roman"/>
                <w:color w:val="auto"/>
              </w:rPr>
              <w:t>⑤</w:t>
            </w:r>
            <w:r>
              <w:rPr>
                <w:rFonts w:hint="default" w:ascii="Times New Roman" w:hAnsi="Times New Roman" w:eastAsia="宋体" w:cs="Times New Roman"/>
                <w:color w:val="auto"/>
                <w:sz w:val="24"/>
                <w:szCs w:val="24"/>
                <w:highlight w:val="none"/>
              </w:rPr>
              <w:fldChar w:fldCharType="end"/>
            </w:r>
            <w:r>
              <w:rPr>
                <w:rFonts w:hint="default"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33A9ED4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pacing w:val="0"/>
                <w:w w:val="100"/>
                <w:sz w:val="24"/>
                <w:szCs w:val="24"/>
                <w:highlight w:val="none"/>
                <w:lang w:val="en-US" w:eastAsia="zh-CN" w:bidi="ar-SA"/>
              </w:rPr>
              <w:t>现场无废气排放设施，废气均合理处置。</w:t>
            </w:r>
          </w:p>
          <w:p w14:paraId="1C9BC0E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（2）施工期废水污染防治措施</w:t>
            </w:r>
          </w:p>
          <w:p w14:paraId="7B25B3B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根据试油结果，</w:t>
            </w:r>
            <w:r>
              <w:rPr>
                <w:rFonts w:hint="eastAsia" w:ascii="Times New Roman" w:hAnsi="Times New Roman" w:eastAsia="宋体" w:cs="Times New Roman"/>
                <w:color w:val="auto"/>
                <w:sz w:val="24"/>
                <w:lang w:val="en-US" w:eastAsia="zh-CN"/>
              </w:rPr>
              <w:t>井场</w:t>
            </w:r>
            <w:r>
              <w:rPr>
                <w:rFonts w:hint="eastAsia" w:ascii="Times New Roman" w:hAnsi="Times New Roman" w:eastAsia="宋体" w:cs="Times New Roman"/>
                <w:color w:val="auto"/>
                <w:spacing w:val="0"/>
                <w:w w:val="100"/>
                <w:sz w:val="24"/>
                <w:szCs w:val="24"/>
                <w:highlight w:val="none"/>
                <w:lang w:val="en-US" w:eastAsia="zh-CN" w:bidi="ar-SA"/>
              </w:rPr>
              <w:t>具有开采利用价值，已临时关井、待转产</w:t>
            </w:r>
            <w:r>
              <w:rPr>
                <w:rFonts w:hint="eastAsia" w:ascii="Times New Roman" w:hAnsi="Times New Roman" w:eastAsia="宋体" w:cs="Times New Roman"/>
                <w:color w:val="auto"/>
                <w:sz w:val="24"/>
                <w:lang w:val="en-US" w:eastAsia="zh-CN"/>
              </w:rPr>
              <w:t>。</w:t>
            </w:r>
          </w:p>
          <w:p w14:paraId="4C54FF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施工现场周围无废水残留，可见本项目钻井、试油、气期产生的废水均得到了妥善处置。本项目落实了环评及批复中提出的各项水环境保护措施。具体采取的水环境保护措施如下：</w:t>
            </w:r>
          </w:p>
          <w:p w14:paraId="18AC22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项目钻井过程中采用表层套管封固含水层，井场铺设采用土工膜防渗层，并对散落在井场的污染物及时收集，防止对地下水造成污染。</w:t>
            </w:r>
          </w:p>
          <w:p w14:paraId="6102B996">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w:t>
            </w:r>
            <w:r>
              <w:rPr>
                <w:rFonts w:hint="eastAsia" w:ascii="Times New Roman" w:hAnsi="Times New Roman" w:eastAsia="宋体" w:cs="Times New Roman"/>
                <w:color w:val="auto"/>
                <w:spacing w:val="0"/>
                <w:w w:val="100"/>
                <w:sz w:val="24"/>
                <w:szCs w:val="24"/>
                <w:highlight w:val="none"/>
                <w:lang w:val="en-US" w:eastAsia="zh-CN" w:bidi="ar-SA"/>
              </w:rPr>
              <w:t>本项目采取泥浆不落地处理工艺，经固液分离后产生的钻井废水部分回用于配置钻井泥浆，不可回用部分同洗井废水、压裂返排液一起由地上收集罐统一收集，雨水经雨水罐收集，井下作业完成后，由防渗漏、防溢流的运输车辆统一转移至</w:t>
            </w:r>
            <w:r>
              <w:rPr>
                <w:rFonts w:hint="eastAsia" w:ascii="Times New Roman" w:hAnsi="Times New Roman" w:eastAsia="宋体" w:cs="Times New Roman"/>
                <w:color w:val="auto"/>
                <w:sz w:val="24"/>
                <w:szCs w:val="24"/>
                <w:highlight w:val="none"/>
                <w:lang w:val="en-US" w:eastAsia="zh-CN"/>
              </w:rPr>
              <w:t>泾河8撬装式水净化站处理达标后回注油层，未外排。施工井场设置了移动式环保厕所，施工人员少量盥洗废水用于洒水降尘，无污水外排现象。</w:t>
            </w:r>
          </w:p>
          <w:p w14:paraId="602679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pacing w:val="0"/>
                <w:w w:val="100"/>
                <w:sz w:val="24"/>
                <w:szCs w:val="24"/>
                <w:highlight w:val="none"/>
                <w:lang w:val="en-US" w:eastAsia="zh-CN" w:bidi="ar-SA"/>
              </w:rPr>
              <w:t>现场未遗留废水问题，废水均合理处置，未</w:t>
            </w:r>
          </w:p>
          <w:p w14:paraId="57489AC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有外排现象。</w:t>
            </w:r>
          </w:p>
          <w:p w14:paraId="4BD214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（3）施工期噪声</w:t>
            </w:r>
            <w:r>
              <w:rPr>
                <w:rFonts w:hint="eastAsia" w:ascii="Times New Roman" w:hAnsi="Times New Roman" w:eastAsia="宋体" w:cs="Times New Roman"/>
                <w:color w:val="auto"/>
                <w:spacing w:val="0"/>
                <w:w w:val="100"/>
                <w:sz w:val="24"/>
                <w:szCs w:val="24"/>
                <w:highlight w:val="none"/>
                <w:lang w:val="en-US" w:eastAsia="zh-CN" w:bidi="ar-SA"/>
              </w:rPr>
              <w:t>污染防治措施</w:t>
            </w:r>
          </w:p>
          <w:p w14:paraId="32FB44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2"/>
                <w:lang w:val="en-US" w:eastAsia="zh-CN"/>
              </w:rPr>
              <w:t>根据调查</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本工程井场周围地形空旷</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根据现场踏勘</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施工作业已全部结束</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施工机械及运输车辆已全部撤离</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施工期未发生扰民事件。本项目在建设期落实了环评中提出的各项噪声污染防治措施。具体的声环境保护措施如下：</w:t>
            </w:r>
          </w:p>
          <w:p w14:paraId="1032900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fldChar w:fldCharType="begin"/>
            </w:r>
            <w:r>
              <w:rPr>
                <w:rFonts w:hint="eastAsia" w:ascii="Times New Roman" w:hAnsi="Times New Roman" w:eastAsia="宋体" w:cs="Times New Roman"/>
                <w:color w:val="auto"/>
                <w:spacing w:val="0"/>
                <w:w w:val="100"/>
                <w:sz w:val="24"/>
                <w:szCs w:val="24"/>
                <w:highlight w:val="none"/>
                <w:lang w:val="en-US" w:eastAsia="zh-CN" w:bidi="ar-SA"/>
              </w:rPr>
              <w:instrText xml:space="preserve"> = 1 \* GB3 </w:instrText>
            </w:r>
            <w:r>
              <w:rPr>
                <w:rFonts w:hint="eastAsia" w:ascii="Times New Roman" w:hAnsi="Times New Roman" w:eastAsia="宋体" w:cs="Times New Roman"/>
                <w:color w:val="auto"/>
                <w:spacing w:val="0"/>
                <w:w w:val="100"/>
                <w:sz w:val="24"/>
                <w:szCs w:val="24"/>
                <w:highlight w:val="none"/>
                <w:lang w:val="en-US" w:eastAsia="zh-CN" w:bidi="ar-SA"/>
              </w:rPr>
              <w:fldChar w:fldCharType="separate"/>
            </w:r>
            <w:r>
              <w:rPr>
                <w:rFonts w:hint="eastAsia" w:ascii="Times New Roman" w:hAnsi="Times New Roman" w:eastAsia="宋体" w:cs="Times New Roman"/>
                <w:color w:val="auto"/>
                <w:spacing w:val="0"/>
                <w:w w:val="100"/>
                <w:sz w:val="24"/>
                <w:szCs w:val="24"/>
                <w:highlight w:val="none"/>
                <w:lang w:val="en-US" w:eastAsia="zh-CN" w:bidi="ar-SA"/>
              </w:rPr>
              <w:t>①</w:t>
            </w:r>
            <w:r>
              <w:rPr>
                <w:rFonts w:hint="eastAsia" w:ascii="Times New Roman" w:hAnsi="Times New Roman" w:eastAsia="宋体" w:cs="Times New Roman"/>
                <w:color w:val="auto"/>
                <w:spacing w:val="0"/>
                <w:w w:val="100"/>
                <w:sz w:val="24"/>
                <w:szCs w:val="24"/>
                <w:highlight w:val="none"/>
                <w:lang w:val="en-US" w:eastAsia="zh-CN" w:bidi="ar-SA"/>
              </w:rPr>
              <w:fldChar w:fldCharType="end"/>
            </w:r>
            <w:r>
              <w:rPr>
                <w:rFonts w:hint="eastAsia" w:ascii="Times New Roman" w:hAnsi="Times New Roman" w:eastAsia="宋体" w:cs="Times New Roman"/>
                <w:color w:val="auto"/>
                <w:spacing w:val="0"/>
                <w:w w:val="100"/>
                <w:sz w:val="24"/>
                <w:szCs w:val="24"/>
                <w:highlight w:val="none"/>
                <w:lang w:val="en-US" w:eastAsia="zh-CN" w:bidi="ar-SA"/>
              </w:rPr>
              <w:t xml:space="preserve"> 选用了低噪声设备，提高了自动化水平。</w:t>
            </w:r>
          </w:p>
          <w:p w14:paraId="7554860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② 施工过程合理安排了作业时间，避免多台高噪声设备同时运行，避开了午休时间。</w:t>
            </w:r>
          </w:p>
          <w:p w14:paraId="5C78CF6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③ 柴油发电机安装隔振垫、消声器等隔音措施；泥浆泵加衬弹性垫料和隔音罩以达到减噪目的。</w:t>
            </w:r>
          </w:p>
          <w:p w14:paraId="568F79D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fldChar w:fldCharType="begin"/>
            </w:r>
            <w:r>
              <w:rPr>
                <w:rFonts w:hint="eastAsia" w:ascii="Times New Roman" w:hAnsi="Times New Roman" w:eastAsia="宋体" w:cs="Times New Roman"/>
                <w:color w:val="auto"/>
                <w:spacing w:val="0"/>
                <w:w w:val="100"/>
                <w:sz w:val="24"/>
                <w:szCs w:val="24"/>
                <w:highlight w:val="none"/>
                <w:lang w:val="en-US" w:eastAsia="zh-CN" w:bidi="ar-SA"/>
              </w:rPr>
              <w:instrText xml:space="preserve"> = 4 \* GB3 </w:instrText>
            </w:r>
            <w:r>
              <w:rPr>
                <w:rFonts w:hint="eastAsia" w:ascii="Times New Roman" w:hAnsi="Times New Roman" w:eastAsia="宋体" w:cs="Times New Roman"/>
                <w:color w:val="auto"/>
                <w:spacing w:val="0"/>
                <w:w w:val="100"/>
                <w:sz w:val="24"/>
                <w:szCs w:val="24"/>
                <w:highlight w:val="none"/>
                <w:lang w:val="en-US" w:eastAsia="zh-CN" w:bidi="ar-SA"/>
              </w:rPr>
              <w:fldChar w:fldCharType="separate"/>
            </w:r>
            <w:r>
              <w:rPr>
                <w:rFonts w:hint="eastAsia" w:ascii="Times New Roman" w:hAnsi="Times New Roman" w:eastAsia="宋体" w:cs="Times New Roman"/>
                <w:color w:val="auto"/>
                <w:spacing w:val="0"/>
                <w:w w:val="100"/>
                <w:sz w:val="24"/>
                <w:szCs w:val="24"/>
                <w:highlight w:val="none"/>
                <w:lang w:val="en-US" w:eastAsia="zh-CN" w:bidi="ar-SA"/>
              </w:rPr>
              <w:t>④</w:t>
            </w:r>
            <w:r>
              <w:rPr>
                <w:rFonts w:hint="eastAsia" w:ascii="Times New Roman" w:hAnsi="Times New Roman" w:eastAsia="宋体" w:cs="Times New Roman"/>
                <w:color w:val="auto"/>
                <w:spacing w:val="0"/>
                <w:w w:val="100"/>
                <w:sz w:val="24"/>
                <w:szCs w:val="24"/>
                <w:highlight w:val="none"/>
                <w:lang w:val="en-US" w:eastAsia="zh-CN" w:bidi="ar-SA"/>
              </w:rPr>
              <w:fldChar w:fldCharType="end"/>
            </w:r>
            <w:r>
              <w:rPr>
                <w:rFonts w:hint="eastAsia" w:ascii="Times New Roman" w:hAnsi="Times New Roman" w:eastAsia="宋体" w:cs="Times New Roman"/>
                <w:color w:val="auto"/>
                <w:spacing w:val="0"/>
                <w:w w:val="100"/>
                <w:sz w:val="24"/>
                <w:szCs w:val="24"/>
                <w:highlight w:val="none"/>
                <w:lang w:val="en-US" w:eastAsia="zh-CN" w:bidi="ar-SA"/>
              </w:rPr>
              <w:t xml:space="preserve"> 钻井队定期对施工机械进行维护和保养，在管理和作业过程中平稳操作，避免特种作业时产生非正常的噪声等。运输车辆减速慢行，定期保养。</w:t>
            </w:r>
          </w:p>
          <w:p w14:paraId="089EB1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井场内不存在产燥设施。</w:t>
            </w:r>
          </w:p>
          <w:p w14:paraId="775AE0C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（4）施工期固体废物污染防治措施</w:t>
            </w:r>
          </w:p>
          <w:p w14:paraId="2A21001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根据调查结果，项目施工过程中采取了以下固体废物污染防治措施： </w:t>
            </w:r>
          </w:p>
          <w:p w14:paraId="5DFFD02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eastAsia" w:ascii="Times New Roman" w:hAnsi="Times New Roman" w:eastAsia="宋体" w:cs="Times New Roman"/>
                <w:color w:val="auto"/>
                <w:spacing w:val="0"/>
                <w:w w:val="100"/>
                <w:sz w:val="24"/>
                <w:szCs w:val="24"/>
                <w:highlight w:val="none"/>
                <w:lang w:val="en-US" w:eastAsia="zh-CN" w:bidi="ar-SA"/>
              </w:rPr>
              <w:t>生活垃圾</w:t>
            </w:r>
          </w:p>
          <w:p w14:paraId="2640B3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施工期产生的生活垃圾，设置生活垃圾收集箱，定期运至就近的生活垃圾中转站，未产生二次污染。</w:t>
            </w:r>
          </w:p>
          <w:p w14:paraId="159C9DB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eastAsia" w:ascii="Times New Roman" w:hAnsi="Times New Roman" w:eastAsia="宋体" w:cs="Times New Roman"/>
                <w:color w:val="auto"/>
                <w:spacing w:val="0"/>
                <w:w w:val="100"/>
                <w:sz w:val="24"/>
                <w:szCs w:val="24"/>
                <w:highlight w:val="none"/>
                <w:lang w:val="en-US" w:eastAsia="zh-CN" w:bidi="ar-SA"/>
              </w:rPr>
              <w:t>钻井废弃泥浆、钻井岩屑</w:t>
            </w:r>
          </w:p>
          <w:p w14:paraId="1355F1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本项目产生的钻井泥浆、钻井岩屑进入地上移动式泥浆罐，经泥浆不落地工艺固液分离后，固相暂存于固渣暂存处，勘探结束后，由防渗漏、防溢流的运输车辆统一转移至交给陕西华胜信达工程技术有限公司，由该单位委托庆阳市昊鑫恒益环境工程有限公司处置，未产生二次污染。</w:t>
            </w:r>
          </w:p>
          <w:p w14:paraId="60E8C5A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eastAsia" w:ascii="Times New Roman" w:hAnsi="Times New Roman" w:eastAsia="宋体" w:cs="Times New Roman"/>
                <w:color w:val="auto"/>
                <w:spacing w:val="0"/>
                <w:w w:val="100"/>
                <w:sz w:val="24"/>
                <w:szCs w:val="24"/>
                <w:highlight w:val="none"/>
                <w:lang w:val="en-US" w:eastAsia="zh-CN" w:bidi="ar-SA"/>
              </w:rPr>
              <w:t>废机油、废润滑油、落地油、废含油抹布、</w:t>
            </w:r>
            <w:r>
              <w:rPr>
                <w:rFonts w:hint="eastAsia" w:ascii="Times New Roman" w:hAnsi="Times New Roman" w:eastAsia="宋体" w:cs="宋体"/>
                <w:bCs/>
                <w:color w:val="auto"/>
                <w:kern w:val="0"/>
                <w:sz w:val="24"/>
                <w:szCs w:val="24"/>
                <w:highlight w:val="none"/>
                <w:lang w:val="en-US" w:eastAsia="zh-CN" w:bidi="ar-SA"/>
              </w:rPr>
              <w:t>被污染的防渗布</w:t>
            </w:r>
            <w:r>
              <w:rPr>
                <w:rFonts w:hint="eastAsia" w:ascii="Times New Roman" w:hAnsi="Times New Roman" w:eastAsia="宋体" w:cs="Times New Roman"/>
                <w:color w:val="auto"/>
                <w:spacing w:val="0"/>
                <w:w w:val="100"/>
                <w:sz w:val="24"/>
                <w:szCs w:val="24"/>
                <w:highlight w:val="none"/>
                <w:lang w:val="en-US" w:eastAsia="zh-CN" w:bidi="ar-SA"/>
              </w:rPr>
              <w:t>、过硫酸钾废包装袋、含油岩屑、含油压裂砂</w:t>
            </w:r>
          </w:p>
          <w:p w14:paraId="474C332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废机油、废润滑油采用废油回收桶（0.5m</w:t>
            </w:r>
            <w:r>
              <w:rPr>
                <w:rFonts w:hint="eastAsia" w:ascii="Times New Roman" w:hAnsi="Times New Roman" w:eastAsia="宋体" w:cs="Times New Roman"/>
                <w:color w:val="auto"/>
                <w:spacing w:val="0"/>
                <w:w w:val="100"/>
                <w:sz w:val="24"/>
                <w:szCs w:val="24"/>
                <w:highlight w:val="none"/>
                <w:vertAlign w:val="superscript"/>
                <w:lang w:val="en-US" w:eastAsia="zh-CN" w:bidi="ar-SA"/>
              </w:rPr>
              <w:t>3</w:t>
            </w:r>
            <w:r>
              <w:rPr>
                <w:rFonts w:hint="eastAsia" w:ascii="Times New Roman" w:hAnsi="Times New Roman" w:eastAsia="宋体" w:cs="Times New Roman"/>
                <w:color w:val="auto"/>
                <w:spacing w:val="0"/>
                <w:w w:val="100"/>
                <w:sz w:val="24"/>
                <w:szCs w:val="24"/>
                <w:highlight w:val="none"/>
                <w:lang w:val="en-US" w:eastAsia="zh-CN" w:bidi="ar-SA"/>
              </w:rPr>
              <w:t>）收集至临时危废贮存库暂存后，定期委托平凉海螺环保科技有限责任公司外运处置；施工过程产生的落地油、废含油抹布、</w:t>
            </w:r>
            <w:r>
              <w:rPr>
                <w:rFonts w:hint="eastAsia" w:ascii="Times New Roman" w:hAnsi="Times New Roman" w:eastAsia="宋体" w:cs="宋体"/>
                <w:bCs/>
                <w:color w:val="auto"/>
                <w:kern w:val="0"/>
                <w:sz w:val="24"/>
                <w:szCs w:val="24"/>
                <w:highlight w:val="none"/>
                <w:lang w:val="en-US" w:eastAsia="zh-CN" w:bidi="ar-SA"/>
              </w:rPr>
              <w:t>被污染的防渗布</w:t>
            </w:r>
            <w:r>
              <w:rPr>
                <w:rFonts w:hint="eastAsia" w:ascii="Times New Roman" w:hAnsi="Times New Roman" w:eastAsia="宋体" w:cs="Times New Roman"/>
                <w:color w:val="auto"/>
                <w:spacing w:val="0"/>
                <w:w w:val="100"/>
                <w:sz w:val="24"/>
                <w:szCs w:val="24"/>
                <w:highlight w:val="none"/>
                <w:lang w:val="en-US" w:eastAsia="zh-CN" w:bidi="ar-SA"/>
              </w:rPr>
              <w:t>、过硫酸钾废包装袋、含油岩屑、含油压裂砂均为危险废物，经收集暂存于临时危废贮存库，委托庆阳丰泰环保有限责任公司处置，未产生二次污染。</w:t>
            </w:r>
          </w:p>
          <w:p w14:paraId="665B4C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④</w:t>
            </w:r>
            <w:r>
              <w:rPr>
                <w:rFonts w:hint="default" w:ascii="Times New Roman" w:hAnsi="Times New Roman" w:eastAsia="宋体" w:cs="宋体"/>
                <w:bCs/>
                <w:color w:val="auto"/>
                <w:kern w:val="0"/>
                <w:sz w:val="24"/>
                <w:szCs w:val="24"/>
                <w:highlight w:val="none"/>
                <w:lang w:val="en-US" w:eastAsia="zh-CN" w:bidi="ar-SA"/>
              </w:rPr>
              <w:t>废膨润土、纯碱包装袋</w:t>
            </w:r>
            <w:r>
              <w:rPr>
                <w:rFonts w:hint="eastAsia" w:ascii="Times New Roman" w:hAnsi="Times New Roman" w:eastAsia="宋体" w:cs="Times New Roman"/>
                <w:color w:val="auto"/>
                <w:spacing w:val="0"/>
                <w:w w:val="100"/>
                <w:sz w:val="24"/>
                <w:szCs w:val="24"/>
                <w:highlight w:val="none"/>
                <w:lang w:val="en-US" w:eastAsia="zh-CN" w:bidi="ar-SA"/>
              </w:rPr>
              <w:t>、不含油压裂砂</w:t>
            </w:r>
            <w:r>
              <w:rPr>
                <w:rFonts w:hint="eastAsia" w:ascii="Times New Roman" w:hAnsi="Times New Roman" w:eastAsia="宋体" w:cs="宋体"/>
                <w:bCs/>
                <w:color w:val="auto"/>
                <w:kern w:val="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废防渗布（不含油）</w:t>
            </w:r>
          </w:p>
          <w:p w14:paraId="36C9B6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default" w:ascii="Times New Roman" w:hAnsi="Times New Roman" w:eastAsia="宋体" w:cs="宋体"/>
                <w:bCs/>
                <w:color w:val="auto"/>
                <w:kern w:val="0"/>
                <w:sz w:val="24"/>
                <w:szCs w:val="24"/>
                <w:highlight w:val="none"/>
                <w:lang w:val="en-US" w:eastAsia="zh-CN" w:bidi="ar-SA"/>
              </w:rPr>
              <w:t>项目钻井过程产生的废膨润土、纯碱包装袋</w:t>
            </w:r>
            <w:r>
              <w:rPr>
                <w:rFonts w:hint="eastAsia" w:ascii="Times New Roman" w:hAnsi="Times New Roman" w:eastAsia="宋体" w:cs="Times New Roman"/>
                <w:color w:val="auto"/>
                <w:spacing w:val="0"/>
                <w:w w:val="100"/>
                <w:sz w:val="24"/>
                <w:szCs w:val="24"/>
                <w:highlight w:val="none"/>
                <w:lang w:val="en-US" w:eastAsia="zh-CN" w:bidi="ar-SA"/>
              </w:rPr>
              <w:t>、不含油压裂砂</w:t>
            </w:r>
            <w:r>
              <w:rPr>
                <w:rFonts w:hint="eastAsia" w:ascii="Times New Roman" w:hAnsi="Times New Roman" w:eastAsia="宋体" w:cs="宋体"/>
                <w:bCs/>
                <w:color w:val="auto"/>
                <w:kern w:val="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废防渗布（不含油）</w:t>
            </w:r>
            <w:r>
              <w:rPr>
                <w:rFonts w:hint="default" w:ascii="Times New Roman" w:hAnsi="Times New Roman" w:eastAsia="宋体" w:cs="宋体"/>
                <w:bCs/>
                <w:color w:val="auto"/>
                <w:kern w:val="0"/>
                <w:sz w:val="24"/>
                <w:szCs w:val="24"/>
                <w:highlight w:val="none"/>
                <w:lang w:val="en-US" w:eastAsia="zh-CN" w:bidi="ar-SA"/>
              </w:rPr>
              <w:t>为一般工业固废，</w:t>
            </w:r>
            <w:r>
              <w:rPr>
                <w:rFonts w:hint="eastAsia" w:ascii="Times New Roman" w:hAnsi="Times New Roman" w:eastAsia="宋体" w:cs="宋体"/>
                <w:bCs/>
                <w:color w:val="auto"/>
                <w:kern w:val="0"/>
                <w:sz w:val="24"/>
                <w:szCs w:val="24"/>
                <w:highlight w:val="none"/>
                <w:lang w:val="en-US" w:eastAsia="zh-CN" w:bidi="ar-SA"/>
              </w:rPr>
              <w:t>项目</w:t>
            </w:r>
            <w:r>
              <w:rPr>
                <w:rFonts w:hint="eastAsia" w:ascii="Times New Roman" w:hAnsi="Times New Roman" w:eastAsia="宋体" w:cs="Times New Roman"/>
                <w:color w:val="auto"/>
                <w:spacing w:val="0"/>
                <w:w w:val="100"/>
                <w:sz w:val="24"/>
                <w:szCs w:val="24"/>
                <w:highlight w:val="none"/>
                <w:lang w:val="en-US" w:eastAsia="zh-CN" w:bidi="ar-SA"/>
              </w:rPr>
              <w:t>不含油压裂砂</w:t>
            </w:r>
            <w:r>
              <w:rPr>
                <w:rFonts w:hint="eastAsia" w:ascii="Times New Roman" w:hAnsi="Times New Roman" w:eastAsia="宋体" w:cs="宋体"/>
                <w:bCs/>
                <w:color w:val="auto"/>
                <w:kern w:val="0"/>
                <w:sz w:val="24"/>
                <w:szCs w:val="24"/>
                <w:highlight w:val="none"/>
                <w:lang w:val="en-US" w:eastAsia="zh-CN" w:bidi="ar-SA"/>
              </w:rPr>
              <w:t>已由厂家回收利用，其他</w:t>
            </w:r>
            <w:r>
              <w:rPr>
                <w:rFonts w:hint="default" w:ascii="Times New Roman" w:hAnsi="Times New Roman" w:eastAsia="宋体" w:cs="宋体"/>
                <w:bCs/>
                <w:color w:val="auto"/>
                <w:kern w:val="0"/>
                <w:sz w:val="24"/>
                <w:szCs w:val="24"/>
                <w:highlight w:val="none"/>
                <w:lang w:val="en-US" w:eastAsia="zh-CN" w:bidi="ar-SA"/>
              </w:rPr>
              <w:t>统一收集后</w:t>
            </w:r>
            <w:r>
              <w:rPr>
                <w:rFonts w:hint="eastAsia" w:ascii="Times New Roman" w:hAnsi="Times New Roman" w:eastAsia="宋体" w:cs="宋体"/>
                <w:bCs/>
                <w:color w:val="auto"/>
                <w:kern w:val="0"/>
                <w:sz w:val="24"/>
                <w:szCs w:val="24"/>
                <w:highlight w:val="none"/>
                <w:lang w:val="en-US" w:eastAsia="zh-CN" w:bidi="ar-SA"/>
              </w:rPr>
              <w:t>由</w:t>
            </w:r>
            <w:r>
              <w:rPr>
                <w:rFonts w:hint="default" w:ascii="Times New Roman" w:hAnsi="Times New Roman" w:eastAsia="宋体" w:cs="宋体"/>
                <w:bCs/>
                <w:color w:val="auto"/>
                <w:kern w:val="0"/>
                <w:sz w:val="24"/>
                <w:szCs w:val="24"/>
                <w:highlight w:val="none"/>
                <w:lang w:val="en-US" w:eastAsia="zh-CN" w:bidi="ar-SA"/>
              </w:rPr>
              <w:t>施工单位（</w:t>
            </w:r>
            <w:r>
              <w:rPr>
                <w:rFonts w:hint="eastAsia" w:ascii="Times New Roman" w:hAnsi="Times New Roman" w:eastAsia="宋体" w:cs="宋体"/>
                <w:bCs/>
                <w:color w:val="auto"/>
                <w:kern w:val="0"/>
                <w:sz w:val="24"/>
                <w:szCs w:val="24"/>
                <w:highlight w:val="none"/>
                <w:lang w:val="en-US" w:eastAsia="zh-CN" w:bidi="ar-SA"/>
              </w:rPr>
              <w:t>志丹永宏50718队、五普50839HB、五普50839HB、五普40837HB</w:t>
            </w:r>
            <w:r>
              <w:rPr>
                <w:rFonts w:hint="default" w:ascii="Times New Roman" w:hAnsi="Times New Roman" w:eastAsia="宋体" w:cs="宋体"/>
                <w:bCs/>
                <w:color w:val="auto"/>
                <w:kern w:val="0"/>
                <w:sz w:val="24"/>
                <w:szCs w:val="24"/>
                <w:highlight w:val="none"/>
                <w:lang w:val="en-US" w:eastAsia="zh-CN" w:bidi="ar-SA"/>
              </w:rPr>
              <w:t>）处置</w:t>
            </w:r>
            <w:r>
              <w:rPr>
                <w:rFonts w:hint="eastAsia" w:ascii="Times New Roman" w:hAnsi="Times New Roman" w:eastAsia="宋体" w:cs="宋体"/>
                <w:bCs/>
                <w:color w:val="auto"/>
                <w:kern w:val="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未产生二次污染。</w:t>
            </w:r>
          </w:p>
          <w:p w14:paraId="0FBA94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eastAsia" w:ascii="Times New Roman" w:hAnsi="Times New Roman" w:eastAsia="宋体" w:cs="宋体"/>
                <w:bCs/>
                <w:color w:val="auto"/>
                <w:kern w:val="0"/>
                <w:sz w:val="24"/>
                <w:szCs w:val="24"/>
                <w:highlight w:val="none"/>
                <w:lang w:val="en-US" w:eastAsia="zh-CN" w:bidi="ar-SA"/>
              </w:rPr>
              <w:fldChar w:fldCharType="begin"/>
            </w:r>
            <w:r>
              <w:rPr>
                <w:rFonts w:hint="eastAsia" w:ascii="Times New Roman" w:hAnsi="Times New Roman" w:eastAsia="宋体" w:cs="宋体"/>
                <w:bCs/>
                <w:color w:val="auto"/>
                <w:kern w:val="0"/>
                <w:sz w:val="24"/>
                <w:szCs w:val="24"/>
                <w:highlight w:val="none"/>
                <w:lang w:val="en-US" w:eastAsia="zh-CN" w:bidi="ar-SA"/>
              </w:rPr>
              <w:instrText xml:space="preserve"> = 5 \* GB3 \* MERGEFORMAT </w:instrText>
            </w:r>
            <w:r>
              <w:rPr>
                <w:rFonts w:hint="eastAsia" w:ascii="Times New Roman" w:hAnsi="Times New Roman" w:eastAsia="宋体" w:cs="宋体"/>
                <w:bCs/>
                <w:color w:val="auto"/>
                <w:kern w:val="0"/>
                <w:sz w:val="24"/>
                <w:szCs w:val="24"/>
                <w:highlight w:val="none"/>
                <w:lang w:val="en-US" w:eastAsia="zh-CN" w:bidi="ar-SA"/>
              </w:rPr>
              <w:fldChar w:fldCharType="separate"/>
            </w:r>
            <w:r>
              <w:rPr>
                <w:rFonts w:hint="default"/>
                <w:color w:val="auto"/>
              </w:rPr>
              <w:t>⑤</w:t>
            </w:r>
            <w:r>
              <w:rPr>
                <w:rFonts w:hint="eastAsia" w:ascii="Times New Roman" w:hAnsi="Times New Roman" w:eastAsia="宋体" w:cs="宋体"/>
                <w:bCs/>
                <w:color w:val="auto"/>
                <w:kern w:val="0"/>
                <w:sz w:val="24"/>
                <w:szCs w:val="24"/>
                <w:highlight w:val="none"/>
                <w:lang w:val="en-US" w:eastAsia="zh-CN" w:bidi="ar-SA"/>
              </w:rPr>
              <w:fldChar w:fldCharType="end"/>
            </w:r>
            <w:r>
              <w:rPr>
                <w:rFonts w:hint="default" w:ascii="Times New Roman" w:hAnsi="Times New Roman" w:eastAsia="宋体" w:cs="宋体"/>
                <w:bCs/>
                <w:color w:val="auto"/>
                <w:kern w:val="0"/>
                <w:sz w:val="24"/>
                <w:szCs w:val="24"/>
                <w:highlight w:val="none"/>
                <w:lang w:val="en-US" w:eastAsia="zh-CN" w:bidi="ar-SA"/>
              </w:rPr>
              <w:t>建筑垃圾</w:t>
            </w:r>
          </w:p>
          <w:p w14:paraId="408548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default" w:ascii="Times New Roman" w:hAnsi="Times New Roman" w:eastAsia="宋体" w:cs="宋体"/>
                <w:bCs/>
                <w:color w:val="auto"/>
                <w:kern w:val="0"/>
                <w:sz w:val="24"/>
                <w:szCs w:val="24"/>
                <w:highlight w:val="none"/>
                <w:lang w:val="en-US" w:eastAsia="zh-CN" w:bidi="ar-SA"/>
              </w:rPr>
              <w:t>未产生建筑垃圾。</w:t>
            </w:r>
          </w:p>
          <w:p w14:paraId="6BAD6C5E">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井场内及周围无固体废物遗留。</w:t>
            </w:r>
            <w:r>
              <w:rPr>
                <w:rFonts w:hint="eastAsia" w:ascii="Times New Roman" w:hAnsi="Times New Roman" w:eastAsia="宋体" w:cs="Times New Roman"/>
                <w:color w:val="auto"/>
                <w:sz w:val="24"/>
                <w:szCs w:val="24"/>
                <w:lang w:val="en-US" w:eastAsia="zh-CN"/>
              </w:rPr>
              <w:t>根据建设单位提供的台账数据，对项目实际建设过程中产生的污染物与环评预估值进行了对比与统计，见下表。</w:t>
            </w:r>
          </w:p>
          <w:p w14:paraId="21A3F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2" w:firstLineChars="20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表4-</w:t>
            </w:r>
            <w:r>
              <w:rPr>
                <w:rFonts w:hint="eastAsia" w:ascii="Times New Roman" w:hAnsi="Times New Roman" w:eastAsia="宋体" w:cs="Times New Roman"/>
                <w:b/>
                <w:bCs/>
                <w:color w:val="auto"/>
                <w:sz w:val="21"/>
                <w:szCs w:val="21"/>
                <w:lang w:val="en-US" w:eastAsia="zh-CN"/>
              </w:rPr>
              <w:t>5</w:t>
            </w:r>
            <w:r>
              <w:rPr>
                <w:rFonts w:hint="default" w:ascii="Times New Roman" w:hAnsi="Times New Roman" w:eastAsia="宋体" w:cs="Times New Roman"/>
                <w:b/>
                <w:bCs/>
                <w:color w:val="auto"/>
                <w:sz w:val="21"/>
                <w:szCs w:val="21"/>
              </w:rPr>
              <w:t xml:space="preserve">  项目污染物产生</w:t>
            </w:r>
            <w:r>
              <w:rPr>
                <w:rFonts w:hint="eastAsia" w:ascii="Times New Roman" w:hAnsi="Times New Roman" w:eastAsia="宋体" w:cs="Times New Roman"/>
                <w:b/>
                <w:bCs/>
                <w:color w:val="auto"/>
                <w:sz w:val="21"/>
                <w:szCs w:val="21"/>
                <w:lang w:eastAsia="zh-CN"/>
              </w:rPr>
              <w:t>、</w:t>
            </w:r>
            <w:r>
              <w:rPr>
                <w:rFonts w:hint="eastAsia" w:ascii="Times New Roman" w:hAnsi="Times New Roman" w:eastAsia="宋体" w:cs="Times New Roman"/>
                <w:b/>
                <w:bCs/>
                <w:color w:val="auto"/>
                <w:sz w:val="21"/>
                <w:szCs w:val="21"/>
                <w:lang w:val="en-US" w:eastAsia="zh-CN"/>
              </w:rPr>
              <w:t>处置情况</w:t>
            </w:r>
            <w:r>
              <w:rPr>
                <w:rFonts w:hint="default" w:ascii="Times New Roman" w:hAnsi="Times New Roman" w:eastAsia="宋体" w:cs="Times New Roman"/>
                <w:b/>
                <w:bCs/>
                <w:color w:val="auto"/>
                <w:sz w:val="21"/>
                <w:szCs w:val="21"/>
              </w:rPr>
              <w:t>一览表</w:t>
            </w:r>
          </w:p>
          <w:tbl>
            <w:tblPr>
              <w:tblStyle w:val="25"/>
              <w:tblW w:w="4998"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12"/>
              <w:gridCol w:w="865"/>
              <w:gridCol w:w="451"/>
              <w:gridCol w:w="930"/>
              <w:gridCol w:w="778"/>
              <w:gridCol w:w="2572"/>
              <w:gridCol w:w="2165"/>
            </w:tblGrid>
            <w:tr w14:paraId="308617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309" w:type="pct"/>
                  <w:tcBorders>
                    <w:tl2br w:val="nil"/>
                    <w:tr2bl w:val="nil"/>
                  </w:tcBorders>
                  <w:vAlign w:val="center"/>
                </w:tcPr>
                <w:p w14:paraId="4514DD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序号</w:t>
                  </w:r>
                </w:p>
              </w:tc>
              <w:tc>
                <w:tcPr>
                  <w:tcW w:w="522" w:type="pct"/>
                  <w:tcBorders>
                    <w:tl2br w:val="nil"/>
                    <w:tr2bl w:val="nil"/>
                  </w:tcBorders>
                  <w:vAlign w:val="center"/>
                </w:tcPr>
                <w:p w14:paraId="6E1DF3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名称</w:t>
                  </w:r>
                </w:p>
              </w:tc>
              <w:tc>
                <w:tcPr>
                  <w:tcW w:w="272" w:type="pct"/>
                  <w:tcBorders>
                    <w:tl2br w:val="nil"/>
                    <w:tr2bl w:val="nil"/>
                  </w:tcBorders>
                  <w:vAlign w:val="center"/>
                </w:tcPr>
                <w:p w14:paraId="25D90C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单位</w:t>
                  </w:r>
                </w:p>
              </w:tc>
              <w:tc>
                <w:tcPr>
                  <w:tcW w:w="562" w:type="pct"/>
                  <w:tcBorders>
                    <w:tl2br w:val="nil"/>
                    <w:tr2bl w:val="nil"/>
                  </w:tcBorders>
                  <w:vAlign w:val="center"/>
                </w:tcPr>
                <w:p w14:paraId="143F7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环评阶段预计产生量</w:t>
                  </w:r>
                </w:p>
              </w:tc>
              <w:tc>
                <w:tcPr>
                  <w:tcW w:w="470" w:type="pct"/>
                  <w:tcBorders>
                    <w:tl2br w:val="nil"/>
                    <w:tr2bl w:val="nil"/>
                  </w:tcBorders>
                  <w:vAlign w:val="center"/>
                </w:tcPr>
                <w:p w14:paraId="361C98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实际产生量</w:t>
                  </w:r>
                </w:p>
              </w:tc>
              <w:tc>
                <w:tcPr>
                  <w:tcW w:w="1554" w:type="pct"/>
                  <w:tcBorders>
                    <w:tl2br w:val="nil"/>
                    <w:tr2bl w:val="nil"/>
                  </w:tcBorders>
                  <w:vAlign w:val="center"/>
                </w:tcPr>
                <w:p w14:paraId="308D9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处置方式</w:t>
                  </w:r>
                </w:p>
              </w:tc>
              <w:tc>
                <w:tcPr>
                  <w:tcW w:w="1308" w:type="pct"/>
                  <w:tcBorders>
                    <w:tl2br w:val="nil"/>
                    <w:tr2bl w:val="nil"/>
                  </w:tcBorders>
                  <w:vAlign w:val="center"/>
                </w:tcPr>
                <w:p w14:paraId="2DE760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备注</w:t>
                  </w:r>
                </w:p>
              </w:tc>
            </w:tr>
            <w:tr w14:paraId="7CD7FC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32" w:hRule="atLeast"/>
              </w:trPr>
              <w:tc>
                <w:tcPr>
                  <w:tcW w:w="309" w:type="pct"/>
                  <w:tcBorders>
                    <w:tl2br w:val="nil"/>
                    <w:tr2bl w:val="nil"/>
                  </w:tcBorders>
                  <w:vAlign w:val="center"/>
                </w:tcPr>
                <w:p w14:paraId="49BD55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1</w:t>
                  </w:r>
                </w:p>
              </w:tc>
              <w:tc>
                <w:tcPr>
                  <w:tcW w:w="522" w:type="pct"/>
                  <w:tcBorders>
                    <w:tl2br w:val="nil"/>
                    <w:tr2bl w:val="nil"/>
                  </w:tcBorders>
                  <w:vAlign w:val="center"/>
                </w:tcPr>
                <w:p w14:paraId="6BB9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rPr>
                  </w:pPr>
                  <w:r>
                    <w:rPr>
                      <w:rFonts w:hint="eastAsia" w:ascii="Times New Roman" w:hAnsi="Times New Roman" w:eastAsia="宋体" w:cs="Times New Roman"/>
                      <w:b w:val="0"/>
                      <w:bCs w:val="0"/>
                      <w:color w:val="auto"/>
                      <w:sz w:val="21"/>
                      <w:szCs w:val="21"/>
                      <w:lang w:val="en-US" w:eastAsia="zh-CN"/>
                    </w:rPr>
                    <w:t>施工废液</w:t>
                  </w:r>
                </w:p>
              </w:tc>
              <w:tc>
                <w:tcPr>
                  <w:tcW w:w="272" w:type="pct"/>
                  <w:tcBorders>
                    <w:tl2br w:val="nil"/>
                    <w:tr2bl w:val="nil"/>
                  </w:tcBorders>
                  <w:vAlign w:val="center"/>
                </w:tcPr>
                <w:p w14:paraId="7D0DBB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eastAsia="zh-CN"/>
                    </w:rPr>
                  </w:pPr>
                  <w:r>
                    <w:rPr>
                      <w:rFonts w:hint="eastAsia" w:ascii="Times New Roman" w:hAnsi="Times New Roman" w:eastAsia="宋体" w:cs="Times New Roman"/>
                      <w:b w:val="0"/>
                      <w:bCs w:val="0"/>
                      <w:color w:val="auto"/>
                      <w:sz w:val="21"/>
                      <w:szCs w:val="21"/>
                      <w:lang w:val="en-US" w:eastAsia="zh-CN"/>
                    </w:rPr>
                    <w:t>m</w:t>
                  </w:r>
                  <w:r>
                    <w:rPr>
                      <w:rFonts w:hint="eastAsia" w:ascii="Times New Roman" w:hAnsi="Times New Roman" w:eastAsia="宋体" w:cs="Times New Roman"/>
                      <w:b w:val="0"/>
                      <w:bCs w:val="0"/>
                      <w:color w:val="auto"/>
                      <w:sz w:val="21"/>
                      <w:szCs w:val="21"/>
                      <w:vertAlign w:val="superscript"/>
                      <w:lang w:val="en-US" w:eastAsia="zh-CN"/>
                    </w:rPr>
                    <w:t>3</w:t>
                  </w:r>
                </w:p>
              </w:tc>
              <w:tc>
                <w:tcPr>
                  <w:tcW w:w="562" w:type="pct"/>
                  <w:tcBorders>
                    <w:tl2br w:val="nil"/>
                    <w:tr2bl w:val="nil"/>
                  </w:tcBorders>
                  <w:shd w:val="clear" w:color="auto" w:fill="auto"/>
                  <w:vAlign w:val="center"/>
                </w:tcPr>
                <w:p w14:paraId="6B98CD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8658.8</w:t>
                  </w:r>
                </w:p>
              </w:tc>
              <w:tc>
                <w:tcPr>
                  <w:tcW w:w="470" w:type="pct"/>
                  <w:tcBorders>
                    <w:tl2br w:val="nil"/>
                    <w:tr2bl w:val="nil"/>
                  </w:tcBorders>
                  <w:shd w:val="clear" w:color="auto" w:fill="auto"/>
                  <w:vAlign w:val="center"/>
                </w:tcPr>
                <w:p w14:paraId="54CD14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2136.41</w:t>
                  </w:r>
                </w:p>
              </w:tc>
              <w:tc>
                <w:tcPr>
                  <w:tcW w:w="1554" w:type="pct"/>
                  <w:tcBorders>
                    <w:tl2br w:val="nil"/>
                    <w:tr2bl w:val="nil"/>
                  </w:tcBorders>
                  <w:shd w:val="clear" w:color="auto" w:fill="auto"/>
                  <w:vAlign w:val="center"/>
                </w:tcPr>
                <w:p w14:paraId="2C5CC4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Cs/>
                      <w:color w:val="auto"/>
                      <w:spacing w:val="0"/>
                      <w:sz w:val="21"/>
                      <w:szCs w:val="21"/>
                      <w:highlight w:val="none"/>
                      <w:lang w:val="en-US" w:eastAsia="zh-CN"/>
                    </w:rPr>
                    <w:t>本项目采取泥浆不落地处理工艺，经固液分离后产生的钻井废水部分回用于配置钻井泥浆，不可回用部分同洗井废水、压裂返排液一起由地上收集罐统一收集，井下作业完成后，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eastAsia" w:ascii="Times New Roman" w:hAnsi="Times New Roman" w:eastAsia="宋体" w:cs="Times New Roman"/>
                      <w:b w:val="0"/>
                      <w:bCs w:val="0"/>
                      <w:color w:val="auto"/>
                      <w:sz w:val="21"/>
                      <w:szCs w:val="21"/>
                      <w:lang w:val="en-US" w:eastAsia="zh-CN"/>
                    </w:rPr>
                    <w:t>，无外排</w:t>
                  </w:r>
                </w:p>
              </w:tc>
              <w:tc>
                <w:tcPr>
                  <w:tcW w:w="1308" w:type="pct"/>
                  <w:tcBorders>
                    <w:tl2br w:val="nil"/>
                    <w:tr2bl w:val="nil"/>
                  </w:tcBorders>
                  <w:shd w:val="clear" w:color="auto" w:fill="auto"/>
                  <w:vAlign w:val="center"/>
                </w:tcPr>
                <w:p w14:paraId="428A14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eastAsia" w:ascii="Times New Roman" w:hAnsi="Times New Roman" w:eastAsia="宋体" w:cs="Times New Roman"/>
                      <w:color w:val="auto"/>
                      <w:sz w:val="21"/>
                      <w:szCs w:val="21"/>
                      <w:lang w:val="en-US" w:eastAsia="zh-CN"/>
                    </w:rPr>
                    <w:t>，施工废液实际产生量随着井深变浅而减少，本次只针对批复的4口进行验收。综上，废液产生量较环评预估值减少，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该变</w:t>
                  </w:r>
                  <w:r>
                    <w:rPr>
                      <w:rFonts w:hint="eastAsia" w:ascii="Times New Roman" w:hAnsi="Times New Roman" w:eastAsia="宋体" w:cs="Times New Roman"/>
                      <w:color w:val="auto"/>
                      <w:sz w:val="21"/>
                      <w:szCs w:val="21"/>
                      <w:lang w:val="en-US" w:eastAsia="zh-CN"/>
                    </w:rPr>
                    <w:t>化</w:t>
                  </w:r>
                  <w:r>
                    <w:rPr>
                      <w:rFonts w:hint="default" w:ascii="Times New Roman" w:hAnsi="Times New Roman" w:eastAsia="宋体" w:cs="Times New Roman"/>
                      <w:color w:val="auto"/>
                      <w:sz w:val="21"/>
                      <w:szCs w:val="21"/>
                      <w:lang w:val="en-US" w:eastAsia="zh-CN"/>
                    </w:rPr>
                    <w:t>未导致环境影响或环境风险增大</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不属于重大变更</w:t>
                  </w:r>
                </w:p>
              </w:tc>
            </w:tr>
            <w:tr w14:paraId="1C06D3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vAlign w:val="center"/>
                </w:tcPr>
                <w:p w14:paraId="105EF9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2</w:t>
                  </w:r>
                </w:p>
              </w:tc>
              <w:tc>
                <w:tcPr>
                  <w:tcW w:w="522" w:type="pct"/>
                  <w:tcBorders>
                    <w:tl2br w:val="nil"/>
                    <w:tr2bl w:val="nil"/>
                  </w:tcBorders>
                  <w:vAlign w:val="center"/>
                </w:tcPr>
                <w:p w14:paraId="77791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生活污水</w:t>
                  </w:r>
                </w:p>
              </w:tc>
              <w:tc>
                <w:tcPr>
                  <w:tcW w:w="272" w:type="pct"/>
                  <w:tcBorders>
                    <w:tl2br w:val="nil"/>
                    <w:tr2bl w:val="nil"/>
                  </w:tcBorders>
                  <w:vAlign w:val="center"/>
                </w:tcPr>
                <w:p w14:paraId="19AAC4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m</w:t>
                  </w:r>
                  <w:r>
                    <w:rPr>
                      <w:rFonts w:hint="eastAsia" w:ascii="Times New Roman" w:hAnsi="Times New Roman" w:eastAsia="宋体" w:cs="Times New Roman"/>
                      <w:b w:val="0"/>
                      <w:bCs w:val="0"/>
                      <w:color w:val="auto"/>
                      <w:sz w:val="21"/>
                      <w:szCs w:val="21"/>
                      <w:vertAlign w:val="superscript"/>
                      <w:lang w:val="en-US" w:eastAsia="zh-CN"/>
                    </w:rPr>
                    <w:t>3</w:t>
                  </w:r>
                </w:p>
              </w:tc>
              <w:tc>
                <w:tcPr>
                  <w:tcW w:w="562" w:type="pct"/>
                  <w:tcBorders>
                    <w:tl2br w:val="nil"/>
                    <w:tr2bl w:val="nil"/>
                  </w:tcBorders>
                  <w:shd w:val="clear" w:color="auto" w:fill="auto"/>
                  <w:vAlign w:val="center"/>
                </w:tcPr>
                <w:p w14:paraId="2F8729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369.6</w:t>
                  </w:r>
                </w:p>
              </w:tc>
              <w:tc>
                <w:tcPr>
                  <w:tcW w:w="470" w:type="pct"/>
                  <w:tcBorders>
                    <w:tl2br w:val="nil"/>
                    <w:tr2bl w:val="nil"/>
                  </w:tcBorders>
                  <w:shd w:val="clear" w:color="auto" w:fill="auto"/>
                  <w:vAlign w:val="center"/>
                </w:tcPr>
                <w:p w14:paraId="14DCB4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112.3</w:t>
                  </w:r>
                </w:p>
              </w:tc>
              <w:tc>
                <w:tcPr>
                  <w:tcW w:w="1554" w:type="pct"/>
                  <w:tcBorders>
                    <w:tl2br w:val="nil"/>
                    <w:tr2bl w:val="nil"/>
                  </w:tcBorders>
                  <w:shd w:val="clear" w:color="auto" w:fill="auto"/>
                  <w:vAlign w:val="center"/>
                </w:tcPr>
                <w:p w14:paraId="117F3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pacing w:val="0"/>
                      <w:kern w:val="21"/>
                      <w:sz w:val="21"/>
                      <w:szCs w:val="21"/>
                      <w:highlight w:val="none"/>
                      <w:lang w:eastAsia="zh-CN"/>
                    </w:rPr>
                    <w:t>井场内设置移动式环保厕所，定期清掏，用于周边农田堆肥</w:t>
                  </w:r>
                  <w:r>
                    <w:rPr>
                      <w:rFonts w:hint="eastAsia" w:ascii="Times New Roman" w:hAnsi="Times New Roman" w:eastAsia="宋体" w:cs="Times New Roman"/>
                      <w:color w:val="auto"/>
                      <w:spacing w:val="0"/>
                      <w:kern w:val="21"/>
                      <w:sz w:val="21"/>
                      <w:szCs w:val="21"/>
                      <w:highlight w:val="none"/>
                      <w:lang w:eastAsia="zh-CN"/>
                    </w:rPr>
                    <w:t>；盥洗废水就地泼洒用于施工场地抑尘。</w:t>
                  </w:r>
                  <w:r>
                    <w:rPr>
                      <w:rFonts w:hint="eastAsia" w:ascii="Times New Roman" w:hAnsi="Times New Roman" w:eastAsia="宋体" w:cs="Times New Roman"/>
                      <w:b w:val="0"/>
                      <w:bCs w:val="0"/>
                      <w:color w:val="auto"/>
                      <w:sz w:val="21"/>
                      <w:szCs w:val="21"/>
                      <w:lang w:val="en-US" w:eastAsia="zh-CN"/>
                    </w:rPr>
                    <w:t>无外排</w:t>
                  </w:r>
                </w:p>
              </w:tc>
              <w:tc>
                <w:tcPr>
                  <w:tcW w:w="1308" w:type="pct"/>
                  <w:tcBorders>
                    <w:tl2br w:val="nil"/>
                    <w:tr2bl w:val="nil"/>
                  </w:tcBorders>
                  <w:shd w:val="clear" w:color="auto" w:fill="auto"/>
                  <w:vAlign w:val="center"/>
                </w:tcPr>
                <w:p w14:paraId="6123E0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rPr>
                    <w:t>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，不属于重大变更</w:t>
                  </w:r>
                </w:p>
              </w:tc>
            </w:tr>
            <w:tr w14:paraId="5DEE35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vAlign w:val="center"/>
                </w:tcPr>
                <w:p w14:paraId="28965D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3</w:t>
                  </w:r>
                </w:p>
              </w:tc>
              <w:tc>
                <w:tcPr>
                  <w:tcW w:w="522" w:type="pct"/>
                  <w:tcBorders>
                    <w:tl2br w:val="nil"/>
                    <w:tr2bl w:val="nil"/>
                  </w:tcBorders>
                  <w:vAlign w:val="center"/>
                </w:tcPr>
                <w:p w14:paraId="13C74B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钻井岩屑、废弃泥浆</w:t>
                  </w:r>
                </w:p>
              </w:tc>
              <w:tc>
                <w:tcPr>
                  <w:tcW w:w="272" w:type="pct"/>
                  <w:tcBorders>
                    <w:tl2br w:val="nil"/>
                    <w:tr2bl w:val="nil"/>
                  </w:tcBorders>
                  <w:vAlign w:val="center"/>
                </w:tcPr>
                <w:p w14:paraId="5911A1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60FC5E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6525.32</w:t>
                  </w:r>
                </w:p>
              </w:tc>
              <w:tc>
                <w:tcPr>
                  <w:tcW w:w="470" w:type="pct"/>
                  <w:tcBorders>
                    <w:tl2br w:val="nil"/>
                    <w:tr2bl w:val="nil"/>
                  </w:tcBorders>
                  <w:shd w:val="clear" w:color="auto" w:fill="auto"/>
                  <w:vAlign w:val="center"/>
                </w:tcPr>
                <w:p w14:paraId="17240A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2436.65</w:t>
                  </w:r>
                </w:p>
              </w:tc>
              <w:tc>
                <w:tcPr>
                  <w:tcW w:w="1554" w:type="pct"/>
                  <w:tcBorders>
                    <w:bottom w:val="single" w:color="auto" w:sz="4" w:space="0"/>
                    <w:tl2br w:val="nil"/>
                    <w:tr2bl w:val="nil"/>
                  </w:tcBorders>
                  <w:vAlign w:val="center"/>
                </w:tcPr>
                <w:p w14:paraId="37CF5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tcBorders>
                    <w:bottom w:val="single" w:color="auto" w:sz="4" w:space="0"/>
                    <w:tl2br w:val="nil"/>
                    <w:tr2bl w:val="nil"/>
                  </w:tcBorders>
                  <w:vAlign w:val="center"/>
                </w:tcPr>
                <w:p w14:paraId="3E5F0B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eastAsia" w:ascii="Times New Roman" w:hAnsi="Times New Roman" w:eastAsia="宋体" w:cs="Times New Roman"/>
                      <w:color w:val="auto"/>
                      <w:sz w:val="21"/>
                      <w:szCs w:val="21"/>
                      <w:lang w:val="en-US" w:eastAsia="zh-CN"/>
                    </w:rPr>
                    <w:t>，固体废物实际产生量随着井深变浅而增减少，本次只针对批复的4口进行验收。综上，固废产生量较环评预估值减少，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该变</w:t>
                  </w:r>
                  <w:r>
                    <w:rPr>
                      <w:rFonts w:hint="eastAsia" w:ascii="Times New Roman" w:hAnsi="Times New Roman" w:eastAsia="宋体" w:cs="Times New Roman"/>
                      <w:color w:val="auto"/>
                      <w:sz w:val="21"/>
                      <w:szCs w:val="21"/>
                      <w:lang w:val="en-US" w:eastAsia="zh-CN"/>
                    </w:rPr>
                    <w:t>化</w:t>
                  </w:r>
                  <w:r>
                    <w:rPr>
                      <w:rFonts w:hint="default" w:ascii="Times New Roman" w:hAnsi="Times New Roman" w:eastAsia="宋体" w:cs="Times New Roman"/>
                      <w:color w:val="auto"/>
                      <w:sz w:val="21"/>
                      <w:szCs w:val="21"/>
                      <w:lang w:val="en-US" w:eastAsia="zh-CN"/>
                    </w:rPr>
                    <w:t>未导致环境影响或环境风险增大</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不属于重大变更</w:t>
                  </w:r>
                </w:p>
                <w:p w14:paraId="491EDD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spacing w:val="0"/>
                      <w:sz w:val="21"/>
                      <w:szCs w:val="21"/>
                      <w:highlight w:val="none"/>
                      <w:lang w:val="en-US" w:eastAsia="zh-CN" w:bidi="ar-SA"/>
                    </w:rPr>
                  </w:pPr>
                </w:p>
              </w:tc>
            </w:tr>
            <w:tr w14:paraId="084D93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0076E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4</w:t>
                  </w:r>
                </w:p>
              </w:tc>
              <w:tc>
                <w:tcPr>
                  <w:tcW w:w="522" w:type="pct"/>
                  <w:tcBorders>
                    <w:tl2br w:val="nil"/>
                    <w:tr2bl w:val="nil"/>
                  </w:tcBorders>
                  <w:shd w:val="clear" w:color="auto" w:fill="auto"/>
                  <w:vAlign w:val="center"/>
                </w:tcPr>
                <w:p w14:paraId="616497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废防渗布（不含油）</w:t>
                  </w:r>
                </w:p>
              </w:tc>
              <w:tc>
                <w:tcPr>
                  <w:tcW w:w="272" w:type="pct"/>
                  <w:tcBorders>
                    <w:tl2br w:val="nil"/>
                    <w:tr2bl w:val="nil"/>
                  </w:tcBorders>
                  <w:shd w:val="clear" w:color="auto" w:fill="auto"/>
                  <w:vAlign w:val="center"/>
                </w:tcPr>
                <w:p w14:paraId="036969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7991492C">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color w:val="auto"/>
                      <w:sz w:val="21"/>
                      <w:szCs w:val="21"/>
                      <w:lang w:val="en-US" w:eastAsia="zh-CN"/>
                    </w:rPr>
                    <w:t>0.01</w:t>
                  </w:r>
                </w:p>
              </w:tc>
              <w:tc>
                <w:tcPr>
                  <w:tcW w:w="778" w:type="dxa"/>
                  <w:tcBorders>
                    <w:tl2br w:val="nil"/>
                    <w:tr2bl w:val="nil"/>
                  </w:tcBorders>
                  <w:shd w:val="clear" w:color="auto" w:fill="auto"/>
                  <w:vAlign w:val="center"/>
                </w:tcPr>
                <w:p w14:paraId="71A522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0.001</w:t>
                  </w:r>
                </w:p>
              </w:tc>
              <w:tc>
                <w:tcPr>
                  <w:tcW w:w="1554" w:type="pct"/>
                  <w:tcBorders>
                    <w:top w:val="single" w:color="auto" w:sz="4" w:space="0"/>
                    <w:tl2br w:val="nil"/>
                    <w:tr2bl w:val="nil"/>
                  </w:tcBorders>
                  <w:shd w:val="clear" w:color="auto" w:fill="auto"/>
                  <w:vAlign w:val="center"/>
                </w:tcPr>
                <w:p w14:paraId="3F2E5C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由施工单位（志丹永宏50718队、五普50839HB、五普50839HB、五普40837HB）处置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restart"/>
                  <w:tcBorders>
                    <w:top w:val="single" w:color="auto" w:sz="4" w:space="0"/>
                    <w:tl2br w:val="nil"/>
                    <w:tr2bl w:val="nil"/>
                  </w:tcBorders>
                  <w:shd w:val="clear" w:color="auto" w:fill="auto"/>
                  <w:vAlign w:val="center"/>
                </w:tcPr>
                <w:p w14:paraId="55C56F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lang w:val="en-US" w:eastAsia="zh-CN"/>
                    </w:rPr>
                    <w:t>本次只针对批复的4口进行验收，固体废物产生量较环评减少</w:t>
                  </w:r>
                  <w:r>
                    <w:rPr>
                      <w:rFonts w:hint="default" w:ascii="Times New Roman" w:hAnsi="Times New Roman" w:eastAsia="宋体" w:cs="Times New Roman"/>
                      <w:color w:val="auto"/>
                      <w:sz w:val="21"/>
                      <w:szCs w:val="21"/>
                      <w:lang w:val="en-US" w:eastAsia="zh-CN"/>
                    </w:rPr>
                    <w:t>，均得到了有效处置，该变化未导致环境影响或环境风险增大，未产生二次污染。不属于重大变更</w:t>
                  </w:r>
                </w:p>
              </w:tc>
            </w:tr>
            <w:tr w14:paraId="22EFEE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140609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5</w:t>
                  </w:r>
                </w:p>
              </w:tc>
              <w:tc>
                <w:tcPr>
                  <w:tcW w:w="522" w:type="pct"/>
                  <w:tcBorders>
                    <w:tl2br w:val="nil"/>
                    <w:tr2bl w:val="nil"/>
                  </w:tcBorders>
                  <w:shd w:val="clear" w:color="auto" w:fill="auto"/>
                  <w:vAlign w:val="center"/>
                </w:tcPr>
                <w:p w14:paraId="769032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w:t>
                  </w:r>
                </w:p>
              </w:tc>
              <w:tc>
                <w:tcPr>
                  <w:tcW w:w="272" w:type="pct"/>
                  <w:tcBorders>
                    <w:tl2br w:val="nil"/>
                    <w:tr2bl w:val="nil"/>
                  </w:tcBorders>
                  <w:shd w:val="clear" w:color="auto" w:fill="auto"/>
                  <w:vAlign w:val="center"/>
                </w:tcPr>
                <w:p w14:paraId="776145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47FCBFB5">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cs="Times New Roman"/>
                      <w:color w:val="auto"/>
                      <w:sz w:val="21"/>
                      <w:szCs w:val="21"/>
                      <w:lang w:val="en-US" w:eastAsia="zh-CN"/>
                    </w:rPr>
                    <w:t>3.3</w:t>
                  </w:r>
                </w:p>
              </w:tc>
              <w:tc>
                <w:tcPr>
                  <w:tcW w:w="778" w:type="dxa"/>
                  <w:tcBorders>
                    <w:tl2br w:val="nil"/>
                    <w:tr2bl w:val="nil"/>
                  </w:tcBorders>
                  <w:shd w:val="clear" w:color="auto" w:fill="auto"/>
                  <w:vAlign w:val="center"/>
                </w:tcPr>
                <w:p w14:paraId="77DD47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0.8</w:t>
                  </w:r>
                </w:p>
              </w:tc>
              <w:tc>
                <w:tcPr>
                  <w:tcW w:w="1554" w:type="pct"/>
                  <w:tcBorders>
                    <w:tl2br w:val="nil"/>
                    <w:tr2bl w:val="nil"/>
                  </w:tcBorders>
                  <w:shd w:val="clear" w:color="auto" w:fill="auto"/>
                  <w:vAlign w:val="center"/>
                </w:tcPr>
                <w:p w14:paraId="04B0AD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由厂家回收利用</w:t>
                  </w:r>
                </w:p>
              </w:tc>
              <w:tc>
                <w:tcPr>
                  <w:tcW w:w="1308" w:type="pct"/>
                  <w:vMerge w:val="continue"/>
                  <w:tcBorders>
                    <w:tl2br w:val="nil"/>
                    <w:tr2bl w:val="nil"/>
                  </w:tcBorders>
                  <w:shd w:val="clear" w:color="auto" w:fill="auto"/>
                  <w:vAlign w:val="center"/>
                </w:tcPr>
                <w:p w14:paraId="1CE66E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p>
              </w:tc>
            </w:tr>
            <w:tr w14:paraId="2791AC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66E7C3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6</w:t>
                  </w:r>
                </w:p>
              </w:tc>
              <w:tc>
                <w:tcPr>
                  <w:tcW w:w="522" w:type="pct"/>
                  <w:tcBorders>
                    <w:tl2br w:val="nil"/>
                    <w:tr2bl w:val="nil"/>
                  </w:tcBorders>
                  <w:shd w:val="clear" w:color="auto" w:fill="auto"/>
                  <w:vAlign w:val="center"/>
                </w:tcPr>
                <w:p w14:paraId="100576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被污染的防渗布</w:t>
                  </w:r>
                </w:p>
              </w:tc>
              <w:tc>
                <w:tcPr>
                  <w:tcW w:w="272" w:type="pct"/>
                  <w:tcBorders>
                    <w:tl2br w:val="nil"/>
                    <w:tr2bl w:val="nil"/>
                  </w:tcBorders>
                  <w:shd w:val="clear" w:color="auto" w:fill="auto"/>
                  <w:vAlign w:val="center"/>
                </w:tcPr>
                <w:p w14:paraId="450E3F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6D199792">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 w:val="21"/>
                      <w:szCs w:val="21"/>
                    </w:rPr>
                    <w:t>0.00</w:t>
                  </w:r>
                  <w:r>
                    <w:rPr>
                      <w:rFonts w:hint="eastAsia" w:ascii="Times New Roman" w:hAnsi="Times New Roman" w:cs="Times New Roman"/>
                      <w:color w:val="auto"/>
                      <w:sz w:val="21"/>
                      <w:szCs w:val="21"/>
                      <w:lang w:val="en-US" w:eastAsia="zh-CN"/>
                    </w:rPr>
                    <w:t>4</w:t>
                  </w:r>
                </w:p>
              </w:tc>
              <w:tc>
                <w:tcPr>
                  <w:tcW w:w="778" w:type="dxa"/>
                  <w:tcBorders>
                    <w:tl2br w:val="nil"/>
                    <w:tr2bl w:val="nil"/>
                  </w:tcBorders>
                  <w:shd w:val="clear" w:color="auto" w:fill="auto"/>
                  <w:vAlign w:val="center"/>
                </w:tcPr>
                <w:p w14:paraId="77D0DF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0.001</w:t>
                  </w:r>
                </w:p>
              </w:tc>
              <w:tc>
                <w:tcPr>
                  <w:tcW w:w="1554" w:type="pct"/>
                  <w:tcBorders>
                    <w:tl2br w:val="nil"/>
                    <w:tr2bl w:val="nil"/>
                  </w:tcBorders>
                  <w:shd w:val="clear" w:color="auto" w:fill="auto"/>
                  <w:vAlign w:val="center"/>
                </w:tcPr>
                <w:p w14:paraId="046C84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tl2br w:val="nil"/>
                    <w:tr2bl w:val="nil"/>
                  </w:tcBorders>
                  <w:shd w:val="clear" w:color="auto" w:fill="auto"/>
                  <w:vAlign w:val="center"/>
                </w:tcPr>
                <w:p w14:paraId="6694C7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01322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73E012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7</w:t>
                  </w:r>
                </w:p>
              </w:tc>
              <w:tc>
                <w:tcPr>
                  <w:tcW w:w="522" w:type="pct"/>
                  <w:tcBorders>
                    <w:tl2br w:val="nil"/>
                    <w:tr2bl w:val="nil"/>
                  </w:tcBorders>
                  <w:shd w:val="clear" w:color="auto" w:fill="auto"/>
                  <w:vAlign w:val="center"/>
                </w:tcPr>
                <w:p w14:paraId="75AB2C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落地油</w:t>
                  </w:r>
                </w:p>
              </w:tc>
              <w:tc>
                <w:tcPr>
                  <w:tcW w:w="272" w:type="pct"/>
                  <w:tcBorders>
                    <w:tl2br w:val="nil"/>
                    <w:tr2bl w:val="nil"/>
                  </w:tcBorders>
                  <w:shd w:val="clear" w:color="auto" w:fill="auto"/>
                  <w:vAlign w:val="center"/>
                </w:tcPr>
                <w:p w14:paraId="55EDA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3DCF4FBB">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cs="Times New Roman"/>
                      <w:color w:val="auto"/>
                      <w:sz w:val="21"/>
                      <w:szCs w:val="21"/>
                      <w:lang w:val="en-US" w:eastAsia="zh-CN"/>
                    </w:rPr>
                    <w:t>2.4</w:t>
                  </w:r>
                </w:p>
              </w:tc>
              <w:tc>
                <w:tcPr>
                  <w:tcW w:w="778" w:type="dxa"/>
                  <w:tcBorders>
                    <w:tl2br w:val="nil"/>
                    <w:tr2bl w:val="nil"/>
                  </w:tcBorders>
                  <w:shd w:val="clear" w:color="auto" w:fill="auto"/>
                  <w:vAlign w:val="center"/>
                </w:tcPr>
                <w:p w14:paraId="2A48B7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0.9</w:t>
                  </w:r>
                </w:p>
              </w:tc>
              <w:tc>
                <w:tcPr>
                  <w:tcW w:w="1554" w:type="pct"/>
                  <w:tcBorders>
                    <w:tl2br w:val="nil"/>
                    <w:tr2bl w:val="nil"/>
                  </w:tcBorders>
                  <w:shd w:val="clear" w:color="auto" w:fill="auto"/>
                  <w:vAlign w:val="center"/>
                </w:tcPr>
                <w:p w14:paraId="27FE4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tl2br w:val="nil"/>
                    <w:tr2bl w:val="nil"/>
                  </w:tcBorders>
                  <w:shd w:val="clear" w:color="auto" w:fill="auto"/>
                  <w:vAlign w:val="center"/>
                </w:tcPr>
                <w:p w14:paraId="7C313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7D449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170CAF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8</w:t>
                  </w:r>
                </w:p>
              </w:tc>
              <w:tc>
                <w:tcPr>
                  <w:tcW w:w="522" w:type="pct"/>
                  <w:tcBorders>
                    <w:tl2br w:val="nil"/>
                    <w:tr2bl w:val="nil"/>
                  </w:tcBorders>
                  <w:shd w:val="clear" w:color="auto" w:fill="auto"/>
                  <w:vAlign w:val="center"/>
                </w:tcPr>
                <w:p w14:paraId="322917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纯碱、膨润土废弃包装</w:t>
                  </w:r>
                </w:p>
              </w:tc>
              <w:tc>
                <w:tcPr>
                  <w:tcW w:w="272" w:type="pct"/>
                  <w:tcBorders>
                    <w:tl2br w:val="nil"/>
                    <w:tr2bl w:val="nil"/>
                  </w:tcBorders>
                  <w:shd w:val="clear" w:color="auto" w:fill="auto"/>
                  <w:vAlign w:val="center"/>
                </w:tcPr>
                <w:p w14:paraId="30B2DE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5BBEB7D0">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cs="Times New Roman"/>
                      <w:color w:val="auto"/>
                      <w:sz w:val="21"/>
                      <w:szCs w:val="21"/>
                    </w:rPr>
                    <w:t>0.0</w:t>
                  </w:r>
                  <w:r>
                    <w:rPr>
                      <w:rFonts w:hint="default" w:ascii="Times New Roman" w:hAnsi="Times New Roman" w:cs="Times New Roman"/>
                      <w:color w:val="auto"/>
                      <w:sz w:val="21"/>
                      <w:szCs w:val="21"/>
                      <w:lang w:val="en-US" w:eastAsia="zh-CN"/>
                    </w:rPr>
                    <w:t>165</w:t>
                  </w:r>
                </w:p>
              </w:tc>
              <w:tc>
                <w:tcPr>
                  <w:tcW w:w="778" w:type="dxa"/>
                  <w:tcBorders>
                    <w:tl2br w:val="nil"/>
                    <w:tr2bl w:val="nil"/>
                  </w:tcBorders>
                  <w:shd w:val="clear" w:color="auto" w:fill="auto"/>
                  <w:vAlign w:val="center"/>
                </w:tcPr>
                <w:p w14:paraId="011EDB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0.006</w:t>
                  </w:r>
                </w:p>
              </w:tc>
              <w:tc>
                <w:tcPr>
                  <w:tcW w:w="1554" w:type="pct"/>
                  <w:tcBorders>
                    <w:tl2br w:val="nil"/>
                    <w:tr2bl w:val="nil"/>
                  </w:tcBorders>
                  <w:shd w:val="clear" w:color="auto" w:fill="auto"/>
                  <w:vAlign w:val="center"/>
                </w:tcPr>
                <w:p w14:paraId="5A98A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由施工单位（志丹永宏50718队、五普50839HB、五普50839HB、五普40837HB）处置。未产生二次污染</w:t>
                  </w:r>
                </w:p>
              </w:tc>
              <w:tc>
                <w:tcPr>
                  <w:tcW w:w="1308" w:type="pct"/>
                  <w:vMerge w:val="continue"/>
                  <w:tcBorders>
                    <w:tl2br w:val="nil"/>
                    <w:tr2bl w:val="nil"/>
                  </w:tcBorders>
                  <w:shd w:val="clear" w:color="auto" w:fill="auto"/>
                  <w:vAlign w:val="center"/>
                </w:tcPr>
                <w:p w14:paraId="0122F2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p>
              </w:tc>
            </w:tr>
            <w:tr w14:paraId="513D2B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35CB9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9</w:t>
                  </w:r>
                </w:p>
              </w:tc>
              <w:tc>
                <w:tcPr>
                  <w:tcW w:w="522" w:type="pct"/>
                  <w:tcBorders>
                    <w:tl2br w:val="nil"/>
                    <w:tr2bl w:val="nil"/>
                  </w:tcBorders>
                  <w:shd w:val="clear" w:color="auto" w:fill="auto"/>
                  <w:vAlign w:val="center"/>
                </w:tcPr>
                <w:p w14:paraId="5EAE69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废过硫酸钾包装袋</w:t>
                  </w:r>
                </w:p>
              </w:tc>
              <w:tc>
                <w:tcPr>
                  <w:tcW w:w="272" w:type="pct"/>
                  <w:tcBorders>
                    <w:tl2br w:val="nil"/>
                    <w:tr2bl w:val="nil"/>
                  </w:tcBorders>
                  <w:shd w:val="clear" w:color="auto" w:fill="auto"/>
                  <w:vAlign w:val="center"/>
                </w:tcPr>
                <w:p w14:paraId="25E46B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09E1736D">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cs="Times New Roman"/>
                      <w:color w:val="auto"/>
                      <w:sz w:val="21"/>
                      <w:szCs w:val="21"/>
                    </w:rPr>
                    <w:t>0.00</w:t>
                  </w:r>
                  <w:r>
                    <w:rPr>
                      <w:rFonts w:hint="default" w:ascii="Times New Roman" w:hAnsi="Times New Roman" w:cs="Times New Roman"/>
                      <w:color w:val="auto"/>
                      <w:sz w:val="21"/>
                      <w:szCs w:val="21"/>
                      <w:lang w:val="en-US" w:eastAsia="zh-CN"/>
                    </w:rPr>
                    <w:t>55</w:t>
                  </w:r>
                </w:p>
              </w:tc>
              <w:tc>
                <w:tcPr>
                  <w:tcW w:w="778" w:type="dxa"/>
                  <w:tcBorders>
                    <w:tl2br w:val="nil"/>
                    <w:tr2bl w:val="nil"/>
                  </w:tcBorders>
                  <w:shd w:val="clear" w:color="auto" w:fill="auto"/>
                  <w:vAlign w:val="center"/>
                </w:tcPr>
                <w:p w14:paraId="1DF5CD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0.004</w:t>
                  </w:r>
                </w:p>
              </w:tc>
              <w:tc>
                <w:tcPr>
                  <w:tcW w:w="1554" w:type="pct"/>
                  <w:tcBorders>
                    <w:tl2br w:val="nil"/>
                    <w:tr2bl w:val="nil"/>
                  </w:tcBorders>
                  <w:shd w:val="clear" w:color="auto" w:fill="auto"/>
                  <w:vAlign w:val="center"/>
                </w:tcPr>
                <w:p w14:paraId="06A288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tl2br w:val="nil"/>
                    <w:tr2bl w:val="nil"/>
                  </w:tcBorders>
                  <w:shd w:val="clear" w:color="auto" w:fill="auto"/>
                  <w:vAlign w:val="center"/>
                </w:tcPr>
                <w:p w14:paraId="2330E7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1656DF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376760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10</w:t>
                  </w:r>
                </w:p>
              </w:tc>
              <w:tc>
                <w:tcPr>
                  <w:tcW w:w="522" w:type="pct"/>
                  <w:shd w:val="clear" w:color="auto" w:fill="auto"/>
                  <w:vAlign w:val="center"/>
                </w:tcPr>
                <w:p w14:paraId="769515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废含油抹布</w:t>
                  </w:r>
                </w:p>
              </w:tc>
              <w:tc>
                <w:tcPr>
                  <w:tcW w:w="272" w:type="pct"/>
                  <w:shd w:val="clear" w:color="auto" w:fill="auto"/>
                  <w:vAlign w:val="center"/>
                </w:tcPr>
                <w:p w14:paraId="74DA9F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7B084EEC">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cs="Times New Roman"/>
                      <w:color w:val="auto"/>
                      <w:sz w:val="21"/>
                      <w:szCs w:val="21"/>
                      <w:lang w:val="en-US" w:eastAsia="zh-CN"/>
                    </w:rPr>
                    <w:t>0.11</w:t>
                  </w:r>
                </w:p>
              </w:tc>
              <w:tc>
                <w:tcPr>
                  <w:tcW w:w="778" w:type="dxa"/>
                  <w:shd w:val="clear" w:color="auto" w:fill="auto"/>
                  <w:vAlign w:val="center"/>
                </w:tcPr>
                <w:p w14:paraId="27671C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0.056</w:t>
                  </w:r>
                </w:p>
              </w:tc>
              <w:tc>
                <w:tcPr>
                  <w:tcW w:w="1554" w:type="pct"/>
                  <w:shd w:val="clear" w:color="auto" w:fill="auto"/>
                  <w:vAlign w:val="center"/>
                </w:tcPr>
                <w:p w14:paraId="3FE98D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shd w:val="clear" w:color="auto" w:fill="auto"/>
                  <w:vAlign w:val="center"/>
                </w:tcPr>
                <w:p w14:paraId="397BD2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21D3192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09" w:type="pct"/>
                  <w:shd w:val="clear" w:color="auto" w:fill="auto"/>
                  <w:vAlign w:val="center"/>
                </w:tcPr>
                <w:p w14:paraId="2ABB4A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11</w:t>
                  </w:r>
                </w:p>
              </w:tc>
              <w:tc>
                <w:tcPr>
                  <w:tcW w:w="522" w:type="pct"/>
                  <w:shd w:val="clear" w:color="auto" w:fill="auto"/>
                  <w:vAlign w:val="center"/>
                </w:tcPr>
                <w:p w14:paraId="3A6567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含油压裂砂</w:t>
                  </w:r>
                </w:p>
              </w:tc>
              <w:tc>
                <w:tcPr>
                  <w:tcW w:w="272" w:type="pct"/>
                  <w:shd w:val="clear" w:color="auto" w:fill="auto"/>
                  <w:vAlign w:val="center"/>
                </w:tcPr>
                <w:p w14:paraId="5C5CF6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7A7EE3B6">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0.4</w:t>
                  </w:r>
                </w:p>
              </w:tc>
              <w:tc>
                <w:tcPr>
                  <w:tcW w:w="778" w:type="dxa"/>
                  <w:shd w:val="clear" w:color="auto" w:fill="auto"/>
                  <w:vAlign w:val="center"/>
                </w:tcPr>
                <w:p w14:paraId="044C57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0.09</w:t>
                  </w:r>
                </w:p>
              </w:tc>
              <w:tc>
                <w:tcPr>
                  <w:tcW w:w="1554" w:type="pct"/>
                  <w:shd w:val="clear" w:color="auto" w:fill="auto"/>
                  <w:vAlign w:val="center"/>
                </w:tcPr>
                <w:p w14:paraId="3992D9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shd w:val="clear" w:color="auto" w:fill="auto"/>
                  <w:vAlign w:val="center"/>
                </w:tcPr>
                <w:p w14:paraId="4F35DC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230A00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5902E3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12</w:t>
                  </w:r>
                </w:p>
              </w:tc>
              <w:tc>
                <w:tcPr>
                  <w:tcW w:w="522" w:type="pct"/>
                  <w:shd w:val="clear" w:color="auto" w:fill="auto"/>
                  <w:vAlign w:val="center"/>
                </w:tcPr>
                <w:p w14:paraId="325E67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含油岩屑</w:t>
                  </w:r>
                </w:p>
              </w:tc>
              <w:tc>
                <w:tcPr>
                  <w:tcW w:w="272" w:type="pct"/>
                  <w:shd w:val="clear" w:color="auto" w:fill="auto"/>
                  <w:vAlign w:val="top"/>
                </w:tcPr>
                <w:p w14:paraId="4EBE91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40B010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cs="Times New Roman"/>
                      <w:color w:val="auto"/>
                      <w:kern w:val="2"/>
                      <w:sz w:val="21"/>
                      <w:szCs w:val="21"/>
                      <w:lang w:val="en-US" w:eastAsia="zh-CN" w:bidi="ar-SA"/>
                    </w:rPr>
                    <w:t>29.4</w:t>
                  </w:r>
                </w:p>
              </w:tc>
              <w:tc>
                <w:tcPr>
                  <w:tcW w:w="470" w:type="pct"/>
                  <w:shd w:val="clear" w:color="auto" w:fill="auto"/>
                  <w:vAlign w:val="center"/>
                </w:tcPr>
                <w:p w14:paraId="6BEDE4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3.21</w:t>
                  </w:r>
                </w:p>
              </w:tc>
              <w:tc>
                <w:tcPr>
                  <w:tcW w:w="1554" w:type="pct"/>
                  <w:shd w:val="clear" w:color="auto" w:fill="auto"/>
                  <w:vAlign w:val="center"/>
                </w:tcPr>
                <w:p w14:paraId="333821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shd w:val="clear" w:color="auto" w:fill="auto"/>
                  <w:vAlign w:val="top"/>
                </w:tcPr>
                <w:p w14:paraId="7D7A04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3ECCDD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27A772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13</w:t>
                  </w:r>
                </w:p>
              </w:tc>
              <w:tc>
                <w:tcPr>
                  <w:tcW w:w="522" w:type="pct"/>
                  <w:shd w:val="clear" w:color="auto" w:fill="auto"/>
                  <w:vAlign w:val="center"/>
                </w:tcPr>
                <w:p w14:paraId="538BF6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废机油</w:t>
                  </w:r>
                  <w:r>
                    <w:rPr>
                      <w:rFonts w:hint="eastAsia" w:ascii="Times New Roman" w:hAnsi="Times New Roman" w:eastAsia="宋体" w:cs="Times New Roman"/>
                      <w:color w:val="auto"/>
                      <w:spacing w:val="0"/>
                      <w:sz w:val="21"/>
                      <w:szCs w:val="21"/>
                      <w:highlight w:val="none"/>
                      <w:lang w:val="en-US" w:eastAsia="zh-CN"/>
                    </w:rPr>
                    <w:t>、废润滑油</w:t>
                  </w:r>
                </w:p>
              </w:tc>
              <w:tc>
                <w:tcPr>
                  <w:tcW w:w="272" w:type="pct"/>
                  <w:shd w:val="clear" w:color="auto" w:fill="auto"/>
                  <w:vAlign w:val="center"/>
                </w:tcPr>
                <w:p w14:paraId="14B3A0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09364274">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cs="Times New Roman"/>
                      <w:color w:val="auto"/>
                      <w:sz w:val="21"/>
                      <w:szCs w:val="21"/>
                      <w:lang w:val="en-US" w:eastAsia="zh-CN"/>
                    </w:rPr>
                    <w:t>2.2</w:t>
                  </w:r>
                </w:p>
              </w:tc>
              <w:tc>
                <w:tcPr>
                  <w:tcW w:w="470" w:type="pct"/>
                  <w:shd w:val="clear" w:color="auto" w:fill="auto"/>
                  <w:vAlign w:val="center"/>
                </w:tcPr>
                <w:p w14:paraId="371B7B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0.34</w:t>
                  </w:r>
                </w:p>
              </w:tc>
              <w:tc>
                <w:tcPr>
                  <w:tcW w:w="1554" w:type="pct"/>
                  <w:shd w:val="clear" w:color="auto" w:fill="auto"/>
                  <w:vAlign w:val="center"/>
                </w:tcPr>
                <w:p w14:paraId="1C8AD5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废机油、废润滑油委托平凉海螺环保科技有限责任公司外运处置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shd w:val="clear" w:color="auto" w:fill="auto"/>
                  <w:vAlign w:val="center"/>
                </w:tcPr>
                <w:p w14:paraId="1B16BC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7D0048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6F1113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14</w:t>
                  </w:r>
                </w:p>
              </w:tc>
              <w:tc>
                <w:tcPr>
                  <w:tcW w:w="522" w:type="pct"/>
                  <w:shd w:val="clear" w:color="auto" w:fill="auto"/>
                  <w:vAlign w:val="center"/>
                </w:tcPr>
                <w:p w14:paraId="2ABDE6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建筑垃圾</w:t>
                  </w:r>
                </w:p>
              </w:tc>
              <w:tc>
                <w:tcPr>
                  <w:tcW w:w="272" w:type="pct"/>
                  <w:shd w:val="clear" w:color="auto" w:fill="auto"/>
                  <w:vAlign w:val="top"/>
                </w:tcPr>
                <w:p w14:paraId="44902F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6FC313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少量</w:t>
                  </w:r>
                </w:p>
              </w:tc>
              <w:tc>
                <w:tcPr>
                  <w:tcW w:w="470" w:type="pct"/>
                  <w:shd w:val="clear" w:color="auto" w:fill="auto"/>
                  <w:vAlign w:val="center"/>
                </w:tcPr>
                <w:p w14:paraId="6F896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w:t>
                  </w:r>
                </w:p>
              </w:tc>
              <w:tc>
                <w:tcPr>
                  <w:tcW w:w="1554" w:type="pct"/>
                  <w:shd w:val="clear" w:color="auto" w:fill="auto"/>
                  <w:vAlign w:val="center"/>
                </w:tcPr>
                <w:p w14:paraId="3023A3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未产生</w:t>
                  </w:r>
                </w:p>
              </w:tc>
              <w:tc>
                <w:tcPr>
                  <w:tcW w:w="1308" w:type="pct"/>
                  <w:shd w:val="clear" w:color="auto" w:fill="auto"/>
                  <w:vAlign w:val="center"/>
                </w:tcPr>
                <w:p w14:paraId="32E71B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w:t>
                  </w:r>
                </w:p>
              </w:tc>
            </w:tr>
            <w:tr w14:paraId="7DF317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7AC48F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15</w:t>
                  </w:r>
                </w:p>
              </w:tc>
              <w:tc>
                <w:tcPr>
                  <w:tcW w:w="522" w:type="pct"/>
                  <w:shd w:val="clear" w:color="auto" w:fill="auto"/>
                  <w:vAlign w:val="center"/>
                </w:tcPr>
                <w:p w14:paraId="10E1D1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生活垃圾</w:t>
                  </w:r>
                </w:p>
              </w:tc>
              <w:tc>
                <w:tcPr>
                  <w:tcW w:w="272" w:type="pct"/>
                  <w:shd w:val="clear" w:color="auto" w:fill="auto"/>
                  <w:vAlign w:val="center"/>
                </w:tcPr>
                <w:p w14:paraId="20048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3875A52A">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cs="Times New Roman"/>
                      <w:color w:val="auto"/>
                      <w:sz w:val="21"/>
                      <w:szCs w:val="21"/>
                      <w:lang w:val="en-US" w:eastAsia="zh-CN"/>
                    </w:rPr>
                    <w:t>3.85</w:t>
                  </w:r>
                </w:p>
              </w:tc>
              <w:tc>
                <w:tcPr>
                  <w:tcW w:w="470" w:type="pct"/>
                  <w:shd w:val="clear" w:color="auto" w:fill="auto"/>
                  <w:vAlign w:val="center"/>
                </w:tcPr>
                <w:p w14:paraId="56B10D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0.78</w:t>
                  </w:r>
                </w:p>
              </w:tc>
              <w:tc>
                <w:tcPr>
                  <w:tcW w:w="1554" w:type="pct"/>
                  <w:shd w:val="clear" w:color="auto" w:fill="auto"/>
                  <w:vAlign w:val="center"/>
                </w:tcPr>
                <w:p w14:paraId="315ED2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bCs/>
                      <w:color w:val="auto"/>
                      <w:sz w:val="21"/>
                      <w:szCs w:val="21"/>
                      <w:highlight w:val="none"/>
                      <w:lang w:val="en-US" w:eastAsia="zh-CN" w:bidi="ar-SA"/>
                    </w:rPr>
                    <w:t>井场设置垃圾收集箱，经收集后</w:t>
                  </w:r>
                  <w:r>
                    <w:rPr>
                      <w:rFonts w:hint="eastAsia" w:ascii="Times New Roman" w:hAnsi="Times New Roman" w:eastAsia="宋体" w:cs="Times New Roman"/>
                      <w:bCs/>
                      <w:color w:val="auto"/>
                      <w:sz w:val="21"/>
                      <w:szCs w:val="21"/>
                      <w:highlight w:val="none"/>
                      <w:lang w:val="en-US" w:eastAsia="zh-CN" w:bidi="ar-SA"/>
                    </w:rPr>
                    <w:t>运至</w:t>
                  </w:r>
                  <w:r>
                    <w:rPr>
                      <w:rFonts w:hint="default" w:ascii="Times New Roman" w:hAnsi="Times New Roman" w:eastAsia="宋体" w:cs="Times New Roman"/>
                      <w:bCs/>
                      <w:color w:val="auto"/>
                      <w:sz w:val="21"/>
                      <w:szCs w:val="21"/>
                      <w:highlight w:val="none"/>
                      <w:lang w:val="en-US" w:eastAsia="zh-CN" w:bidi="ar-SA"/>
                    </w:rPr>
                    <w:t>就近的</w:t>
                  </w:r>
                  <w:r>
                    <w:rPr>
                      <w:rFonts w:hint="eastAsia" w:ascii="Times New Roman" w:hAnsi="Times New Roman" w:eastAsia="宋体" w:cs="Times New Roman"/>
                      <w:bCs/>
                      <w:color w:val="auto"/>
                      <w:sz w:val="21"/>
                      <w:szCs w:val="21"/>
                      <w:highlight w:val="none"/>
                      <w:lang w:val="en-US" w:eastAsia="zh-CN" w:bidi="ar-SA"/>
                    </w:rPr>
                    <w:t>垃圾中转站</w:t>
                  </w:r>
                  <w:r>
                    <w:rPr>
                      <w:rFonts w:hint="default" w:ascii="Times New Roman" w:hAnsi="Times New Roman" w:eastAsia="宋体" w:cs="Times New Roman"/>
                      <w:bCs/>
                      <w:color w:val="auto"/>
                      <w:sz w:val="21"/>
                      <w:szCs w:val="21"/>
                      <w:highlight w:val="none"/>
                      <w:lang w:val="en-US" w:eastAsia="zh-CN" w:bidi="ar-SA"/>
                    </w:rPr>
                    <w:t>，未产生二次污染</w:t>
                  </w:r>
                </w:p>
              </w:tc>
              <w:tc>
                <w:tcPr>
                  <w:tcW w:w="1308" w:type="pct"/>
                  <w:shd w:val="clear" w:color="auto" w:fill="auto"/>
                  <w:vAlign w:val="top"/>
                </w:tcPr>
                <w:p w14:paraId="4F2D81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lang w:val="en-US" w:eastAsia="zh-CN"/>
                    </w:rPr>
                    <w:t>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，不属于重大变更</w:t>
                  </w:r>
                </w:p>
              </w:tc>
            </w:tr>
          </w:tbl>
          <w:p w14:paraId="489235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（5）施工期生态保护措施</w:t>
            </w:r>
          </w:p>
          <w:p w14:paraId="3FB48E8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根据调查结果，项目施工过程中采取了以下生态保护措施： </w:t>
            </w:r>
          </w:p>
          <w:p w14:paraId="4CE207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eastAsia" w:ascii="Times New Roman" w:hAnsi="Times New Roman" w:eastAsia="宋体" w:cs="Times New Roman"/>
                <w:color w:val="auto"/>
                <w:spacing w:val="0"/>
                <w:w w:val="100"/>
                <w:sz w:val="24"/>
                <w:szCs w:val="24"/>
                <w:highlight w:val="none"/>
                <w:lang w:val="en-US" w:eastAsia="zh-CN" w:bidi="ar-SA"/>
              </w:rPr>
              <w:t xml:space="preserve">施工过程加强了控制施工作业范围，尽可能的缩短了施工期；同时加强了对施工人员的生态环境保护教育，严禁其随意砍伐破坏植被，尽可能减少了对原有土壤与植被的破坏； </w:t>
            </w:r>
          </w:p>
          <w:p w14:paraId="1915027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eastAsia" w:ascii="Times New Roman" w:hAnsi="Times New Roman" w:eastAsia="宋体" w:cs="Times New Roman"/>
                <w:color w:val="auto"/>
                <w:spacing w:val="0"/>
                <w:w w:val="100"/>
                <w:sz w:val="24"/>
                <w:szCs w:val="24"/>
                <w:highlight w:val="none"/>
                <w:lang w:val="en-US" w:eastAsia="zh-CN" w:bidi="ar-SA"/>
              </w:rPr>
              <w:t xml:space="preserve">施工期避开了雨天，大风天气对临时堆放场地采取遮盖、洒水等措施，以避免扬尘和水土流失； </w:t>
            </w:r>
          </w:p>
          <w:p w14:paraId="7966C74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default" w:ascii="Times New Roman" w:hAnsi="Times New Roman" w:eastAsia="宋体" w:cs="Times New Roman"/>
                <w:color w:val="auto"/>
                <w:spacing w:val="0"/>
                <w:w w:val="100"/>
                <w:sz w:val="24"/>
                <w:szCs w:val="24"/>
                <w:highlight w:val="none"/>
                <w:lang w:val="en-US" w:eastAsia="zh-CN" w:bidi="ar-SA"/>
              </w:rPr>
              <w:t>施工结束后，对施工场地进行了及时回填，平整地面，并覆土进行了井场四周植被恢复；</w:t>
            </w:r>
          </w:p>
          <w:p w14:paraId="77EEE32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④合理组织施工方式，土方施工中，选择了合理的施工方式，挖高填低，做到土方平衡；施工临时占地及时进行了回填及平整，防止水土流失。</w:t>
            </w:r>
          </w:p>
          <w:p w14:paraId="30F1A9D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（6）完工后污染防治及生态恢复措施 </w:t>
            </w:r>
          </w:p>
          <w:p w14:paraId="32C8B4E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钻井及试油</w:t>
            </w:r>
            <w:r>
              <w:rPr>
                <w:rFonts w:hint="eastAsia" w:ascii="Times New Roman" w:hAnsi="Times New Roman" w:eastAsia="宋体" w:cs="Times New Roman"/>
                <w:color w:val="auto"/>
                <w:spacing w:val="0"/>
                <w:w w:val="100"/>
                <w:sz w:val="24"/>
                <w:szCs w:val="24"/>
                <w:highlight w:val="none"/>
                <w:lang w:val="en-US" w:eastAsia="zh-CN" w:bidi="ar-SA"/>
              </w:rPr>
              <w:t>、气</w:t>
            </w:r>
            <w:r>
              <w:rPr>
                <w:rFonts w:hint="default" w:ascii="Times New Roman" w:hAnsi="Times New Roman" w:eastAsia="宋体" w:cs="Times New Roman"/>
                <w:color w:val="auto"/>
                <w:spacing w:val="0"/>
                <w:w w:val="100"/>
                <w:sz w:val="24"/>
                <w:szCs w:val="24"/>
                <w:highlight w:val="none"/>
                <w:lang w:val="en-US" w:eastAsia="zh-CN" w:bidi="ar-SA"/>
              </w:rPr>
              <w:t>队伍撤离后，进行相关绿化、防止水土流失工作。搬迁前妥善处理钻井后废弃物，做到工完、料净、场地清；依照开挖取土顺序分层回填，并对土壤进行疏松平整，有效的减轻了项目施工对周围生态环境的影响，并最大程度的进行了生态恢复，项目建设未对项目占地范围及周边区域造成明显影响。</w:t>
            </w:r>
            <w:r>
              <w:rPr>
                <w:rFonts w:hint="eastAsia" w:ascii="Times New Roman" w:hAnsi="Times New Roman" w:eastAsia="宋体" w:cs="Times New Roman"/>
                <w:color w:val="auto"/>
                <w:spacing w:val="0"/>
                <w:w w:val="100"/>
                <w:sz w:val="24"/>
                <w:szCs w:val="24"/>
                <w:highlight w:val="none"/>
                <w:lang w:val="en-US" w:eastAsia="zh-CN" w:bidi="ar-SA"/>
              </w:rPr>
              <w:t xml:space="preserve"> </w:t>
            </w:r>
          </w:p>
          <w:p w14:paraId="3BB9CD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（7）运营期污染防治措施 </w:t>
            </w:r>
          </w:p>
          <w:p w14:paraId="78978B8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z w:val="24"/>
                <w:lang w:val="en-US" w:eastAsia="zh-CN"/>
              </w:rPr>
              <w:t>JH2P42、JH2P44、良平101H井场</w:t>
            </w:r>
            <w:r>
              <w:rPr>
                <w:rFonts w:hint="eastAsia" w:ascii="Times New Roman" w:hAnsi="Times New Roman" w:eastAsia="宋体" w:cs="Times New Roman"/>
                <w:color w:val="auto"/>
                <w:spacing w:val="0"/>
                <w:w w:val="100"/>
                <w:sz w:val="24"/>
                <w:szCs w:val="24"/>
                <w:highlight w:val="none"/>
                <w:lang w:val="en-US" w:eastAsia="zh-CN" w:bidi="ar-SA"/>
              </w:rPr>
              <w:t>具有开采利用价值，已临时关井、待转产。长探105不具有开采利用价值，已永久封井。本次竣工环保验收调查仅针对勘探井钻井及试油、气工程。</w:t>
            </w:r>
          </w:p>
          <w:p w14:paraId="5615A0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（8）</w:t>
            </w:r>
            <w:r>
              <w:rPr>
                <w:rFonts w:hint="default" w:ascii="Times New Roman" w:hAnsi="Times New Roman" w:eastAsia="宋体" w:cs="Times New Roman"/>
                <w:color w:val="auto"/>
                <w:spacing w:val="0"/>
                <w:w w:val="100"/>
                <w:sz w:val="24"/>
                <w:szCs w:val="24"/>
                <w:highlight w:val="none"/>
                <w:lang w:val="en-US" w:eastAsia="zh-CN" w:bidi="ar-SA"/>
              </w:rPr>
              <w:t>风险防范措施</w:t>
            </w:r>
          </w:p>
          <w:p w14:paraId="63BEE64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本项目施工期事故状态下可能发生井漏、井喷事故，会造成一定的环境风险。 </w:t>
            </w:r>
          </w:p>
          <w:p w14:paraId="1C738A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根据现场调查及了解，施工期</w:t>
            </w:r>
            <w:r>
              <w:rPr>
                <w:rFonts w:hint="eastAsia" w:ascii="Times New Roman" w:hAnsi="Times New Roman" w:eastAsia="宋体" w:cs="Times New Roman"/>
                <w:color w:val="auto"/>
                <w:spacing w:val="0"/>
                <w:w w:val="100"/>
                <w:sz w:val="24"/>
                <w:szCs w:val="24"/>
                <w:highlight w:val="none"/>
                <w:lang w:val="en-US" w:eastAsia="zh-CN" w:bidi="ar-SA"/>
              </w:rPr>
              <w:t>建设单位</w:t>
            </w:r>
            <w:r>
              <w:rPr>
                <w:rFonts w:hint="default" w:ascii="Times New Roman" w:hAnsi="Times New Roman" w:eastAsia="宋体" w:cs="Times New Roman"/>
                <w:color w:val="auto"/>
                <w:spacing w:val="0"/>
                <w:w w:val="100"/>
                <w:sz w:val="24"/>
                <w:szCs w:val="24"/>
                <w:highlight w:val="none"/>
                <w:lang w:val="en-US" w:eastAsia="zh-CN" w:bidi="ar-SA"/>
              </w:rPr>
              <w:t xml:space="preserve">针对可能发生的井漏、井喷事故制定了相关的风险防范措施并进行了落实，施工期间安装了井控装置，防止井喷；加强各类储罐的储存管理，罐区均采用防渗措施，四周设置围堰；加强施工期间风险管理，井场布置按照《钻前工程及井场布置技术要求》的规定进行了设置，设置了禁火标识和设置可燃气体检测报警装置； </w:t>
            </w:r>
          </w:p>
          <w:p w14:paraId="28BFE43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w:t>
            </w:r>
            <w:r>
              <w:rPr>
                <w:rFonts w:hint="eastAsia"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针对可能发生的</w:t>
            </w:r>
            <w:r>
              <w:rPr>
                <w:rFonts w:hint="eastAsia" w:ascii="Times New Roman" w:hAnsi="Times New Roman" w:eastAsia="宋体" w:cs="Times New Roman"/>
                <w:color w:val="auto"/>
                <w:spacing w:val="0"/>
                <w:w w:val="100"/>
                <w:sz w:val="24"/>
                <w:szCs w:val="24"/>
                <w:highlight w:val="none"/>
                <w:lang w:val="en-US" w:eastAsia="zh-CN" w:bidi="ar-SA"/>
              </w:rPr>
              <w:t>石油、天然气</w:t>
            </w:r>
            <w:r>
              <w:rPr>
                <w:rFonts w:hint="default" w:ascii="Times New Roman" w:hAnsi="Times New Roman" w:eastAsia="宋体" w:cs="Times New Roman"/>
                <w:color w:val="auto"/>
                <w:spacing w:val="0"/>
                <w:w w:val="100"/>
                <w:sz w:val="24"/>
                <w:szCs w:val="24"/>
                <w:highlight w:val="none"/>
                <w:lang w:val="en-US" w:eastAsia="zh-CN" w:bidi="ar-SA"/>
              </w:rPr>
              <w:t>泄漏事故制定了相关的风险防范措施并进行了落实，定期组织进行学习与培训；同时</w:t>
            </w:r>
            <w:r>
              <w:rPr>
                <w:rFonts w:hint="eastAsia"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也认真制定了突发环境事件应急预案</w:t>
            </w:r>
            <w:r>
              <w:rPr>
                <w:rFonts w:hint="eastAsia" w:ascii="Times New Roman" w:hAnsi="Times New Roman" w:eastAsia="宋体" w:cs="Times New Roman"/>
                <w:color w:val="auto"/>
                <w:spacing w:val="0"/>
                <w:w w:val="100"/>
                <w:sz w:val="24"/>
                <w:szCs w:val="24"/>
                <w:highlight w:val="none"/>
                <w:lang w:val="en-US" w:eastAsia="zh-CN" w:bidi="ar-SA"/>
              </w:rPr>
              <w:t>，并于2023年1月11日取得了庆阳市生态环境局宁县分局预案备案文件，并按照预案中相关应急措施进行定期演练。该应急预案修编日期为2026年1月11日，在本项目验收时间范围内。本项目</w:t>
            </w:r>
            <w:r>
              <w:rPr>
                <w:rFonts w:hint="default" w:ascii="Times New Roman" w:hAnsi="Times New Roman" w:eastAsia="宋体" w:cs="Times New Roman"/>
                <w:color w:val="auto"/>
                <w:spacing w:val="0"/>
                <w:w w:val="100"/>
                <w:sz w:val="24"/>
                <w:szCs w:val="24"/>
                <w:highlight w:val="none"/>
                <w:lang w:val="en-US" w:eastAsia="zh-CN" w:bidi="ar-SA"/>
              </w:rPr>
              <w:t>针对预案中相关应急措施进行定期演练</w:t>
            </w:r>
            <w:r>
              <w:rPr>
                <w:rFonts w:hint="eastAsia" w:ascii="Times New Roman" w:hAnsi="Times New Roman" w:eastAsia="宋体" w:cs="Times New Roman"/>
                <w:color w:val="auto"/>
                <w:spacing w:val="0"/>
                <w:w w:val="100"/>
                <w:sz w:val="24"/>
                <w:szCs w:val="24"/>
                <w:highlight w:val="none"/>
                <w:lang w:val="en-US" w:eastAsia="zh-CN" w:bidi="ar-SA"/>
              </w:rPr>
              <w:t>。</w:t>
            </w:r>
          </w:p>
          <w:p w14:paraId="1235D3C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目前</w:t>
            </w:r>
            <w:r>
              <w:rPr>
                <w:rFonts w:hint="eastAsia" w:ascii="Times New Roman" w:hAnsi="Times New Roman" w:eastAsia="宋体" w:cs="Times New Roman"/>
                <w:color w:val="auto"/>
                <w:spacing w:val="0"/>
                <w:w w:val="100"/>
                <w:sz w:val="24"/>
                <w:szCs w:val="24"/>
                <w:highlight w:val="none"/>
                <w:lang w:val="en-US" w:eastAsia="zh-CN" w:bidi="ar-SA"/>
              </w:rPr>
              <w:t>，</w:t>
            </w:r>
            <w:r>
              <w:rPr>
                <w:rFonts w:hint="eastAsia" w:ascii="Times New Roman" w:hAnsi="Times New Roman" w:eastAsia="宋体" w:cs="Times New Roman"/>
                <w:color w:val="auto"/>
                <w:sz w:val="24"/>
                <w:lang w:val="en-US" w:eastAsia="zh-CN"/>
              </w:rPr>
              <w:t>JH2P42、JH2P44、良平101H</w:t>
            </w:r>
            <w:r>
              <w:rPr>
                <w:rFonts w:hint="eastAsia" w:ascii="Times New Roman" w:hAnsi="Times New Roman" w:eastAsia="宋体" w:cs="Times New Roman"/>
                <w:color w:val="auto"/>
                <w:spacing w:val="0"/>
                <w:w w:val="100"/>
                <w:sz w:val="24"/>
                <w:szCs w:val="24"/>
                <w:highlight w:val="none"/>
                <w:lang w:val="en-US" w:eastAsia="zh-CN" w:bidi="ar-SA"/>
              </w:rPr>
              <w:t>井场具有开采利用价值，已临时关井、待转产</w:t>
            </w:r>
            <w:r>
              <w:rPr>
                <w:rFonts w:hint="default" w:ascii="Times New Roman" w:hAnsi="Times New Roman" w:eastAsia="宋体" w:cs="Times New Roman"/>
                <w:color w:val="auto"/>
                <w:spacing w:val="0"/>
                <w:w w:val="10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长探105不具有开采利用价值，已永久封井。</w:t>
            </w:r>
            <w:r>
              <w:rPr>
                <w:rFonts w:hint="default" w:ascii="Times New Roman" w:hAnsi="Times New Roman" w:eastAsia="宋体" w:cs="Times New Roman"/>
                <w:color w:val="auto"/>
                <w:spacing w:val="0"/>
                <w:w w:val="100"/>
                <w:sz w:val="24"/>
                <w:szCs w:val="24"/>
                <w:highlight w:val="none"/>
                <w:lang w:val="en-US" w:eastAsia="zh-CN" w:bidi="ar-SA"/>
              </w:rPr>
              <w:t>未发生过井漏、井喷的情况</w:t>
            </w:r>
            <w:r>
              <w:rPr>
                <w:rFonts w:hint="eastAsia" w:ascii="Times New Roman" w:hAnsi="Times New Roman" w:eastAsia="宋体" w:cs="Times New Roman"/>
                <w:color w:val="auto"/>
                <w:spacing w:val="0"/>
                <w:w w:val="100"/>
                <w:sz w:val="24"/>
                <w:szCs w:val="24"/>
                <w:highlight w:val="none"/>
                <w:lang w:val="en-US" w:eastAsia="zh-CN" w:bidi="ar-SA"/>
              </w:rPr>
              <w:t>。</w:t>
            </w:r>
          </w:p>
          <w:p w14:paraId="10D5A6E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p>
          <w:p w14:paraId="04195F5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685F3DC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7A8C424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7F4A6FF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1978579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39831D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87CEBD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tc>
      </w:tr>
    </w:tbl>
    <w:p w14:paraId="67715052">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rPr>
          <w:rFonts w:hint="default" w:ascii="Times New Roman" w:hAnsi="Times New Roman" w:eastAsia="宋体" w:cs="Times New Roman"/>
          <w:color w:val="auto"/>
          <w:w w:val="95"/>
          <w:sz w:val="32"/>
          <w:highlight w:val="none"/>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496C9320">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textAlignment w:val="auto"/>
        <w:outlineLvl w:val="0"/>
        <w:rPr>
          <w:rFonts w:hint="default" w:ascii="Times New Roman" w:hAnsi="Times New Roman" w:eastAsia="宋体" w:cs="Times New Roman"/>
          <w:b/>
          <w:bCs/>
          <w:color w:val="auto"/>
          <w:highlight w:val="none"/>
          <w:vertAlign w:val="baseline"/>
        </w:rPr>
      </w:pPr>
      <w:bookmarkStart w:id="5" w:name="_Toc12219"/>
      <w:r>
        <w:rPr>
          <w:rFonts w:hint="eastAsia" w:ascii="Times New Roman" w:hAnsi="Times New Roman" w:eastAsia="宋体" w:cs="Times New Roman"/>
          <w:b/>
          <w:bCs/>
          <w:color w:val="auto"/>
          <w:w w:val="95"/>
          <w:sz w:val="32"/>
          <w:highlight w:val="none"/>
          <w:lang w:val="en-US" w:eastAsia="zh-CN"/>
        </w:rPr>
        <w:t>5.</w:t>
      </w:r>
      <w:r>
        <w:rPr>
          <w:rFonts w:hint="default" w:ascii="Times New Roman" w:hAnsi="Times New Roman" w:eastAsia="宋体" w:cs="Times New Roman"/>
          <w:b/>
          <w:bCs/>
          <w:color w:val="auto"/>
          <w:w w:val="95"/>
          <w:sz w:val="32"/>
          <w:highlight w:val="none"/>
        </w:rPr>
        <w:t>环境影响评价回顾</w:t>
      </w:r>
      <w:bookmarkEnd w:id="5"/>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BCA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8522" w:type="dxa"/>
          </w:tcPr>
          <w:p w14:paraId="7C6F7DB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eastAsia" w:ascii="Times New Roman" w:hAnsi="Times New Roman" w:eastAsia="宋体" w:cs="Times New Roman"/>
                <w:b/>
                <w:bCs/>
                <w:color w:val="auto"/>
                <w:spacing w:val="0"/>
                <w:highlight w:val="none"/>
                <w:lang w:val="en-US" w:eastAsia="zh-CN"/>
              </w:rPr>
            </w:pPr>
            <w:r>
              <w:rPr>
                <w:rFonts w:hint="eastAsia" w:ascii="Times New Roman" w:hAnsi="Times New Roman" w:eastAsia="宋体" w:cs="Times New Roman"/>
                <w:b/>
                <w:bCs/>
                <w:color w:val="auto"/>
                <w:spacing w:val="0"/>
                <w:highlight w:val="none"/>
                <w:lang w:val="en-US" w:eastAsia="zh-CN"/>
              </w:rPr>
              <w:t>环境影响评价的主要环境影响预测及结论（生态、声、大气、水、震动、电磁、固体废物等）</w:t>
            </w:r>
          </w:p>
          <w:p w14:paraId="63D8A3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contextualSpacing/>
              <w:jc w:val="both"/>
              <w:textAlignment w:val="auto"/>
              <w:rPr>
                <w:rFonts w:hint="eastAsia" w:ascii="Times New Roman" w:hAnsi="Times New Roman" w:eastAsia="宋体" w:cs="Times New Roman"/>
                <w:color w:val="auto"/>
                <w:sz w:val="24"/>
                <w:szCs w:val="32"/>
                <w:lang w:val="en-US" w:eastAsia="zh-CN"/>
              </w:rPr>
            </w:pPr>
            <w:r>
              <w:rPr>
                <w:rFonts w:hint="eastAsia" w:ascii="Times New Roman" w:hAnsi="Times New Roman" w:eastAsia="宋体" w:cs="Times New Roman"/>
                <w:color w:val="auto"/>
                <w:sz w:val="24"/>
                <w:szCs w:val="32"/>
                <w:lang w:val="en-US" w:eastAsia="zh-CN"/>
              </w:rPr>
              <w:t>根据甘肃卉昕朋环保科技有限公司于2024年4月编制的《华北油气分公司采油一厂宫河1H等11宗勘探井建设项目》中关于项目施工期生态、声、大气、水、固体废物等环境影响的分析，本次环境影响评价回顾如下：</w:t>
            </w:r>
          </w:p>
          <w:p w14:paraId="5D162EB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482" w:firstLineChars="200"/>
              <w:jc w:val="both"/>
              <w:textAlignment w:val="auto"/>
              <w:rPr>
                <w:rFonts w:hint="eastAsia" w:ascii="Times New Roman" w:hAnsi="Times New Roman" w:eastAsia="宋体" w:cs="Times New Roman"/>
                <w:b/>
                <w:bCs/>
                <w:color w:val="auto"/>
                <w:spacing w:val="0"/>
                <w:highlight w:val="none"/>
                <w:lang w:val="en-US" w:eastAsia="zh-CN"/>
              </w:rPr>
            </w:pPr>
            <w:r>
              <w:rPr>
                <w:rFonts w:hint="eastAsia" w:ascii="Times New Roman" w:hAnsi="Times New Roman" w:eastAsia="宋体" w:cs="Times New Roman"/>
                <w:b/>
                <w:bCs/>
                <w:color w:val="auto"/>
                <w:spacing w:val="0"/>
                <w:highlight w:val="none"/>
                <w:lang w:val="en-US" w:eastAsia="zh-CN"/>
              </w:rPr>
              <w:t>5.1项目概况</w:t>
            </w:r>
          </w:p>
          <w:p w14:paraId="3E23A0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本项目主要建设11宗勘探井，建设内容包括钻前工程（建设内容主要为井场的平整、临时办公生活区的建设等）、钻井工程（建设内容主要为钻井、测井、录井、固井等）及完井测试（主要包括完井作业和油气测试，洗井、射孔、压裂、试油、气等）。前期主要进行油、气井勘探，通过完井测试评价油藏情况，本次环评不包含井场建设和采油、气生产，当评价井需要转采油、气井时，纳入区域产能环评中进一步办理环评手续。本项目总投资11000万元，其中环保投资约695.6万元，占总投资的6.32%。</w:t>
            </w:r>
          </w:p>
          <w:p w14:paraId="37BE454D">
            <w:pPr>
              <w:keepNext w:val="0"/>
              <w:keepLines w:val="0"/>
              <w:widowControl w:val="0"/>
              <w:suppressLineNumbers w:val="0"/>
              <w:spacing w:before="0" w:beforeAutospacing="0" w:afterAutospacing="0" w:line="360" w:lineRule="auto"/>
              <w:ind w:left="0" w:right="0" w:firstLine="482" w:firstLineChars="200"/>
              <w:contextualSpacing/>
              <w:jc w:val="both"/>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 xml:space="preserve">5.2施工期环境影响回顾                                                                                  </w:t>
            </w:r>
          </w:p>
          <w:p w14:paraId="70362D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（1）水环境影响</w:t>
            </w:r>
          </w:p>
          <w:p w14:paraId="34E79F8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zh-CN" w:eastAsia="zh-CN"/>
              </w:rPr>
            </w:pPr>
            <w:r>
              <w:rPr>
                <w:rFonts w:hint="eastAsia" w:ascii="Times New Roman" w:hAnsi="Times New Roman" w:eastAsia="宋体" w:cs="Times New Roman"/>
                <w:color w:val="auto"/>
                <w:spacing w:val="0"/>
                <w:sz w:val="24"/>
                <w:szCs w:val="24"/>
                <w:highlight w:val="none"/>
                <w:lang w:val="zh-CN" w:eastAsia="zh-CN"/>
              </w:rPr>
              <w:t>钻井废水：在钻井前井场应配备废液收集罐，钻井废水随废弃钻井泥浆等一起进入泥浆不落地系统中，经过固液分离后，液相进入废液收集罐，经破胶脱稳装置后，钻井废水统一拉运至泾河8撬装式水净化站处理达标后回注，不外排；</w:t>
            </w:r>
            <w:r>
              <w:rPr>
                <w:rFonts w:hint="eastAsia" w:ascii="Times New Roman" w:hAnsi="Times New Roman" w:eastAsia="宋体" w:cs="Times New Roman"/>
                <w:color w:val="auto"/>
                <w:spacing w:val="0"/>
                <w:sz w:val="24"/>
                <w:szCs w:val="24"/>
                <w:highlight w:val="none"/>
                <w:lang w:val="en-US" w:eastAsia="zh-CN"/>
              </w:rPr>
              <w:t>洗井废水：</w:t>
            </w:r>
            <w:r>
              <w:rPr>
                <w:rFonts w:hint="eastAsia" w:ascii="Times New Roman" w:hAnsi="Times New Roman" w:eastAsia="宋体" w:cs="Times New Roman"/>
                <w:color w:val="auto"/>
                <w:spacing w:val="0"/>
                <w:sz w:val="24"/>
                <w:szCs w:val="24"/>
                <w:highlight w:val="none"/>
                <w:lang w:val="zh-CN" w:eastAsia="zh-CN"/>
              </w:rPr>
              <w:t>统一拉运至泾河8撬装式水净化站达标后回注，不外排。</w:t>
            </w:r>
            <w:r>
              <w:rPr>
                <w:rFonts w:hint="eastAsia" w:ascii="Times New Roman" w:hAnsi="Times New Roman" w:eastAsia="宋体" w:cs="Times New Roman"/>
                <w:color w:val="auto"/>
                <w:spacing w:val="0"/>
                <w:sz w:val="24"/>
                <w:szCs w:val="24"/>
                <w:highlight w:val="none"/>
                <w:lang w:val="en-US" w:eastAsia="zh-CN"/>
              </w:rPr>
              <w:t>井下作业废水</w:t>
            </w:r>
            <w:r>
              <w:rPr>
                <w:rFonts w:hint="eastAsia" w:ascii="Times New Roman" w:hAnsi="Times New Roman" w:eastAsia="宋体" w:cs="Times New Roman"/>
                <w:color w:val="auto"/>
                <w:spacing w:val="0"/>
                <w:sz w:val="24"/>
                <w:szCs w:val="24"/>
                <w:highlight w:val="none"/>
                <w:lang w:val="zh-CN" w:eastAsia="zh-CN"/>
              </w:rPr>
              <w:t>：压裂返排液全部回收入罐，优先在井场内进行再利用，无法利用的统一拉运至泾河8撬装式水净化站处理达标后回注，不外排；生活污水：设置移动式环保</w:t>
            </w:r>
            <w:r>
              <w:rPr>
                <w:rFonts w:hint="eastAsia" w:ascii="Times New Roman" w:hAnsi="Times New Roman" w:eastAsia="宋体" w:cs="Times New Roman"/>
                <w:color w:val="auto"/>
                <w:spacing w:val="0"/>
                <w:sz w:val="24"/>
                <w:szCs w:val="24"/>
                <w:highlight w:val="none"/>
                <w:lang w:val="en-US" w:eastAsia="zh-CN"/>
              </w:rPr>
              <w:t>厕所</w:t>
            </w:r>
            <w:r>
              <w:rPr>
                <w:rFonts w:hint="eastAsia" w:ascii="Times New Roman" w:hAnsi="Times New Roman" w:eastAsia="宋体" w:cs="Times New Roman"/>
                <w:color w:val="auto"/>
                <w:spacing w:val="0"/>
                <w:sz w:val="24"/>
                <w:szCs w:val="24"/>
                <w:highlight w:val="none"/>
                <w:lang w:val="zh-CN" w:eastAsia="zh-CN"/>
              </w:rPr>
              <w:t>，粪便定期清运作为附近村庄农家肥使用，不外排；少量盥洗类生活污水用于站场洒水抑尘；初期雨水：初期雨水：在井场周围设置雨水导排渠，井场内设置30m</w:t>
            </w:r>
            <w:r>
              <w:rPr>
                <w:rFonts w:hint="eastAsia" w:ascii="Times New Roman" w:hAnsi="Times New Roman" w:eastAsia="宋体" w:cs="Times New Roman"/>
                <w:color w:val="auto"/>
                <w:spacing w:val="0"/>
                <w:sz w:val="24"/>
                <w:szCs w:val="24"/>
                <w:highlight w:val="none"/>
                <w:vertAlign w:val="superscript"/>
                <w:lang w:val="zh-CN" w:eastAsia="zh-CN"/>
              </w:rPr>
              <w:t>3</w:t>
            </w:r>
            <w:r>
              <w:rPr>
                <w:rFonts w:hint="eastAsia" w:ascii="Times New Roman" w:hAnsi="Times New Roman" w:eastAsia="宋体" w:cs="Times New Roman"/>
                <w:color w:val="auto"/>
                <w:spacing w:val="0"/>
                <w:sz w:val="24"/>
                <w:szCs w:val="24"/>
                <w:highlight w:val="none"/>
                <w:lang w:val="zh-CN" w:eastAsia="zh-CN"/>
              </w:rPr>
              <w:t>初期雨水收集罐。</w:t>
            </w:r>
          </w:p>
          <w:p w14:paraId="54621F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（2）地下水</w:t>
            </w:r>
            <w:r>
              <w:rPr>
                <w:rFonts w:hint="eastAsia" w:ascii="Times New Roman" w:hAnsi="Times New Roman" w:eastAsia="宋体" w:cs="Times New Roman"/>
                <w:color w:val="auto"/>
                <w:spacing w:val="0"/>
                <w:sz w:val="24"/>
                <w:szCs w:val="24"/>
                <w:highlight w:val="none"/>
                <w:lang w:val="en-US" w:eastAsia="zh-CN"/>
              </w:rPr>
              <w:t>及土壤</w:t>
            </w:r>
            <w:r>
              <w:rPr>
                <w:rFonts w:hint="default" w:ascii="Times New Roman" w:hAnsi="Times New Roman" w:eastAsia="宋体" w:cs="Times New Roman"/>
                <w:color w:val="auto"/>
                <w:spacing w:val="0"/>
                <w:sz w:val="24"/>
                <w:szCs w:val="24"/>
                <w:highlight w:val="none"/>
                <w:lang w:val="en-US" w:eastAsia="zh-CN"/>
              </w:rPr>
              <w:t>环境影响</w:t>
            </w:r>
          </w:p>
          <w:p w14:paraId="6F9D31C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eastAsia" w:ascii="Times New Roman" w:hAnsi="Times New Roman" w:eastAsia="宋体" w:cs="Times New Roman"/>
                <w:color w:val="auto"/>
                <w:spacing w:val="0"/>
                <w:sz w:val="24"/>
                <w:szCs w:val="24"/>
                <w:highlight w:val="none"/>
                <w:lang w:val="en-US" w:eastAsia="zh-CN"/>
              </w:rPr>
              <w:t>。</w:t>
            </w:r>
          </w:p>
          <w:p w14:paraId="0A1705C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（3）环境空气影响</w:t>
            </w:r>
          </w:p>
          <w:p w14:paraId="0563066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施工扬尘：井场洒水抑尘，表土及建材堆放设置挡板、上覆遮盖材料，施工运输车辆采取密闭措施或加盖防尘布，临时道路配备洒水车定期洒水抑尘；</w:t>
            </w:r>
          </w:p>
          <w:p w14:paraId="0B1993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柴油发电机燃烧烟气：选用环保型柴油发电机，使用优质轻柴油，简易排气筒排放；排气管朝向避开农户分布及项目区工作人员办公生活的方位；</w:t>
            </w:r>
          </w:p>
          <w:p w14:paraId="7BAC5C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伴生气：少量试油伴生气逸散；试气废气经放喷管放喷燃烧。</w:t>
            </w:r>
          </w:p>
          <w:p w14:paraId="03AE568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（4）声环境影响</w:t>
            </w:r>
          </w:p>
          <w:p w14:paraId="792833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选用低噪声设备，并对压裂车设置临时屏蔽进行隔声; 禁止夜间施工，白天施工过程中高噪声设备远离村民，对高噪声设备安装隔声挡板及减震垫，做好施工机械的维护和保养，夜间禁止施工、同时加强绿化。</w:t>
            </w:r>
          </w:p>
          <w:p w14:paraId="4892F5C1">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440" w:leftChars="200" w:right="0" w:rightChars="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（5）固废影响</w:t>
            </w:r>
          </w:p>
          <w:p w14:paraId="25C8DD9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废弃钻井泥浆、钻井岩屑（不含油）、采取不落地收集+板框压滤装置处置，产生的压滤泥饼清运至一般工业固废集中填埋场安全填埋处置或制作烧结砖资源化综合利用，纯碱、膨润土废弃包装、废防渗布（不含油）统一收集后由钻井施工企业回收综合利用。不含油压裂砂由厂家回收利用。建筑垃圾回收利用。勘探井废过硫酸钾包装袋、废弃防渗布（沾落地油）、落地油、废机油、废润滑油、废含油抹布、含油压裂砂暂存于临时危废贮存库暂存、含油岩屑收集至油泥暂存点暂存后，定期委托有资质单位外运处置；生活垃圾经生活垃圾桶收集后，运至政府部门指定地点处置。</w:t>
            </w:r>
          </w:p>
          <w:p w14:paraId="2849652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（6）环境风险分析</w:t>
            </w:r>
          </w:p>
          <w:p w14:paraId="213DB5C9">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设置灭火器、正压式呼吸器、便携式可燃气体检测仪等；井场设置30m</w:t>
            </w:r>
            <w:r>
              <w:rPr>
                <w:rFonts w:hint="default" w:ascii="Times New Roman" w:hAnsi="Times New Roman" w:eastAsia="宋体" w:cs="Times New Roman"/>
                <w:color w:val="auto"/>
                <w:spacing w:val="0"/>
                <w:sz w:val="24"/>
                <w:szCs w:val="24"/>
                <w:highlight w:val="none"/>
                <w:vertAlign w:val="superscript"/>
                <w:lang w:val="en-US" w:eastAsia="zh-CN"/>
              </w:rPr>
              <w:t>3</w:t>
            </w:r>
            <w:r>
              <w:rPr>
                <w:rFonts w:hint="default" w:ascii="Times New Roman" w:hAnsi="Times New Roman" w:eastAsia="宋体" w:cs="Times New Roman"/>
                <w:color w:val="auto"/>
                <w:spacing w:val="0"/>
                <w:sz w:val="24"/>
                <w:szCs w:val="24"/>
                <w:highlight w:val="none"/>
                <w:lang w:val="en-US" w:eastAsia="zh-CN"/>
              </w:rPr>
              <w:t>污油罐（兼作事故罐），井场四周设置不低于20cm高土围堰，且井场大门处修建挡土梁；开工建设前，井场单独编制突发环境事件应急预案。</w:t>
            </w:r>
          </w:p>
          <w:p w14:paraId="6F999428">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（7）生态影响分析</w:t>
            </w:r>
          </w:p>
          <w:p w14:paraId="34772F4C">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color w:val="auto"/>
                <w:lang w:val="en-US"/>
              </w:rPr>
            </w:pPr>
            <w:r>
              <w:rPr>
                <w:rFonts w:hint="default" w:ascii="Times New Roman" w:hAnsi="Times New Roman" w:eastAsia="宋体" w:cs="Times New Roman"/>
                <w:color w:val="auto"/>
                <w:spacing w:val="0"/>
                <w:sz w:val="24"/>
                <w:szCs w:val="24"/>
                <w:highlight w:val="none"/>
                <w:lang w:val="en-US" w:eastAsia="zh-CN"/>
              </w:rPr>
              <w:t>合理选择线路走向和井站场位置，避开和减少占用耕地、林地和破坏植被；严格控制车辆、人员的活动范围；尽量在其周围、空地等进行植被恢复重建，确定不能进行植被重建的，应在当地有关部门指定的它处进行植被建设以达到生态补偿;设置临时性防护措施，减少施工过程中造成的人为扰动及产生的弃土（石、渣）。对井场等工程占地进行平整恢复植被，进行绿化</w:t>
            </w:r>
            <w:r>
              <w:rPr>
                <w:rFonts w:hint="eastAsia" w:ascii="Times New Roman" w:hAnsi="Times New Roman" w:eastAsia="宋体" w:cs="Times New Roman"/>
                <w:color w:val="auto"/>
                <w:spacing w:val="0"/>
                <w:sz w:val="24"/>
                <w:szCs w:val="24"/>
                <w:highlight w:val="none"/>
                <w:lang w:val="en-US" w:eastAsia="zh-CN"/>
              </w:rPr>
              <w:t>。</w:t>
            </w:r>
          </w:p>
        </w:tc>
      </w:tr>
      <w:tr w14:paraId="2E6B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F9019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eastAsia" w:ascii="Times New Roman" w:hAnsi="Times New Roman" w:eastAsia="宋体" w:cs="Times New Roman"/>
                <w:b/>
                <w:bCs/>
                <w:color w:val="auto"/>
                <w:sz w:val="24"/>
                <w:szCs w:val="24"/>
                <w:highlight w:val="none"/>
                <w:lang w:eastAsia="zh-CN"/>
              </w:rPr>
            </w:pPr>
            <w:r>
              <w:rPr>
                <w:rFonts w:hint="eastAsia" w:ascii="Times New Roman" w:hAnsi="Times New Roman" w:eastAsia="宋体" w:cs="Times New Roman"/>
                <w:b/>
                <w:bCs/>
                <w:color w:val="auto"/>
                <w:sz w:val="24"/>
                <w:szCs w:val="24"/>
                <w:highlight w:val="none"/>
                <w:lang w:eastAsia="zh-CN"/>
              </w:rPr>
              <w:t>生态环境部门审批意见</w:t>
            </w:r>
          </w:p>
          <w:p w14:paraId="106D71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庆阳市生态环境局</w:t>
            </w:r>
            <w:r>
              <w:rPr>
                <w:rFonts w:hint="default" w:ascii="Times New Roman" w:hAnsi="Times New Roman" w:eastAsia="宋体" w:cs="Times New Roman"/>
                <w:color w:val="auto"/>
                <w:spacing w:val="0"/>
                <w:sz w:val="24"/>
                <w:szCs w:val="24"/>
                <w:highlight w:val="none"/>
                <w:lang w:val="en-US" w:eastAsia="zh-CN"/>
              </w:rPr>
              <w:t>于</w:t>
            </w:r>
            <w:r>
              <w:rPr>
                <w:rFonts w:hint="eastAsia" w:ascii="Times New Roman" w:hAnsi="Times New Roman" w:eastAsia="宋体" w:cs="Times New Roman"/>
                <w:color w:val="auto"/>
                <w:spacing w:val="0"/>
                <w:sz w:val="24"/>
                <w:szCs w:val="24"/>
                <w:highlight w:val="none"/>
                <w:lang w:val="en-US" w:eastAsia="zh-CN"/>
              </w:rPr>
              <w:t>2024年5月8日</w:t>
            </w:r>
            <w:r>
              <w:rPr>
                <w:rFonts w:hint="default" w:ascii="Times New Roman" w:hAnsi="Times New Roman" w:eastAsia="宋体" w:cs="Times New Roman"/>
                <w:color w:val="auto"/>
                <w:spacing w:val="0"/>
                <w:sz w:val="24"/>
                <w:szCs w:val="24"/>
                <w:highlight w:val="none"/>
                <w:lang w:val="en-US" w:eastAsia="zh-CN"/>
              </w:rPr>
              <w:t>以</w:t>
            </w:r>
            <w:r>
              <w:rPr>
                <w:rFonts w:hint="eastAsia" w:ascii="Times New Roman" w:hAnsi="Times New Roman" w:eastAsia="宋体" w:cs="Times New Roman"/>
                <w:color w:val="auto"/>
                <w:spacing w:val="0"/>
                <w:w w:val="100"/>
                <w:kern w:val="0"/>
                <w:sz w:val="24"/>
                <w:szCs w:val="24"/>
                <w:highlight w:val="none"/>
                <w:lang w:val="en-US" w:eastAsia="zh-CN"/>
              </w:rPr>
              <w:t>庆环评表字〔2024〕22号</w:t>
            </w:r>
            <w:r>
              <w:rPr>
                <w:rFonts w:hint="default" w:ascii="Times New Roman" w:hAnsi="Times New Roman" w:eastAsia="宋体" w:cs="Times New Roman"/>
                <w:color w:val="auto"/>
                <w:spacing w:val="0"/>
                <w:sz w:val="24"/>
                <w:szCs w:val="24"/>
                <w:highlight w:val="none"/>
                <w:lang w:val="en-US" w:eastAsia="zh-CN"/>
              </w:rPr>
              <w:t>文对</w:t>
            </w: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pacing w:val="0"/>
                <w:sz w:val="24"/>
                <w:szCs w:val="24"/>
                <w:highlight w:val="none"/>
                <w:lang w:val="en-US" w:eastAsia="zh-CN"/>
              </w:rPr>
              <w:t>出具了《</w:t>
            </w:r>
            <w:r>
              <w:rPr>
                <w:rFonts w:hint="eastAsia" w:ascii="Times New Roman" w:hAnsi="Times New Roman" w:eastAsia="宋体" w:cs="Times New Roman"/>
                <w:color w:val="auto"/>
                <w:spacing w:val="0"/>
                <w:sz w:val="24"/>
                <w:szCs w:val="24"/>
                <w:highlight w:val="none"/>
                <w:lang w:val="en-US" w:eastAsia="zh-CN"/>
              </w:rPr>
              <w:t>华北油气分公司采油一厂宫河1H等11宗勘探井建设项目</w:t>
            </w:r>
            <w:r>
              <w:rPr>
                <w:rFonts w:hint="default" w:ascii="Times New Roman" w:hAnsi="Times New Roman" w:eastAsia="宋体" w:cs="Times New Roman"/>
                <w:color w:val="auto"/>
                <w:spacing w:val="0"/>
                <w:sz w:val="24"/>
                <w:szCs w:val="24"/>
                <w:highlight w:val="none"/>
                <w:lang w:val="en-US" w:eastAsia="zh-CN"/>
              </w:rPr>
              <w:t>的</w:t>
            </w:r>
            <w:r>
              <w:rPr>
                <w:rFonts w:hint="eastAsia" w:ascii="Times New Roman" w:hAnsi="Times New Roman" w:eastAsia="宋体" w:cs="Times New Roman"/>
                <w:color w:val="auto"/>
                <w:spacing w:val="0"/>
                <w:sz w:val="24"/>
                <w:szCs w:val="24"/>
                <w:highlight w:val="none"/>
                <w:lang w:val="en-US" w:eastAsia="zh-CN"/>
              </w:rPr>
              <w:t>审查意见</w:t>
            </w:r>
            <w:r>
              <w:rPr>
                <w:rFonts w:hint="default" w:ascii="Times New Roman" w:hAnsi="Times New Roman" w:eastAsia="宋体" w:cs="Times New Roman"/>
                <w:color w:val="auto"/>
                <w:spacing w:val="0"/>
                <w:sz w:val="24"/>
                <w:szCs w:val="24"/>
                <w:highlight w:val="none"/>
                <w:lang w:val="en-US" w:eastAsia="zh-CN"/>
              </w:rPr>
              <w:t>》，</w:t>
            </w:r>
            <w:r>
              <w:rPr>
                <w:rFonts w:hint="eastAsia" w:ascii="Times New Roman" w:hAnsi="Times New Roman" w:eastAsia="宋体" w:cs="Times New Roman"/>
                <w:color w:val="auto"/>
                <w:spacing w:val="0"/>
                <w:sz w:val="24"/>
                <w:szCs w:val="24"/>
                <w:highlight w:val="none"/>
                <w:lang w:val="en-US" w:eastAsia="zh-CN"/>
              </w:rPr>
              <w:t>本次验收只针对JH2P42、JH2P44、良平101H、长探105</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pacing w:val="0"/>
                <w:sz w:val="24"/>
                <w:szCs w:val="24"/>
                <w:highlight w:val="none"/>
                <w:lang w:val="en-US" w:eastAsia="zh-CN"/>
              </w:rPr>
              <w:t>意见如下：</w:t>
            </w:r>
          </w:p>
          <w:p w14:paraId="69195F8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一、</w:t>
            </w:r>
            <w:r>
              <w:rPr>
                <w:rFonts w:hint="default" w:ascii="Times New Roman" w:hAnsi="Times New Roman" w:eastAsia="宋体" w:cs="Times New Roman"/>
                <w:color w:val="auto"/>
                <w:spacing w:val="0"/>
                <w:sz w:val="24"/>
                <w:szCs w:val="24"/>
                <w:highlight w:val="none"/>
                <w:lang w:val="en-US" w:eastAsia="zh-CN"/>
              </w:rPr>
              <w:t>该项目位于宁县中村镇、早胜镇、新庄镇、和盛镇，正宁县永正镇、榆林子镇。建设内容包括油探井8座:JH2P11(四至坐标:X:3918443</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Y:36496757;X:3918505</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Y:36496710:X:3918552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Y:36496770;X:3918512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Y:36496849</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中心坐标:X:3918497</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Y:36496771)</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JH2P42(四至坐标:X:3919565</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Y:36496195;X:3919663</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Y:36496185;X:3919671</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Y:36496275;X:3919573</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Y:36496270</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中心坐标:X:3919612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Y:36496228)、JH2P44(四至坐标:X:3918152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Y:36495679;X:3918223</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Y:36495732;X:3918144</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Y:36495806X:3918076</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Y:36495734</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中心坐标:X:3918149</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Y:36495730)、良平101H(四至坐标:X:3922117,Y:36495493;X:3922147,Y:36495415;X:3922228,Y:36495447;X:392219836495522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中心坐标:X:3922167</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Y:36495470)、良平203H(四至坐标:X:3918847</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Y:Y:36497879;X:3918910,Y:36497857;X:3918936,Y:36497933;X:3918871</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Y:36497951中心坐标:X:3918885</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Y:36497904)、永正2H(四至坐标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X:3921432:Y:36520678:X3921372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Y:36520710;X:3921415</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Y:36520786;X:3921466</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Y:36520761</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中心坐标:X:3921420，Y:36520740)、官河1H(四至坐标:X:3914233</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Y:36517415;X:3914270Y:36517499;X:3914202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Y:36517535;X:3914161</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Y:36517435</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中心坐标:X:3914216Y:36517478)、官河101H(四至坐标:X:3912914</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Y:36516155;X:3912799</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Y:36516191:X:3912858</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Y:36516249;X:3912937，Y:36516222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中心坐标:X:3912879</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Y:36516199)</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气探井3宗:长探105(四至坐标:X:3922138</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Y:36487770;X:3922192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Y:36487703;X:3922290</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Y:36487762;X:3922244</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Y:36487827</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中心坐标:X:3922213</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Y:36487770)</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长探106(四至坐标:X:3920770</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Y:36474331;X:3920770</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Y:36474404;X:3920865</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Y:36474401;X:3920866，Y:36474331，中心坐标:X:3920821，Y:36474369)、彬6(四至坐标:X:3909680，Y:36480299;X:3909746</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Y:36480373;X:3909688</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Y:36480417:X:3909628</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Y:36480347，中心坐标:X:3909681，Y:36480356)。本项目8宗油探井均为水平井、3宗气探井均为直井，油探井(水平井)设计平均钻井进尺为2295m，主要探查长6、长油藏</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气探井(直井)钻井进尺为 4027m，主要探查盒8层位气藏。项目总投资为11000万元，其中环保投资为695.6万元，占总投资的6.32%。</w:t>
            </w:r>
          </w:p>
          <w:p w14:paraId="69738E9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该项目采取各项污染防治、生态保护和环境风险控制措施后，工程建设对环境的不利影响能够得到减缓和控制，同意你公司按照《报告表》中所列的建设项目性质、规模、地点、环境保护措施建设。《报告表》可作为工程环境保护设计、建设与环境管理的依据。</w:t>
            </w:r>
          </w:p>
          <w:p w14:paraId="5B023860">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工程建设应按照国家环保法律法规要求，做到污染物达标排放，严格执行环保“三同时”制度，做到环保投资及时足额到位，认真落实《报告表》提出的各项生态保护污染防治、环境风险控制措施，发挥环保投资效益，改善和保护环境。</w:t>
            </w:r>
          </w:p>
          <w:p w14:paraId="31E9FA6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四、项目建设与运行管理中应重点做好的工作</w:t>
            </w:r>
            <w:r>
              <w:rPr>
                <w:rFonts w:hint="eastAsia" w:ascii="Times New Roman" w:hAnsi="Times New Roman" w:eastAsia="宋体" w:cs="Times New Roman"/>
                <w:color w:val="auto"/>
                <w:spacing w:val="0"/>
                <w:sz w:val="24"/>
                <w:szCs w:val="24"/>
                <w:highlight w:val="none"/>
                <w:lang w:val="en-US" w:eastAsia="zh-CN"/>
              </w:rPr>
              <w:t>：</w:t>
            </w:r>
          </w:p>
          <w:p w14:paraId="74D4CA1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一)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p>
          <w:p w14:paraId="475C1E8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(二)加强废水污染防治工作。落实废水收集池的雨污分流和防渗漏等措施，防止废水外溢、渗漏</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加强各类废水收集、暂存及运输过程中的环境管理，实施全过程监控，避免违规排放，并采取有效措施，防止产生二次污染。钻井前应当在防渗布周围设置不低于20cm的围堰</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井场周围设不低于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p w14:paraId="4A09C7E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(三)加强噪声污染防治工作，合理安排强噪声施工机械的工作频次、时限。尽量选用低噪声机械设备或自带隔声、消声的设备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对施工机械采取隔声、降噪措施，确保施工场界噪声排放满足《建筑施工场界噪声限值》(GB12523-2011)标准的要求。</w:t>
            </w:r>
          </w:p>
          <w:p w14:paraId="615165F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加强固废污染防治工作。钻井废弃泥浆、一般岩屑全部进入泥浆罐采用不落地收集+板框压滤工艺处理后产生的固相(含水率不得大于60%)集中填埋或制作烧结砖资源化综合利用;不含油压裂砂由厂家回收利用;生活垃圾统一收集运输至环卫部门指定地点处置;废防渗布等危险废物分类收集及时转运，定期委托有资质的单位进行安全处置，并建立转移联单。</w:t>
            </w:r>
          </w:p>
          <w:p w14:paraId="0863C3DE">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p w14:paraId="40778E1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w:t>
            </w:r>
            <w:r>
              <w:rPr>
                <w:rFonts w:hint="eastAsia" w:ascii="Times New Roman" w:hAnsi="Times New Roman" w:eastAsia="宋体" w:cs="Times New Roman"/>
                <w:color w:val="auto"/>
                <w:spacing w:val="0"/>
                <w:sz w:val="24"/>
                <w:szCs w:val="24"/>
                <w:highlight w:val="none"/>
                <w:lang w:val="en-US" w:eastAsia="zh-CN"/>
              </w:rPr>
              <w:t>按要求编制环境应急预案，并报环境保护主管部门备案。</w:t>
            </w:r>
          </w:p>
          <w:p w14:paraId="61D862F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以上审批意见仅限于本《报告表》确定的建设内容，若建设项目的性质、规模地点、采用的工艺或者防治污染、防止生态破坏的措施发生重大变动的，建设单位应当重新报批建设项目的环境影响评价文件，国家相关法规、政策、标准有新变化的，按新要求执行。</w:t>
            </w:r>
          </w:p>
          <w:p w14:paraId="06DAEB0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严格依据《报告表》中批复的升场建设地点，坐标和井井号、数量等内容进行石油天然气始探工作，严禁擅自变更;对《报告表》及审查意见提出的各项生态环境保护措施和求，应明确到井场施工合同中并认真监督执行。该项目为陆地石油天然气资源质批工程，若探并转为生产井，须纳入油(气)田区块管理并及时报批环评文件。</w:t>
            </w:r>
          </w:p>
          <w:p w14:paraId="695D40FF">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七、项目建成后，按照原环保部《关于发布建设项目竣工环境保护验收暂行办法的公告》(国环规环评〔2017]4号)有关规定和程序，必频严格执行环境保护设施与主体工程同时设计、同时施工、同时投产的环境保护“三同时”制度。请市生态环境局宁县分局、正宁分局负责该项目的事中事后监管，项目建成后应按规定自行开展竣工环境保护验收。</w:t>
            </w:r>
          </w:p>
          <w:p w14:paraId="151E0C61">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八，建设单位是建设项目选址、建设全过程落实环境保护措施，公开环境信息的主体，应搜照《建设项目环境影响评价信息公开机制方案》等要求依法依规公开建设项目环评信息，通公众参与和社会监督梨道，保障可能受建设项目环境影响的公众环境权益</w:t>
            </w:r>
            <w:r>
              <w:rPr>
                <w:rFonts w:hint="eastAsia" w:ascii="Times New Roman" w:hAnsi="Times New Roman" w:eastAsia="宋体" w:cs="Times New Roman"/>
                <w:color w:val="auto"/>
                <w:spacing w:val="0"/>
                <w:sz w:val="24"/>
                <w:szCs w:val="24"/>
                <w:highlight w:val="none"/>
                <w:lang w:val="en-US" w:eastAsia="zh-CN"/>
              </w:rPr>
              <w:t>。</w:t>
            </w:r>
          </w:p>
          <w:p w14:paraId="1AD7B44F">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九，《报告表》审批后十五日内，建设单位应将《报合表》及其审批意见分别送交庆阳市生态环境保护综合行政执法队和市生态环境局宁县分局、正宁分局。请庆阳市生态环境保护综合行政执法队。庆阳市生态环境局宁县分局，正宁分局加强项目的生态</w:t>
            </w:r>
            <w:r>
              <w:rPr>
                <w:rFonts w:hint="eastAsia" w:ascii="Times New Roman" w:hAnsi="Times New Roman" w:eastAsia="宋体" w:cs="Times New Roman"/>
                <w:color w:val="auto"/>
                <w:spacing w:val="0"/>
                <w:sz w:val="24"/>
                <w:szCs w:val="24"/>
                <w:highlight w:val="none"/>
                <w:lang w:val="en-US" w:eastAsia="zh-CN"/>
              </w:rPr>
              <w:t>环境</w:t>
            </w:r>
            <w:r>
              <w:rPr>
                <w:rFonts w:hint="default" w:ascii="Times New Roman" w:hAnsi="Times New Roman" w:eastAsia="宋体" w:cs="Times New Roman"/>
                <w:color w:val="auto"/>
                <w:spacing w:val="0"/>
                <w:sz w:val="24"/>
                <w:szCs w:val="24"/>
                <w:highlight w:val="none"/>
                <w:lang w:val="en-US" w:eastAsia="zh-CN"/>
              </w:rPr>
              <w:t>监督管理工作，你公司必须按规定接受各级生态环境行政主管部门的监督检查。</w:t>
            </w:r>
          </w:p>
          <w:p w14:paraId="228AD459">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55594B1D">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64C5E4C9">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325454A2">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66815B14">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2714659A">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5336A61C">
            <w:pPr>
              <w:keepNext w:val="0"/>
              <w:keepLines w:val="0"/>
              <w:widowControl w:val="0"/>
              <w:suppressLineNumbers w:val="0"/>
              <w:spacing w:before="0" w:beforeAutospacing="0" w:afterAutospacing="0"/>
              <w:ind w:left="0" w:right="0"/>
              <w:jc w:val="both"/>
              <w:rPr>
                <w:rFonts w:hint="default"/>
                <w:lang w:val="en-US" w:eastAsia="zh-CN"/>
              </w:rPr>
            </w:pPr>
          </w:p>
          <w:p w14:paraId="4DD3108E">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197DCECF">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1223CE16">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6EB9C5A1">
            <w:pPr>
              <w:pStyle w:val="2"/>
              <w:keepNext w:val="0"/>
              <w:keepLines w:val="0"/>
              <w:widowControl w:val="0"/>
              <w:suppressLineNumbers w:val="0"/>
              <w:spacing w:before="0" w:beforeAutospacing="0" w:afterAutospacing="0"/>
              <w:ind w:left="0" w:leftChars="0" w:right="0" w:firstLine="0" w:firstLineChars="0"/>
              <w:jc w:val="both"/>
              <w:rPr>
                <w:rFonts w:hint="default" w:ascii="Times New Roman" w:hAnsi="Times New Roman" w:eastAsia="宋体" w:cs="Times New Roman"/>
                <w:color w:val="auto"/>
                <w:highlight w:val="none"/>
              </w:rPr>
            </w:pPr>
          </w:p>
          <w:p w14:paraId="58C5EB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highlight w:val="none"/>
              </w:rPr>
            </w:pPr>
          </w:p>
        </w:tc>
      </w:tr>
    </w:tbl>
    <w:p w14:paraId="3EE31BCA">
      <w:pPr>
        <w:pStyle w:val="2"/>
        <w:ind w:left="0" w:leftChars="0" w:firstLine="0" w:firstLineChars="0"/>
        <w:rPr>
          <w:rFonts w:hint="default" w:ascii="Times New Roman" w:hAnsi="Times New Roman" w:eastAsia="宋体" w:cs="Times New Roman"/>
          <w:color w:val="auto"/>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391335BF">
      <w:pPr>
        <w:rPr>
          <w:rFonts w:hint="default"/>
          <w:color w:val="auto"/>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DFD3255">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6" w:name="_Toc20309"/>
      <w:r>
        <w:rPr>
          <w:rFonts w:hint="eastAsia" w:ascii="Times New Roman" w:hAnsi="Times New Roman" w:eastAsia="宋体" w:cs="Times New Roman"/>
          <w:b/>
          <w:bCs/>
          <w:color w:val="auto"/>
          <w:w w:val="95"/>
          <w:sz w:val="32"/>
          <w:highlight w:val="none"/>
          <w:lang w:val="en-US" w:eastAsia="zh-CN"/>
        </w:rPr>
        <w:t>6.</w:t>
      </w:r>
      <w:r>
        <w:rPr>
          <w:rFonts w:hint="default" w:ascii="Times New Roman" w:hAnsi="Times New Roman" w:eastAsia="宋体" w:cs="Times New Roman"/>
          <w:b/>
          <w:bCs/>
          <w:color w:val="auto"/>
          <w:w w:val="95"/>
          <w:sz w:val="32"/>
          <w:highlight w:val="none"/>
          <w:lang w:val="en-US" w:eastAsia="zh-CN"/>
        </w:rPr>
        <w:t>环境保护措施执行情况</w:t>
      </w:r>
      <w:bookmarkEnd w:id="6"/>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AC0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trPr>
        <w:tc>
          <w:tcPr>
            <w:tcW w:w="5000" w:type="pct"/>
          </w:tcPr>
          <w:p w14:paraId="4A9476C2">
            <w:pPr>
              <w:pStyle w:val="2"/>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本项目基本落实了原</w:t>
            </w:r>
            <w:r>
              <w:rPr>
                <w:rFonts w:hint="eastAsia" w:ascii="Times New Roman" w:hAnsi="Times New Roman" w:eastAsia="宋体" w:cs="Times New Roman"/>
                <w:color w:val="auto"/>
                <w:sz w:val="24"/>
                <w:szCs w:val="24"/>
                <w:highlight w:val="none"/>
                <w:lang w:val="en-US" w:eastAsia="zh-CN"/>
              </w:rPr>
              <w:t>环评及批复</w:t>
            </w:r>
            <w:r>
              <w:rPr>
                <w:rFonts w:hint="default" w:ascii="Times New Roman" w:hAnsi="Times New Roman" w:eastAsia="宋体" w:cs="Times New Roman"/>
                <w:color w:val="auto"/>
                <w:sz w:val="24"/>
                <w:szCs w:val="24"/>
                <w:highlight w:val="none"/>
              </w:rPr>
              <w:t>中</w:t>
            </w:r>
            <w:r>
              <w:rPr>
                <w:rFonts w:hint="default" w:ascii="Times New Roman" w:hAnsi="Times New Roman" w:eastAsia="宋体" w:cs="Times New Roman"/>
                <w:color w:val="auto"/>
                <w:sz w:val="24"/>
                <w:szCs w:val="24"/>
                <w:highlight w:val="none"/>
                <w:lang w:eastAsia="zh-CN"/>
              </w:rPr>
              <w:t>的</w:t>
            </w:r>
            <w:r>
              <w:rPr>
                <w:rFonts w:hint="default" w:ascii="Times New Roman" w:hAnsi="Times New Roman" w:eastAsia="宋体" w:cs="Times New Roman"/>
                <w:color w:val="auto"/>
                <w:sz w:val="24"/>
                <w:szCs w:val="24"/>
                <w:highlight w:val="none"/>
              </w:rPr>
              <w:t>要求，落实情况见表</w:t>
            </w:r>
            <w:r>
              <w:rPr>
                <w:rFonts w:hint="default" w:ascii="Times New Roman" w:hAnsi="Times New Roman" w:eastAsia="宋体" w:cs="Times New Roman"/>
                <w:color w:val="auto"/>
                <w:sz w:val="24"/>
                <w:szCs w:val="24"/>
                <w:highlight w:val="none"/>
                <w:lang w:val="en-US" w:eastAsia="zh-CN"/>
              </w:rPr>
              <w:t>6-1</w:t>
            </w:r>
            <w:r>
              <w:rPr>
                <w:rFonts w:hint="default" w:ascii="Times New Roman" w:hAnsi="Times New Roman" w:eastAsia="宋体" w:cs="Times New Roman"/>
                <w:color w:val="auto"/>
                <w:sz w:val="24"/>
                <w:szCs w:val="24"/>
                <w:highlight w:val="none"/>
              </w:rPr>
              <w:t>。</w:t>
            </w:r>
          </w:p>
          <w:p w14:paraId="0C09528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表6-1 环境保护措施执行情况</w:t>
            </w:r>
          </w:p>
          <w:tbl>
            <w:tblPr>
              <w:tblStyle w:val="26"/>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12"/>
              <w:gridCol w:w="1231"/>
              <w:gridCol w:w="1325"/>
              <w:gridCol w:w="4943"/>
              <w:gridCol w:w="4753"/>
              <w:gridCol w:w="1156"/>
            </w:tblGrid>
            <w:tr w14:paraId="6CC06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02" w:type="pct"/>
                  <w:gridSpan w:val="3"/>
                  <w:tcBorders>
                    <w:tl2br w:val="nil"/>
                    <w:tr2bl w:val="nil"/>
                  </w:tcBorders>
                  <w:vAlign w:val="center"/>
                </w:tcPr>
                <w:p w14:paraId="2E631F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-68580</wp:posOffset>
                            </wp:positionH>
                            <wp:positionV relativeFrom="paragraph">
                              <wp:posOffset>-3810</wp:posOffset>
                            </wp:positionV>
                            <wp:extent cx="1948180" cy="699770"/>
                            <wp:effectExtent l="1905" t="4445" r="5715" b="6985"/>
                            <wp:wrapNone/>
                            <wp:docPr id="1" name="直接连接符 1"/>
                            <wp:cNvGraphicFramePr/>
                            <a:graphic xmlns:a="http://schemas.openxmlformats.org/drawingml/2006/main">
                              <a:graphicData uri="http://schemas.microsoft.com/office/word/2010/wordprocessingShape">
                                <wps:wsp>
                                  <wps:cNvCnPr/>
                                  <wps:spPr>
                                    <a:xfrm>
                                      <a:off x="1074420" y="1424940"/>
                                      <a:ext cx="1948180" cy="6997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4pt;margin-top:-0.3pt;height:55.1pt;width:153.4pt;z-index:251662336;mso-width-relative:page;mso-height-relative:page;" filled="f" stroked="t" coordsize="21600,21600" o:gfxdata="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RBZ/r1gAAAAkBAAAPAAAAAAAAAAEAIAAAACIAAABkcnMvZG93bnJldi54bWxQSwECFAAUAAAA&#10;CACHTuJA2vPeFvABAADCAwAADgAAAAAAAAABACAAAAAlAQAAZHJzL2Uyb0RvYy54bWxQSwUGAAAA&#10;AAYABgBZAQAAhwUAAAAA&#10;">
                            <v:fill on="f" focussize="0,0"/>
                            <v:stroke weight="0.5pt" color="#000000 [3200]" miterlimit="8" joinstyle="miter"/>
                            <v:imagedata o:title=""/>
                            <o:lock v:ext="edit" aspectratio="f"/>
                          </v:line>
                        </w:pict>
                      </mc:Fallback>
                    </mc:AlternateContent>
                  </w:r>
                  <w:r>
                    <w:rPr>
                      <w:rFonts w:hint="default" w:ascii="Times New Roman" w:hAnsi="Times New Roman" w:eastAsia="宋体" w:cs="Times New Roman"/>
                      <w:b/>
                      <w:bCs/>
                      <w:color w:val="auto"/>
                      <w:sz w:val="21"/>
                      <w:szCs w:val="21"/>
                      <w:highlight w:val="none"/>
                      <w:lang w:val="en-US" w:eastAsia="zh-CN"/>
                    </w:rPr>
                    <w:t xml:space="preserve">                      </w:t>
                  </w:r>
                  <w:r>
                    <w:rPr>
                      <w:rFonts w:hint="default" w:ascii="Times New Roman" w:hAnsi="Times New Roman" w:eastAsia="宋体" w:cs="Times New Roman"/>
                      <w:b/>
                      <w:bCs/>
                      <w:color w:val="auto"/>
                      <w:sz w:val="21"/>
                      <w:szCs w:val="21"/>
                      <w:highlight w:val="none"/>
                    </w:rPr>
                    <w:t>项目</w:t>
                  </w:r>
                </w:p>
                <w:p w14:paraId="1BE012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阶段</w:t>
                  </w:r>
                </w:p>
              </w:tc>
              <w:tc>
                <w:tcPr>
                  <w:tcW w:w="1775" w:type="pct"/>
                  <w:tcBorders>
                    <w:tl2br w:val="nil"/>
                    <w:tr2bl w:val="nil"/>
                  </w:tcBorders>
                  <w:vAlign w:val="center"/>
                </w:tcPr>
                <w:p w14:paraId="178ED9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原</w:t>
                  </w:r>
                  <w:r>
                    <w:rPr>
                      <w:rFonts w:hint="default" w:ascii="Times New Roman" w:hAnsi="Times New Roman" w:eastAsia="宋体" w:cs="Times New Roman"/>
                      <w:b/>
                      <w:bCs/>
                      <w:color w:val="auto"/>
                      <w:sz w:val="21"/>
                      <w:szCs w:val="21"/>
                      <w:highlight w:val="none"/>
                      <w:lang w:val="en-US" w:eastAsia="zh-CN"/>
                    </w:rPr>
                    <w:t>环评、批复</w:t>
                  </w:r>
                  <w:r>
                    <w:rPr>
                      <w:rFonts w:hint="default" w:ascii="Times New Roman" w:hAnsi="Times New Roman" w:eastAsia="宋体" w:cs="Times New Roman"/>
                      <w:b/>
                      <w:bCs/>
                      <w:color w:val="auto"/>
                      <w:sz w:val="21"/>
                      <w:szCs w:val="21"/>
                      <w:highlight w:val="none"/>
                    </w:rPr>
                    <w:t>中要求的环境保护措施</w:t>
                  </w:r>
                </w:p>
              </w:tc>
              <w:tc>
                <w:tcPr>
                  <w:tcW w:w="1707" w:type="pct"/>
                  <w:tcBorders>
                    <w:tl2br w:val="nil"/>
                    <w:tr2bl w:val="nil"/>
                  </w:tcBorders>
                  <w:vAlign w:val="center"/>
                </w:tcPr>
                <w:p w14:paraId="568546C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环境保护措施的落实情况</w:t>
                  </w:r>
                </w:p>
              </w:tc>
              <w:tc>
                <w:tcPr>
                  <w:tcW w:w="415" w:type="pct"/>
                  <w:tcBorders>
                    <w:tl2br w:val="nil"/>
                    <w:tr2bl w:val="nil"/>
                  </w:tcBorders>
                  <w:vAlign w:val="center"/>
                </w:tcPr>
                <w:p w14:paraId="321509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措施的执行效果及未采取措施的原因</w:t>
                  </w:r>
                </w:p>
              </w:tc>
            </w:tr>
            <w:tr w14:paraId="464C1A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 w:type="pct"/>
                  <w:vMerge w:val="restart"/>
                  <w:tcBorders>
                    <w:tl2br w:val="nil"/>
                    <w:tr2bl w:val="nil"/>
                  </w:tcBorders>
                  <w:vAlign w:val="center"/>
                </w:tcPr>
                <w:p w14:paraId="443B3D5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设计阶段</w:t>
                  </w:r>
                </w:p>
                <w:p w14:paraId="02CE78E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917" w:type="pct"/>
                  <w:gridSpan w:val="2"/>
                  <w:tcBorders>
                    <w:tl2br w:val="nil"/>
                    <w:tr2bl w:val="nil"/>
                  </w:tcBorders>
                  <w:vAlign w:val="center"/>
                </w:tcPr>
                <w:p w14:paraId="55D1ACD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生态影响</w:t>
                  </w:r>
                </w:p>
              </w:tc>
              <w:tc>
                <w:tcPr>
                  <w:tcW w:w="1775" w:type="pct"/>
                  <w:tcBorders>
                    <w:tl2br w:val="nil"/>
                    <w:tr2bl w:val="nil"/>
                  </w:tcBorders>
                  <w:vAlign w:val="center"/>
                </w:tcPr>
                <w:p w14:paraId="33E6F23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707" w:type="pct"/>
                  <w:tcBorders>
                    <w:tl2br w:val="nil"/>
                    <w:tr2bl w:val="nil"/>
                  </w:tcBorders>
                  <w:vAlign w:val="center"/>
                </w:tcPr>
                <w:p w14:paraId="42997388">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3E02CD2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3D6981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 w:type="pct"/>
                  <w:vMerge w:val="continue"/>
                  <w:tcBorders>
                    <w:tl2br w:val="nil"/>
                    <w:tr2bl w:val="nil"/>
                  </w:tcBorders>
                  <w:vAlign w:val="center"/>
                </w:tcPr>
                <w:p w14:paraId="60AECF0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917" w:type="pct"/>
                  <w:gridSpan w:val="2"/>
                  <w:tcBorders>
                    <w:tl2br w:val="nil"/>
                    <w:tr2bl w:val="nil"/>
                  </w:tcBorders>
                  <w:vAlign w:val="center"/>
                </w:tcPr>
                <w:p w14:paraId="533DC40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污染影响</w:t>
                  </w:r>
                </w:p>
              </w:tc>
              <w:tc>
                <w:tcPr>
                  <w:tcW w:w="1775" w:type="pct"/>
                  <w:tcBorders>
                    <w:tl2br w:val="nil"/>
                    <w:tr2bl w:val="nil"/>
                  </w:tcBorders>
                  <w:vAlign w:val="center"/>
                </w:tcPr>
                <w:p w14:paraId="686D1B9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707" w:type="pct"/>
                  <w:tcBorders>
                    <w:tl2br w:val="nil"/>
                    <w:tr2bl w:val="nil"/>
                  </w:tcBorders>
                  <w:vAlign w:val="center"/>
                </w:tcPr>
                <w:p w14:paraId="0F239837">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8B3B4D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487F80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 w:type="pct"/>
                  <w:vMerge w:val="continue"/>
                  <w:tcBorders>
                    <w:tl2br w:val="nil"/>
                    <w:tr2bl w:val="nil"/>
                  </w:tcBorders>
                  <w:vAlign w:val="center"/>
                </w:tcPr>
                <w:p w14:paraId="1403F9F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917" w:type="pct"/>
                  <w:gridSpan w:val="2"/>
                  <w:tcBorders>
                    <w:tl2br w:val="nil"/>
                    <w:tr2bl w:val="nil"/>
                  </w:tcBorders>
                  <w:vAlign w:val="center"/>
                </w:tcPr>
                <w:p w14:paraId="34B220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社会影响</w:t>
                  </w:r>
                </w:p>
              </w:tc>
              <w:tc>
                <w:tcPr>
                  <w:tcW w:w="1775" w:type="pct"/>
                  <w:tcBorders>
                    <w:tl2br w:val="nil"/>
                    <w:tr2bl w:val="nil"/>
                  </w:tcBorders>
                  <w:vAlign w:val="center"/>
                </w:tcPr>
                <w:p w14:paraId="1935502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707" w:type="pct"/>
                  <w:tcBorders>
                    <w:tl2br w:val="nil"/>
                    <w:tr2bl w:val="nil"/>
                  </w:tcBorders>
                  <w:vAlign w:val="center"/>
                </w:tcPr>
                <w:p w14:paraId="3B14F33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CDF5D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1927DB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84" w:type="pct"/>
                  <w:vMerge w:val="restart"/>
                  <w:tcBorders>
                    <w:tl2br w:val="nil"/>
                    <w:tr2bl w:val="nil"/>
                  </w:tcBorders>
                  <w:vAlign w:val="center"/>
                </w:tcPr>
                <w:p w14:paraId="592931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06CE9A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67D8C9D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8204A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F11AC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施工期</w:t>
                  </w:r>
                </w:p>
              </w:tc>
              <w:tc>
                <w:tcPr>
                  <w:tcW w:w="442" w:type="pct"/>
                  <w:vMerge w:val="restart"/>
                  <w:tcBorders>
                    <w:tl2br w:val="nil"/>
                    <w:tr2bl w:val="nil"/>
                  </w:tcBorders>
                  <w:vAlign w:val="center"/>
                </w:tcPr>
                <w:p w14:paraId="35C88D3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生态影响</w:t>
                  </w:r>
                </w:p>
              </w:tc>
              <w:tc>
                <w:tcPr>
                  <w:tcW w:w="475" w:type="pct"/>
                  <w:vMerge w:val="restart"/>
                  <w:tcBorders>
                    <w:tl2br w:val="nil"/>
                    <w:tr2bl w:val="nil"/>
                  </w:tcBorders>
                  <w:vAlign w:val="center"/>
                </w:tcPr>
                <w:p w14:paraId="499684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生态影响</w:t>
                  </w:r>
                  <w:r>
                    <w:rPr>
                      <w:rFonts w:hint="default" w:ascii="Times New Roman" w:hAnsi="Times New Roman" w:eastAsia="宋体" w:cs="Times New Roman"/>
                      <w:b/>
                      <w:bCs/>
                      <w:color w:val="auto"/>
                      <w:sz w:val="21"/>
                      <w:szCs w:val="21"/>
                      <w:highlight w:val="none"/>
                      <w:lang w:eastAsia="zh-CN"/>
                    </w:rPr>
                    <w:t>防治措施</w:t>
                  </w:r>
                </w:p>
              </w:tc>
              <w:tc>
                <w:tcPr>
                  <w:tcW w:w="1775" w:type="pct"/>
                  <w:tcBorders>
                    <w:tl2br w:val="nil"/>
                    <w:tr2bl w:val="nil"/>
                  </w:tcBorders>
                  <w:shd w:val="clear" w:color="auto" w:fill="auto"/>
                  <w:vAlign w:val="center"/>
                </w:tcPr>
                <w:p w14:paraId="1E212D35">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环评报告中要求的生态环保措施：</w:t>
                  </w:r>
                </w:p>
                <w:p w14:paraId="2FFF4B4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合理选择线路走向和井站场位置，避开和减少占用耕地、林地和破坏植被；严格控制车辆、人员的活动范围；尽量在其周围、空地等进行植被恢复重建，确定不能进行植被重建的，应在当地有关部门指定的它处进行植被建设以达到生态补偿;设置临时性防护措施，减少施工过程中造成的人为扰动及产生的弃土（石、渣）。对井场等工程占地进行平整恢复植被，进行绿化</w:t>
                  </w:r>
                  <w:r>
                    <w:rPr>
                      <w:rFonts w:hint="eastAsia" w:ascii="Times New Roman" w:hAnsi="Times New Roman" w:eastAsia="宋体" w:cs="Times New Roman"/>
                      <w:color w:val="auto"/>
                      <w:sz w:val="21"/>
                      <w:szCs w:val="21"/>
                      <w:highlight w:val="none"/>
                      <w:lang w:val="en-US" w:eastAsia="zh-CN" w:bidi="ar-SA"/>
                    </w:rPr>
                    <w:t>。</w:t>
                  </w:r>
                </w:p>
              </w:tc>
              <w:tc>
                <w:tcPr>
                  <w:tcW w:w="1707" w:type="pct"/>
                  <w:vMerge w:val="restart"/>
                  <w:tcBorders>
                    <w:tl2br w:val="nil"/>
                    <w:tr2bl w:val="nil"/>
                  </w:tcBorders>
                  <w:vAlign w:val="center"/>
                </w:tcPr>
                <w:p w14:paraId="1BC3F3C6">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已</w:t>
                  </w:r>
                  <w:r>
                    <w:rPr>
                      <w:rFonts w:hint="default" w:ascii="Times New Roman" w:hAnsi="Times New Roman" w:eastAsia="宋体" w:cs="Times New Roman"/>
                      <w:color w:val="auto"/>
                      <w:sz w:val="21"/>
                      <w:szCs w:val="21"/>
                      <w:highlight w:val="none"/>
                      <w:lang w:val="en-US" w:eastAsia="zh-CN" w:bidi="ar-SA"/>
                    </w:rPr>
                    <w:t>落实</w:t>
                  </w:r>
                </w:p>
                <w:p w14:paraId="251E71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优化施工方案和进出场线路，尽量避开和减少占用耕地、林地和破坏植被，合理安排施工进度，控制施工作业范围，严格控制车辆、人员的活动范围，减少了施工过程中造成的人为扰动及产生的弃土（石、渣）</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减少水土流失。</w:t>
                  </w:r>
                </w:p>
                <w:p w14:paraId="3A8E90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加强生态环境保护工作。严格控制施工作业范围所有施工活动均在施工作业带内进行；</w:t>
                  </w:r>
                </w:p>
                <w:p w14:paraId="05B1FD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spacing w:val="0"/>
                      <w:kern w:val="21"/>
                      <w:sz w:val="21"/>
                      <w:szCs w:val="21"/>
                      <w:highlight w:val="none"/>
                      <w:lang w:val="en-US" w:eastAsia="zh-CN"/>
                    </w:rPr>
                    <w:t>JH2P42、JH2P44、良平101H场地已恢复平整</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井口进行临时关井，待转产，除预留转为生产开发所需的面积外，对其余临时占地进行了恢复</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w:t>
                  </w:r>
                  <w:r>
                    <w:rPr>
                      <w:rFonts w:hint="eastAsia" w:ascii="Times New Roman" w:hAnsi="Times New Roman" w:eastAsia="宋体" w:cs="Times New Roman"/>
                      <w:color w:val="auto"/>
                      <w:spacing w:val="0"/>
                      <w:kern w:val="21"/>
                      <w:sz w:val="21"/>
                      <w:szCs w:val="21"/>
                      <w:highlight w:val="none"/>
                      <w:lang w:val="en-US" w:eastAsia="zh-CN" w:bidi="ar-SA"/>
                    </w:rPr>
                    <w:t>了</w:t>
                  </w:r>
                  <w:r>
                    <w:rPr>
                      <w:rFonts w:hint="default" w:ascii="Times New Roman" w:hAnsi="Times New Roman" w:eastAsia="宋体" w:cs="Times New Roman"/>
                      <w:color w:val="auto"/>
                      <w:spacing w:val="0"/>
                      <w:kern w:val="21"/>
                      <w:sz w:val="21"/>
                      <w:szCs w:val="21"/>
                      <w:highlight w:val="none"/>
                      <w:lang w:val="en-US" w:eastAsia="zh-CN" w:bidi="ar-SA"/>
                    </w:rPr>
                    <w:t>绿化</w:t>
                  </w:r>
                  <w:r>
                    <w:rPr>
                      <w:rFonts w:hint="eastAsia" w:ascii="Times New Roman" w:hAnsi="Times New Roman" w:eastAsia="宋体" w:cs="Times New Roman"/>
                      <w:color w:val="auto"/>
                      <w:spacing w:val="0"/>
                      <w:kern w:val="21"/>
                      <w:sz w:val="21"/>
                      <w:szCs w:val="21"/>
                      <w:highlight w:val="none"/>
                      <w:lang w:val="en-US" w:eastAsia="zh-CN" w:bidi="ar-SA"/>
                    </w:rPr>
                    <w:t>；</w:t>
                  </w:r>
                  <w:r>
                    <w:rPr>
                      <w:rFonts w:hint="default" w:ascii="Times New Roman" w:hAnsi="Times New Roman" w:eastAsia="宋体" w:cs="Times New Roman"/>
                      <w:color w:val="auto"/>
                      <w:spacing w:val="0"/>
                      <w:kern w:val="21"/>
                      <w:sz w:val="21"/>
                      <w:szCs w:val="21"/>
                      <w:highlight w:val="none"/>
                      <w:lang w:val="en-US" w:eastAsia="zh-CN"/>
                    </w:rPr>
                    <w:t>长探105</w:t>
                  </w:r>
                  <w:r>
                    <w:rPr>
                      <w:rFonts w:hint="eastAsia" w:ascii="Times New Roman" w:hAnsi="Times New Roman" w:eastAsia="宋体" w:cs="Times New Roman"/>
                      <w:color w:val="auto"/>
                      <w:spacing w:val="0"/>
                      <w:kern w:val="21"/>
                      <w:sz w:val="21"/>
                      <w:szCs w:val="21"/>
                      <w:highlight w:val="none"/>
                      <w:lang w:val="en-US" w:eastAsia="zh-CN"/>
                    </w:rPr>
                    <w:t>已永久封井，</w:t>
                  </w:r>
                  <w:r>
                    <w:rPr>
                      <w:rFonts w:hint="eastAsia" w:ascii="Times New Roman" w:hAnsi="Times New Roman" w:eastAsia="宋体" w:cs="Times New Roman"/>
                      <w:color w:val="auto"/>
                      <w:sz w:val="21"/>
                      <w:szCs w:val="21"/>
                      <w:highlight w:val="none"/>
                      <w:lang w:val="en-US" w:eastAsia="zh-CN"/>
                    </w:rPr>
                    <w:t>除井口外其余占地已平整并进行了绿化</w:t>
                  </w:r>
                  <w:r>
                    <w:rPr>
                      <w:rFonts w:hint="default" w:ascii="Times New Roman" w:hAnsi="Times New Roman" w:eastAsia="宋体" w:cs="Times New Roman"/>
                      <w:color w:val="auto"/>
                      <w:spacing w:val="0"/>
                      <w:kern w:val="21"/>
                      <w:sz w:val="21"/>
                      <w:szCs w:val="21"/>
                      <w:highlight w:val="none"/>
                      <w:lang w:val="en-US" w:eastAsia="zh-CN" w:bidi="ar-SA"/>
                    </w:rPr>
                    <w:t>；对施工形成的边坡要采用工程和植物护坡的方式进行治理，提高植被覆盖率，减少水土流失。</w:t>
                  </w:r>
                </w:p>
                <w:p w14:paraId="0E7353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经检测，</w:t>
                  </w:r>
                  <w:r>
                    <w:rPr>
                      <w:rFonts w:hint="default" w:ascii="Times New Roman" w:hAnsi="Times New Roman" w:eastAsia="宋体" w:cs="Times New Roman"/>
                      <w:color w:val="FF0000"/>
                      <w:sz w:val="21"/>
                      <w:szCs w:val="21"/>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表明，施工过程对井场及周边土壤造成的影响较小</w:t>
                  </w:r>
                  <w:r>
                    <w:rPr>
                      <w:rFonts w:hint="eastAsia" w:ascii="Times New Roman" w:hAnsi="Times New Roman" w:eastAsia="宋体" w:cs="Times New Roman"/>
                      <w:color w:val="FF0000"/>
                      <w:sz w:val="21"/>
                      <w:szCs w:val="21"/>
                      <w:highlight w:val="none"/>
                      <w:lang w:val="en-US" w:eastAsia="zh-CN"/>
                    </w:rPr>
                    <w:t>。</w:t>
                  </w:r>
                </w:p>
              </w:tc>
              <w:tc>
                <w:tcPr>
                  <w:tcW w:w="415" w:type="pct"/>
                  <w:vMerge w:val="restart"/>
                  <w:tcBorders>
                    <w:tl2br w:val="nil"/>
                    <w:tr2bl w:val="nil"/>
                  </w:tcBorders>
                  <w:vAlign w:val="top"/>
                </w:tcPr>
                <w:p w14:paraId="0EDC710F">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DED58CF">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363E0957">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6F4695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57C99B7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04B7C0E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0B54A7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3CB414B">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497BBFB">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B1A5983">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bidi="ar-SA"/>
                    </w:rPr>
                    <w:t>各项措施已按环评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val="en-US" w:eastAsia="zh-CN" w:bidi="ar-SA"/>
                    </w:rPr>
                    <w:t>要求落实，有效避免了植被破坏、水土流失，生态恢复效果较好。</w:t>
                  </w:r>
                </w:p>
              </w:tc>
            </w:tr>
            <w:tr w14:paraId="579A2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 w:type="pct"/>
                  <w:vMerge w:val="continue"/>
                  <w:tcBorders>
                    <w:tl2br w:val="nil"/>
                    <w:tr2bl w:val="nil"/>
                  </w:tcBorders>
                  <w:vAlign w:val="center"/>
                </w:tcPr>
                <w:p w14:paraId="25EF021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0921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75" w:type="pct"/>
                  <w:vMerge w:val="continue"/>
                  <w:tcBorders>
                    <w:tl2br w:val="nil"/>
                    <w:tr2bl w:val="nil"/>
                  </w:tcBorders>
                  <w:vAlign w:val="center"/>
                </w:tcPr>
                <w:p w14:paraId="2546F1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775" w:type="pct"/>
                  <w:tcBorders>
                    <w:tl2br w:val="nil"/>
                    <w:tr2bl w:val="nil"/>
                  </w:tcBorders>
                  <w:shd w:val="clear" w:color="auto" w:fill="auto"/>
                  <w:vAlign w:val="center"/>
                </w:tcPr>
                <w:p w14:paraId="4599EA4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环评审批文件要求的生态环保措施：</w:t>
                  </w:r>
                </w:p>
                <w:p w14:paraId="08371E3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b w:val="0"/>
                      <w:bCs w:val="0"/>
                      <w:color w:val="auto"/>
                      <w:spacing w:val="10"/>
                      <w:sz w:val="21"/>
                      <w:szCs w:val="21"/>
                      <w:highlight w:val="none"/>
                      <w:lang w:val="en-US" w:eastAsia="zh-CN" w:bidi="ar-SA"/>
                    </w:rPr>
                  </w:pPr>
                  <w:r>
                    <w:rPr>
                      <w:rFonts w:hint="default" w:ascii="Times New Roman" w:hAnsi="Times New Roman" w:eastAsia="宋体" w:cs="Times New Roman"/>
                      <w:b w:val="0"/>
                      <w:bCs w:val="0"/>
                      <w:color w:val="auto"/>
                      <w:sz w:val="21"/>
                      <w:szCs w:val="21"/>
                      <w:highlight w:val="none"/>
                      <w:lang w:val="en-US" w:eastAsia="zh-CN" w:bidi="ar-SA"/>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w:t>
                  </w:r>
                  <w:r>
                    <w:rPr>
                      <w:rFonts w:hint="eastAsia" w:ascii="Times New Roman" w:hAnsi="Times New Roman" w:eastAsia="宋体" w:cs="Times New Roman"/>
                      <w:b w:val="0"/>
                      <w:bCs w:val="0"/>
                      <w:color w:val="auto"/>
                      <w:sz w:val="21"/>
                      <w:szCs w:val="21"/>
                      <w:highlight w:val="none"/>
                      <w:lang w:val="en-US" w:eastAsia="zh-CN" w:bidi="ar-SA"/>
                    </w:rPr>
                    <w:t>，</w:t>
                  </w:r>
                  <w:r>
                    <w:rPr>
                      <w:rFonts w:hint="default" w:ascii="Times New Roman" w:hAnsi="Times New Roman" w:eastAsia="宋体" w:cs="Times New Roman"/>
                      <w:b w:val="0"/>
                      <w:bCs w:val="0"/>
                      <w:color w:val="auto"/>
                      <w:sz w:val="21"/>
                      <w:szCs w:val="21"/>
                      <w:highlight w:val="none"/>
                      <w:lang w:val="en-US" w:eastAsia="zh-CN" w:bidi="ar-SA"/>
                    </w:rPr>
                    <w:t>对施工形成的边坡要采用工程和植物护坡的方式进行治理，提高植被覆盖率，减少水土流失。</w:t>
                  </w:r>
                </w:p>
              </w:tc>
              <w:tc>
                <w:tcPr>
                  <w:tcW w:w="1707" w:type="pct"/>
                  <w:vMerge w:val="continue"/>
                  <w:tcBorders>
                    <w:tl2br w:val="nil"/>
                    <w:tr2bl w:val="nil"/>
                  </w:tcBorders>
                  <w:vAlign w:val="center"/>
                </w:tcPr>
                <w:p w14:paraId="34A50B1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sz w:val="21"/>
                      <w:szCs w:val="21"/>
                      <w:highlight w:val="none"/>
                      <w:lang w:eastAsia="zh-CN"/>
                    </w:rPr>
                  </w:pPr>
                </w:p>
              </w:tc>
              <w:tc>
                <w:tcPr>
                  <w:tcW w:w="415" w:type="pct"/>
                  <w:vMerge w:val="continue"/>
                  <w:tcBorders>
                    <w:tl2br w:val="nil"/>
                    <w:tr2bl w:val="nil"/>
                  </w:tcBorders>
                  <w:vAlign w:val="top"/>
                </w:tcPr>
                <w:p w14:paraId="5157D1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default" w:ascii="Times New Roman" w:hAnsi="Times New Roman" w:eastAsia="宋体" w:cs="Times New Roman"/>
                      <w:b w:val="0"/>
                      <w:bCs w:val="0"/>
                      <w:color w:val="auto"/>
                      <w:sz w:val="21"/>
                      <w:szCs w:val="21"/>
                      <w:highlight w:val="none"/>
                      <w:lang w:val="en-US" w:eastAsia="zh-CN"/>
                    </w:rPr>
                  </w:pPr>
                </w:p>
              </w:tc>
            </w:tr>
            <w:tr w14:paraId="794C1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 w:type="pct"/>
                  <w:vMerge w:val="restart"/>
                  <w:tcBorders>
                    <w:tl2br w:val="nil"/>
                    <w:tr2bl w:val="nil"/>
                  </w:tcBorders>
                  <w:vAlign w:val="center"/>
                </w:tcPr>
                <w:p w14:paraId="1B4986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restart"/>
                  <w:tcBorders>
                    <w:tl2br w:val="nil"/>
                    <w:tr2bl w:val="nil"/>
                  </w:tcBorders>
                  <w:vAlign w:val="center"/>
                </w:tcPr>
                <w:p w14:paraId="55F618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污染影响</w:t>
                  </w:r>
                </w:p>
              </w:tc>
              <w:tc>
                <w:tcPr>
                  <w:tcW w:w="475" w:type="pct"/>
                  <w:vMerge w:val="restart"/>
                  <w:tcBorders>
                    <w:tl2br w:val="nil"/>
                    <w:tr2bl w:val="nil"/>
                  </w:tcBorders>
                  <w:vAlign w:val="center"/>
                </w:tcPr>
                <w:p w14:paraId="44B3AF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eastAsia="zh-CN"/>
                    </w:rPr>
                    <w:t>废水污染影响防治措施</w:t>
                  </w:r>
                </w:p>
              </w:tc>
              <w:tc>
                <w:tcPr>
                  <w:tcW w:w="1775" w:type="pct"/>
                  <w:tcBorders>
                    <w:tl2br w:val="nil"/>
                    <w:tr2bl w:val="nil"/>
                  </w:tcBorders>
                  <w:vAlign w:val="center"/>
                </w:tcPr>
                <w:p w14:paraId="37A402A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环评报告中要求的水环保措施</w:t>
                  </w:r>
                  <w:r>
                    <w:rPr>
                      <w:rFonts w:hint="default" w:ascii="Times New Roman" w:hAnsi="Times New Roman" w:eastAsia="宋体" w:cs="Times New Roman"/>
                      <w:b/>
                      <w:bCs/>
                      <w:color w:val="auto"/>
                      <w:sz w:val="21"/>
                      <w:szCs w:val="21"/>
                      <w:highlight w:val="none"/>
                      <w:lang w:eastAsia="zh-CN"/>
                    </w:rPr>
                    <w:t>：</w:t>
                  </w:r>
                </w:p>
                <w:p w14:paraId="0BFF08C2">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eastAsia="zh-CN"/>
                    </w:rPr>
                  </w:pPr>
                  <w:r>
                    <w:rPr>
                      <w:rFonts w:hint="eastAsia" w:ascii="Times New Roman" w:hAnsi="Times New Roman" w:cs="Times New Roman" w:eastAsiaTheme="minorEastAsia"/>
                      <w:color w:val="auto"/>
                      <w:sz w:val="21"/>
                      <w:szCs w:val="21"/>
                      <w:highlight w:val="none"/>
                      <w:lang w:eastAsia="zh-CN"/>
                    </w:rPr>
                    <w:t>（</w:t>
                  </w:r>
                  <w:r>
                    <w:rPr>
                      <w:rFonts w:hint="eastAsia" w:ascii="Times New Roman" w:hAnsi="Times New Roman" w:cs="Times New Roman" w:eastAsiaTheme="minorEastAsia"/>
                      <w:color w:val="auto"/>
                      <w:sz w:val="21"/>
                      <w:szCs w:val="21"/>
                      <w:highlight w:val="none"/>
                      <w:lang w:val="en-US" w:eastAsia="zh-CN"/>
                    </w:rPr>
                    <w:t>1</w:t>
                  </w:r>
                  <w:r>
                    <w:rPr>
                      <w:rFonts w:hint="eastAsia" w:ascii="Times New Roman" w:hAnsi="Times New Roman" w:cs="Times New Roman" w:eastAsiaTheme="minorEastAsia"/>
                      <w:color w:val="auto"/>
                      <w:sz w:val="21"/>
                      <w:szCs w:val="21"/>
                      <w:highlight w:val="none"/>
                      <w:lang w:eastAsia="zh-CN"/>
                    </w:rPr>
                    <w:t>）</w:t>
                  </w:r>
                  <w:r>
                    <w:rPr>
                      <w:rFonts w:hint="eastAsia" w:ascii="Times New Roman" w:hAnsi="Times New Roman" w:cs="Times New Roman" w:eastAsiaTheme="minorEastAsia"/>
                      <w:color w:val="auto"/>
                      <w:sz w:val="21"/>
                      <w:szCs w:val="21"/>
                      <w:highlight w:val="none"/>
                      <w:lang w:val="en-US" w:eastAsia="zh-CN"/>
                    </w:rPr>
                    <w:t>地表水：</w:t>
                  </w:r>
                  <w:r>
                    <w:rPr>
                      <w:rFonts w:hint="default" w:ascii="Times New Roman" w:hAnsi="Times New Roman" w:cs="Times New Roman" w:eastAsiaTheme="minorEastAsia"/>
                      <w:color w:val="auto"/>
                      <w:sz w:val="21"/>
                      <w:szCs w:val="21"/>
                      <w:highlight w:val="none"/>
                      <w:lang w:eastAsia="zh-CN"/>
                    </w:rPr>
                    <w:t>钻井废水：在钻井前井场应配备废液收集罐，钻井废水随废弃钻井泥浆等一起进入泥浆不落地系统中，经过固液分离后，液相进入废液收集罐，经破胶脱稳装置后，钻井废水统一拉运至泾河8撬装式水净化站处理达标后回注，不外排；</w:t>
                  </w:r>
                  <w:r>
                    <w:rPr>
                      <w:rFonts w:hint="default" w:ascii="Times New Roman" w:hAnsi="Times New Roman" w:cs="Times New Roman" w:eastAsiaTheme="minorEastAsia"/>
                      <w:color w:val="auto"/>
                      <w:sz w:val="21"/>
                      <w:szCs w:val="21"/>
                      <w:highlight w:val="none"/>
                      <w:lang w:val="en-US" w:eastAsia="zh-CN"/>
                    </w:rPr>
                    <w:t>洗井废水：</w:t>
                  </w:r>
                  <w:r>
                    <w:rPr>
                      <w:rFonts w:hint="default" w:ascii="Times New Roman" w:hAnsi="Times New Roman" w:cs="Times New Roman" w:eastAsiaTheme="minorEastAsia"/>
                      <w:color w:val="auto"/>
                      <w:sz w:val="21"/>
                      <w:szCs w:val="21"/>
                      <w:highlight w:val="none"/>
                      <w:lang w:eastAsia="zh-CN"/>
                    </w:rPr>
                    <w:t>统一拉运至泾河8撬装式水净化站达标后回注，不外排。</w:t>
                  </w:r>
                  <w:r>
                    <w:rPr>
                      <w:rFonts w:hint="default" w:ascii="Times New Roman" w:hAnsi="Times New Roman" w:cs="Times New Roman" w:eastAsiaTheme="minorEastAsia"/>
                      <w:color w:val="auto"/>
                      <w:sz w:val="21"/>
                      <w:szCs w:val="21"/>
                      <w:highlight w:val="none"/>
                      <w:lang w:val="en-US" w:eastAsia="zh-CN"/>
                    </w:rPr>
                    <w:t>井下作业废水</w:t>
                  </w:r>
                  <w:r>
                    <w:rPr>
                      <w:rFonts w:hint="default" w:ascii="Times New Roman" w:hAnsi="Times New Roman" w:cs="Times New Roman" w:eastAsiaTheme="minorEastAsia"/>
                      <w:color w:val="auto"/>
                      <w:sz w:val="21"/>
                      <w:szCs w:val="21"/>
                      <w:highlight w:val="none"/>
                      <w:lang w:eastAsia="zh-CN"/>
                    </w:rPr>
                    <w:t>：压裂返排液全部回收入罐，优先在井场内进行再利用，无法利用的统一拉运至泾河8撬装式水净化站处理达标后回注，不外排；生活污水：设置移动式环保</w:t>
                  </w:r>
                  <w:r>
                    <w:rPr>
                      <w:rFonts w:hint="default" w:ascii="Times New Roman" w:hAnsi="Times New Roman" w:cs="Times New Roman" w:eastAsiaTheme="minorEastAsia"/>
                      <w:color w:val="auto"/>
                      <w:sz w:val="21"/>
                      <w:szCs w:val="21"/>
                      <w:highlight w:val="none"/>
                      <w:lang w:val="en-US" w:eastAsia="zh-CN"/>
                    </w:rPr>
                    <w:t>厕所</w:t>
                  </w:r>
                  <w:r>
                    <w:rPr>
                      <w:rFonts w:hint="default" w:ascii="Times New Roman" w:hAnsi="Times New Roman" w:cs="Times New Roman" w:eastAsiaTheme="minorEastAsia"/>
                      <w:color w:val="auto"/>
                      <w:sz w:val="21"/>
                      <w:szCs w:val="21"/>
                      <w:highlight w:val="none"/>
                      <w:lang w:eastAsia="zh-CN"/>
                    </w:rPr>
                    <w:t>，粪便定期清运作为附近村庄农家肥使用，不外排；少量盥洗类生活污水用于站场洒水抑尘；初期雨水：在井场周围设置雨水导排渠，井场内设置</w:t>
                  </w:r>
                  <w:r>
                    <w:rPr>
                      <w:rFonts w:hint="default"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lang w:eastAsia="zh-CN"/>
                    </w:rPr>
                    <w:t>0m</w:t>
                  </w:r>
                  <w:r>
                    <w:rPr>
                      <w:rFonts w:hint="default" w:ascii="Times New Roman" w:hAnsi="Times New Roman" w:cs="Times New Roman" w:eastAsiaTheme="minorEastAsia"/>
                      <w:color w:val="auto"/>
                      <w:sz w:val="21"/>
                      <w:szCs w:val="21"/>
                      <w:highlight w:val="none"/>
                      <w:vertAlign w:val="superscript"/>
                      <w:lang w:eastAsia="zh-CN"/>
                    </w:rPr>
                    <w:t>3</w:t>
                  </w:r>
                  <w:r>
                    <w:rPr>
                      <w:rFonts w:hint="default" w:ascii="Times New Roman" w:hAnsi="Times New Roman" w:cs="Times New Roman" w:eastAsiaTheme="minorEastAsia"/>
                      <w:color w:val="auto"/>
                      <w:sz w:val="21"/>
                      <w:szCs w:val="21"/>
                      <w:highlight w:val="none"/>
                      <w:lang w:eastAsia="zh-CN"/>
                    </w:rPr>
                    <w:t>初期雨水收集罐。</w:t>
                  </w:r>
                </w:p>
                <w:p w14:paraId="7C1FB18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cs="Times New Roman" w:eastAsiaTheme="minorEastAsia"/>
                      <w:color w:val="auto"/>
                      <w:spacing w:val="10"/>
                      <w:sz w:val="21"/>
                      <w:szCs w:val="21"/>
                      <w:highlight w:val="none"/>
                      <w:lang w:val="en-US" w:eastAsia="zh-CN" w:bidi="ar-SA"/>
                    </w:rPr>
                    <w:t>（2）地下水及土壤：</w:t>
                  </w:r>
                  <w:r>
                    <w:rPr>
                      <w:rFonts w:hint="default" w:ascii="Times New Roman" w:hAnsi="Times New Roman" w:cs="Times New Roman" w:eastAsiaTheme="minorEastAsia"/>
                      <w:color w:val="auto"/>
                      <w:spacing w:val="10"/>
                      <w:sz w:val="21"/>
                      <w:szCs w:val="21"/>
                      <w:highlight w:val="none"/>
                      <w:lang w:val="en-US" w:eastAsia="zh-CN" w:bidi="ar-SA"/>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eastAsia" w:ascii="Times New Roman" w:hAnsi="Times New Roman" w:cs="Times New Roman" w:eastAsiaTheme="minorEastAsia"/>
                      <w:color w:val="auto"/>
                      <w:spacing w:val="10"/>
                      <w:sz w:val="21"/>
                      <w:szCs w:val="21"/>
                      <w:highlight w:val="none"/>
                      <w:lang w:val="en-US" w:eastAsia="zh-CN" w:bidi="ar-SA"/>
                    </w:rPr>
                    <w:t>。</w:t>
                  </w:r>
                </w:p>
              </w:tc>
              <w:tc>
                <w:tcPr>
                  <w:tcW w:w="1707" w:type="pct"/>
                  <w:vMerge w:val="restart"/>
                  <w:tcBorders>
                    <w:tl2br w:val="nil"/>
                    <w:tr2bl w:val="nil"/>
                  </w:tcBorders>
                  <w:vAlign w:val="center"/>
                </w:tcPr>
                <w:p w14:paraId="5FA581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7E2BBB0A">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（1）</w:t>
                  </w:r>
                  <w:r>
                    <w:rPr>
                      <w:rFonts w:hint="eastAsia" w:ascii="Times New Roman" w:hAnsi="Times New Roman" w:cs="Times New Roman" w:eastAsiaTheme="minorEastAsia"/>
                      <w:color w:val="auto"/>
                      <w:sz w:val="21"/>
                      <w:szCs w:val="21"/>
                      <w:lang w:val="en-US" w:eastAsia="zh-CN"/>
                    </w:rPr>
                    <w:t>地表水：</w:t>
                  </w:r>
                  <w:r>
                    <w:rPr>
                      <w:rFonts w:hint="default" w:ascii="Times New Roman" w:hAnsi="Times New Roman" w:cs="Times New Roman" w:eastAsiaTheme="minorEastAsia"/>
                      <w:color w:val="auto"/>
                      <w:sz w:val="21"/>
                      <w:szCs w:val="21"/>
                      <w:lang w:val="en-US" w:eastAsia="zh-CN"/>
                    </w:rPr>
                    <w:t>本项目采取泥浆不落地处理工艺，经固液分离后产生的钻井废水部分回用于配置钻井泥浆，不可回用部分同洗井废水、压裂返排液一起由地上收集罐统一收集，雨水经雨水收集罐收集，井下作业完成后，由防渗漏、防溢流的运输车辆统一转移至泾河8撬装式水净化站处理达标后回注油层，废水不外排；生活污水收集沉淀后用于站场浇洒。井场营地内设置的移动式环保厕所，定期清掏用作农肥。</w:t>
                  </w:r>
                  <w:r>
                    <w:rPr>
                      <w:rFonts w:hint="default" w:ascii="Times New Roman" w:hAnsi="Times New Roman" w:cs="Times New Roman" w:eastAsiaTheme="minorEastAsia"/>
                      <w:color w:val="0000FF"/>
                      <w:sz w:val="21"/>
                      <w:szCs w:val="21"/>
                      <w:highlight w:val="none"/>
                      <w:lang w:eastAsia="zh-CN"/>
                    </w:rPr>
                    <w:t>初期雨水：在井场周围设置雨水导排渠，井场内设置</w:t>
                  </w:r>
                  <w:r>
                    <w:rPr>
                      <w:rFonts w:hint="default" w:ascii="Times New Roman" w:hAnsi="Times New Roman" w:cs="Times New Roman" w:eastAsiaTheme="minorEastAsia"/>
                      <w:color w:val="0000FF"/>
                      <w:sz w:val="21"/>
                      <w:szCs w:val="21"/>
                      <w:highlight w:val="none"/>
                      <w:lang w:val="en-US" w:eastAsia="zh-CN"/>
                    </w:rPr>
                    <w:t>3</w:t>
                  </w:r>
                  <w:r>
                    <w:rPr>
                      <w:rFonts w:hint="default" w:ascii="Times New Roman" w:hAnsi="Times New Roman" w:cs="Times New Roman" w:eastAsiaTheme="minorEastAsia"/>
                      <w:color w:val="0000FF"/>
                      <w:sz w:val="21"/>
                      <w:szCs w:val="21"/>
                      <w:highlight w:val="none"/>
                      <w:lang w:eastAsia="zh-CN"/>
                    </w:rPr>
                    <w:t>0m</w:t>
                  </w:r>
                  <w:r>
                    <w:rPr>
                      <w:rFonts w:hint="default" w:ascii="Times New Roman" w:hAnsi="Times New Roman" w:cs="Times New Roman" w:eastAsiaTheme="minorEastAsia"/>
                      <w:color w:val="0000FF"/>
                      <w:sz w:val="21"/>
                      <w:szCs w:val="21"/>
                      <w:highlight w:val="none"/>
                      <w:vertAlign w:val="superscript"/>
                      <w:lang w:eastAsia="zh-CN"/>
                    </w:rPr>
                    <w:t>3</w:t>
                  </w:r>
                  <w:r>
                    <w:rPr>
                      <w:rFonts w:hint="default" w:ascii="Times New Roman" w:hAnsi="Times New Roman" w:cs="Times New Roman" w:eastAsiaTheme="minorEastAsia"/>
                      <w:color w:val="0000FF"/>
                      <w:sz w:val="21"/>
                      <w:szCs w:val="21"/>
                      <w:highlight w:val="none"/>
                      <w:lang w:eastAsia="zh-CN"/>
                    </w:rPr>
                    <w:t>初期雨水收集罐。</w:t>
                  </w:r>
                  <w:bookmarkStart w:id="20" w:name="_GoBack"/>
                  <w:bookmarkEnd w:id="20"/>
                </w:p>
                <w:p w14:paraId="0AC40E44">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（2）地下水及土壤环境</w:t>
                  </w:r>
                </w:p>
                <w:p w14:paraId="6E98652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lang w:val="zh-CN" w:eastAsia="zh-CN"/>
                    </w:rPr>
                  </w:pPr>
                  <w:r>
                    <w:rPr>
                      <w:rFonts w:hint="default" w:ascii="Times New Roman" w:hAnsi="Times New Roman" w:cs="Times New Roman" w:eastAsiaTheme="minorEastAsia"/>
                      <w:color w:val="auto"/>
                      <w:spacing w:val="10"/>
                      <w:sz w:val="21"/>
                      <w:szCs w:val="21"/>
                      <w:highlight w:val="none"/>
                      <w:lang w:val="en-US" w:eastAsia="zh-CN" w:bidi="ar-SA"/>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default" w:ascii="Times New Roman" w:hAnsi="Times New Roman" w:cs="Times New Roman" w:eastAsiaTheme="minorEastAsia"/>
                      <w:color w:val="auto"/>
                      <w:sz w:val="21"/>
                      <w:szCs w:val="21"/>
                      <w:lang w:val="zh-CN" w:eastAsia="zh-CN"/>
                    </w:rPr>
                    <w:t>。</w:t>
                  </w:r>
                </w:p>
                <w:p w14:paraId="732BFDE4">
                  <w:pPr>
                    <w:pStyle w:val="2"/>
                    <w:keepNext w:val="0"/>
                    <w:keepLines w:val="0"/>
                    <w:pageBreakBefore w:val="0"/>
                    <w:widowControl/>
                    <w:numPr>
                      <w:ilvl w:val="0"/>
                      <w:numId w:val="3"/>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钻井施工未开采和使用浅层可饮用地下水;落实钻井泥浆不落地措施井场内的泥浆、岩屑收集处置设施等要采取有效措施防止渗漏和泄漏；钻井废要入罐收集，随钻处理，未随意抛洒或堆置。强化井口、贮油罐及地面污油水收集处置措施。作业现场铺设了防渗布，</w:t>
                  </w:r>
                  <w:r>
                    <w:rPr>
                      <w:rFonts w:hint="default" w:ascii="Times New Roman" w:hAnsi="Times New Roman" w:cs="Times New Roman" w:eastAsiaTheme="minorEastAsia"/>
                      <w:color w:val="0000FF"/>
                      <w:sz w:val="21"/>
                      <w:szCs w:val="21"/>
                      <w:lang w:val="en-US" w:eastAsia="zh-CN"/>
                    </w:rPr>
                    <w:t>防渗布四周设20cm高围堰，井场周围设20cm的土围堰</w:t>
                  </w:r>
                  <w:r>
                    <w:rPr>
                      <w:rFonts w:hint="default" w:ascii="Times New Roman" w:hAnsi="Times New Roman" w:cs="Times New Roman" w:eastAsiaTheme="minorEastAsia"/>
                      <w:color w:val="auto"/>
                      <w:sz w:val="21"/>
                      <w:szCs w:val="21"/>
                      <w:lang w:val="en-US" w:eastAsia="zh-CN"/>
                    </w:rPr>
                    <w:t>，防止含油污水渗漏；设置收集贮存设施及时回收落地原油；未掩埋试油作业中散落的原油和油水混合物。</w:t>
                  </w:r>
                </w:p>
                <w:p w14:paraId="691463F7">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color w:val="auto"/>
                      <w:sz w:val="21"/>
                      <w:szCs w:val="21"/>
                    </w:rPr>
                  </w:pPr>
                  <w:r>
                    <w:rPr>
                      <w:rFonts w:hint="default" w:ascii="Times New Roman" w:hAnsi="Times New Roman" w:cs="Times New Roman" w:eastAsiaTheme="minorEastAsia"/>
                      <w:color w:val="auto"/>
                      <w:sz w:val="21"/>
                      <w:szCs w:val="21"/>
                      <w:lang w:val="en-US" w:eastAsia="zh-CN"/>
                    </w:rPr>
                    <w:t>根据现场调查，施工期无遗留废水污染问题，未发现公众举报现象</w:t>
                  </w:r>
                  <w:r>
                    <w:rPr>
                      <w:rFonts w:hint="eastAsia" w:ascii="Times New Roman" w:hAnsi="Times New Roman" w:cs="Times New Roman" w:eastAsiaTheme="minorEastAsia"/>
                      <w:color w:val="auto"/>
                      <w:sz w:val="21"/>
                      <w:szCs w:val="21"/>
                      <w:lang w:val="en-US" w:eastAsia="zh-CN"/>
                    </w:rPr>
                    <w:t>。</w:t>
                  </w:r>
                </w:p>
              </w:tc>
              <w:tc>
                <w:tcPr>
                  <w:tcW w:w="415" w:type="pct"/>
                  <w:vMerge w:val="restart"/>
                  <w:tcBorders>
                    <w:tl2br w:val="nil"/>
                    <w:tr2bl w:val="nil"/>
                  </w:tcBorders>
                  <w:vAlign w:val="center"/>
                </w:tcPr>
                <w:p w14:paraId="5E150C79">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right="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w:t>
                  </w:r>
                  <w:r>
                    <w:rPr>
                      <w:rFonts w:hint="default" w:ascii="Times New Roman" w:hAnsi="Times New Roman" w:eastAsia="宋体" w:cs="Times New Roman"/>
                      <w:color w:val="auto"/>
                      <w:sz w:val="21"/>
                      <w:szCs w:val="21"/>
                      <w:highlight w:val="none"/>
                      <w:lang w:val="en-US" w:eastAsia="zh-CN" w:bidi="ar-SA"/>
                    </w:rPr>
                    <w:t>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eastAsia="zh-CN"/>
                    </w:rPr>
                    <w:t>要求落实，废水得到有效处理，未对当地地表水、地下水环境、土壤环境造成污染。</w:t>
                  </w:r>
                </w:p>
              </w:tc>
            </w:tr>
            <w:tr w14:paraId="5845E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84" w:type="pct"/>
                  <w:vMerge w:val="continue"/>
                  <w:tcBorders>
                    <w:tl2br w:val="nil"/>
                    <w:tr2bl w:val="nil"/>
                  </w:tcBorders>
                  <w:vAlign w:val="center"/>
                </w:tcPr>
                <w:p w14:paraId="189B4A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B30D6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475" w:type="pct"/>
                  <w:vMerge w:val="continue"/>
                  <w:tcBorders>
                    <w:tl2br w:val="nil"/>
                    <w:tr2bl w:val="nil"/>
                  </w:tcBorders>
                  <w:vAlign w:val="center"/>
                </w:tcPr>
                <w:p w14:paraId="3CB9160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775" w:type="pct"/>
                  <w:tcBorders>
                    <w:tl2br w:val="nil"/>
                    <w:tr2bl w:val="nil"/>
                  </w:tcBorders>
                  <w:vAlign w:val="center"/>
                </w:tcPr>
                <w:p w14:paraId="1F890C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环评审批文件要求的水环保措施</w:t>
                  </w:r>
                  <w:r>
                    <w:rPr>
                      <w:rFonts w:hint="default" w:ascii="Times New Roman" w:hAnsi="Times New Roman" w:eastAsia="宋体" w:cs="Times New Roman"/>
                      <w:b/>
                      <w:bCs/>
                      <w:color w:val="auto"/>
                      <w:sz w:val="21"/>
                      <w:szCs w:val="21"/>
                      <w:highlight w:val="none"/>
                      <w:lang w:eastAsia="zh-CN"/>
                    </w:rPr>
                    <w:t>：</w:t>
                  </w:r>
                </w:p>
                <w:p w14:paraId="0D43A3C0">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ind w:left="0" w:leftChars="0" w:right="0" w:firstLine="0" w:firstLineChars="0"/>
                    <w:jc w:val="both"/>
                    <w:textAlignment w:val="auto"/>
                    <w:rPr>
                      <w:rFonts w:hint="default" w:ascii="Times New Roman" w:hAnsi="Times New Roman" w:eastAsia="宋体" w:cs="Times New Roman"/>
                      <w:color w:val="auto"/>
                      <w:lang w:eastAsia="zh-CN"/>
                    </w:rPr>
                  </w:pPr>
                  <w:r>
                    <w:rPr>
                      <w:rFonts w:hint="default" w:ascii="Times New Roman" w:hAnsi="Times New Roman" w:eastAsia="宋体" w:cs="Times New Roman"/>
                      <w:color w:val="auto"/>
                      <w:lang w:eastAsia="zh-CN"/>
                    </w:rPr>
                    <w:t>加强废水污染防治工作。落实废水收集池的雨污分流和防渗漏等措施，防止废水外溢、渗漏</w:t>
                  </w:r>
                  <w:r>
                    <w:rPr>
                      <w:rFonts w:hint="eastAsia" w:ascii="Times New Roman" w:hAnsi="Times New Roman" w:eastAsia="宋体" w:cs="Times New Roman"/>
                      <w:color w:val="auto"/>
                      <w:lang w:eastAsia="zh-CN"/>
                    </w:rPr>
                    <w:t>；</w:t>
                  </w:r>
                  <w:r>
                    <w:rPr>
                      <w:rFonts w:hint="default" w:ascii="Times New Roman" w:hAnsi="Times New Roman" w:eastAsia="宋体" w:cs="Times New Roman"/>
                      <w:color w:val="auto"/>
                      <w:lang w:eastAsia="zh-CN"/>
                    </w:rPr>
                    <w:t>加强各类废水收集、暂存及运输过程中的环境管理，实施全过程监控避免违规排放，并采取有效措施，防止产生二次污染。钻井前应当在防渗布周围设置不低于20cm的围堰,井场周围设不低于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tc>
              <w:tc>
                <w:tcPr>
                  <w:tcW w:w="1707" w:type="pct"/>
                  <w:vMerge w:val="continue"/>
                  <w:tcBorders>
                    <w:tl2br w:val="nil"/>
                    <w:tr2bl w:val="nil"/>
                  </w:tcBorders>
                  <w:vAlign w:val="center"/>
                </w:tcPr>
                <w:p w14:paraId="09CA41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169D46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r>
            <w:tr w14:paraId="6D32D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184" w:type="pct"/>
                  <w:vMerge w:val="continue"/>
                  <w:tcBorders>
                    <w:tl2br w:val="nil"/>
                    <w:tr2bl w:val="nil"/>
                  </w:tcBorders>
                  <w:vAlign w:val="center"/>
                </w:tcPr>
                <w:p w14:paraId="338E3BC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74DD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75" w:type="pct"/>
                  <w:vMerge w:val="restart"/>
                  <w:tcBorders>
                    <w:tl2br w:val="nil"/>
                    <w:tr2bl w:val="nil"/>
                  </w:tcBorders>
                  <w:vAlign w:val="center"/>
                </w:tcPr>
                <w:p w14:paraId="6D5B1C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废</w:t>
                  </w:r>
                  <w:r>
                    <w:rPr>
                      <w:rFonts w:hint="default" w:ascii="Times New Roman" w:hAnsi="Times New Roman" w:eastAsia="宋体" w:cs="Times New Roman"/>
                      <w:b/>
                      <w:bCs/>
                      <w:color w:val="auto"/>
                      <w:sz w:val="21"/>
                      <w:szCs w:val="21"/>
                      <w:highlight w:val="none"/>
                    </w:rPr>
                    <w:t>气污染防治措施</w:t>
                  </w:r>
                </w:p>
                <w:p w14:paraId="71A271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775" w:type="pct"/>
                  <w:tcBorders>
                    <w:tl2br w:val="nil"/>
                    <w:tr2bl w:val="nil"/>
                  </w:tcBorders>
                  <w:shd w:val="clear" w:color="auto" w:fill="auto"/>
                  <w:vAlign w:val="top"/>
                </w:tcPr>
                <w:p w14:paraId="15BDF943">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环评报告中要求的大气环保措施</w:t>
                  </w:r>
                  <w:r>
                    <w:rPr>
                      <w:rFonts w:hint="default" w:ascii="Times New Roman" w:hAnsi="Times New Roman" w:eastAsia="宋体" w:cs="Times New Roman"/>
                      <w:b/>
                      <w:bCs/>
                      <w:color w:val="auto"/>
                      <w:sz w:val="21"/>
                      <w:szCs w:val="21"/>
                      <w:highlight w:val="none"/>
                      <w:lang w:eastAsia="zh-CN"/>
                    </w:rPr>
                    <w:t>：</w:t>
                  </w:r>
                </w:p>
                <w:p w14:paraId="0BBC296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施工扬尘：井场洒水抑尘，表土及建材堆放设置挡板、上覆遮盖材料，施工运输车辆采取密闭措施或加盖防尘布，临时道路配备洒水车定期洒水抑尘；</w:t>
                  </w:r>
                </w:p>
                <w:p w14:paraId="58B8B17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eastAsia"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柴油发电机燃烧烟气：选用环保型柴油发电机，使用优质轻柴油，简易排气筒排放</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排气管朝向避开农户分布及项目区工作人员办公生活的方位</w:t>
                  </w:r>
                  <w:r>
                    <w:rPr>
                      <w:rFonts w:hint="eastAsia" w:ascii="Times New Roman" w:hAnsi="Times New Roman" w:eastAsia="宋体" w:cs="Times New Roman"/>
                      <w:color w:val="auto"/>
                      <w:sz w:val="21"/>
                      <w:szCs w:val="21"/>
                      <w:highlight w:val="none"/>
                      <w:lang w:eastAsia="zh-CN"/>
                    </w:rPr>
                    <w:t>；</w:t>
                  </w:r>
                </w:p>
                <w:p w14:paraId="5BBB2B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highlight w:val="none"/>
                      <w:lang w:eastAsia="zh-CN"/>
                    </w:rPr>
                    <w:t>伴生气</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少量试油伴生气逸散；试气废气经放喷管放喷燃烧</w:t>
                  </w:r>
                  <w:r>
                    <w:rPr>
                      <w:rFonts w:hint="eastAsia" w:ascii="Times New Roman" w:hAnsi="Times New Roman" w:eastAsia="宋体" w:cs="Times New Roman"/>
                      <w:color w:val="auto"/>
                      <w:sz w:val="21"/>
                      <w:szCs w:val="21"/>
                      <w:highlight w:val="none"/>
                      <w:lang w:eastAsia="zh-CN"/>
                    </w:rPr>
                    <w:t>。</w:t>
                  </w:r>
                </w:p>
              </w:tc>
              <w:tc>
                <w:tcPr>
                  <w:tcW w:w="1707" w:type="pct"/>
                  <w:vMerge w:val="restart"/>
                  <w:tcBorders>
                    <w:tl2br w:val="nil"/>
                    <w:tr2bl w:val="nil"/>
                  </w:tcBorders>
                  <w:vAlign w:val="center"/>
                </w:tcPr>
                <w:p w14:paraId="0F734E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328BF6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开挖土方过程避开了大风天气</w:t>
                  </w:r>
                  <w:r>
                    <w:rPr>
                      <w:rFonts w:hint="eastAsia"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w:t>
                  </w:r>
                  <w:r>
                    <w:rPr>
                      <w:rFonts w:hint="eastAsia" w:ascii="Times New Roman" w:hAnsi="Times New Roman" w:eastAsia="宋体" w:cs="Times New Roman"/>
                      <w:color w:val="auto"/>
                      <w:sz w:val="21"/>
                      <w:szCs w:val="21"/>
                      <w:lang w:val="en-US" w:eastAsia="zh-CN"/>
                    </w:rPr>
                    <w:t>及</w:t>
                  </w:r>
                  <w:r>
                    <w:rPr>
                      <w:rFonts w:hint="default" w:ascii="Times New Roman" w:hAnsi="Times New Roman" w:eastAsia="宋体" w:cs="Times New Roman"/>
                      <w:color w:val="auto"/>
                      <w:spacing w:val="0"/>
                      <w:sz w:val="21"/>
                      <w:szCs w:val="21"/>
                      <w:highlight w:val="none"/>
                    </w:rPr>
                    <w:t>抛撒料、渣</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减少扬尘产生量。</w:t>
                  </w:r>
                </w:p>
                <w:p w14:paraId="3BF9956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运输车辆加盖篷布</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对施工道路、井场进行适量洒水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以降低扬尘。 </w:t>
                  </w:r>
                </w:p>
                <w:p w14:paraId="72F1A9F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选用环保型柴油发电机，使用优质轻柴油，简易排气筒排放；排气管朝向避开了农户分布及项目区工作人员办公生活的方位</w:t>
                  </w:r>
                  <w:r>
                    <w:rPr>
                      <w:rFonts w:hint="default" w:ascii="Times New Roman" w:hAnsi="Times New Roman" w:eastAsia="宋体" w:cs="Times New Roman"/>
                      <w:color w:val="auto"/>
                      <w:sz w:val="21"/>
                      <w:szCs w:val="21"/>
                      <w:highlight w:val="none"/>
                      <w:lang w:val="en-US" w:eastAsia="zh-CN"/>
                    </w:rPr>
                    <w:t xml:space="preserve">； </w:t>
                  </w:r>
                </w:p>
                <w:p w14:paraId="275D397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少量试油伴生气逸散；试气废气经放喷管放喷燃烧；本项目</w:t>
                  </w:r>
                  <w:r>
                    <w:rPr>
                      <w:rFonts w:hint="eastAsia" w:ascii="Times New Roman" w:hAnsi="Times New Roman" w:eastAsia="宋体" w:cs="Times New Roman"/>
                      <w:color w:val="auto"/>
                      <w:sz w:val="21"/>
                      <w:szCs w:val="21"/>
                      <w:highlight w:val="none"/>
                      <w:lang w:val="en-US" w:eastAsia="zh-CN"/>
                    </w:rPr>
                    <w:t>试油、气</w:t>
                  </w:r>
                  <w:r>
                    <w:rPr>
                      <w:rFonts w:hint="default" w:ascii="Times New Roman" w:hAnsi="Times New Roman" w:eastAsia="宋体" w:cs="Times New Roman"/>
                      <w:color w:val="auto"/>
                      <w:sz w:val="21"/>
                      <w:szCs w:val="21"/>
                      <w:highlight w:val="none"/>
                      <w:lang w:val="en-US" w:eastAsia="zh-CN"/>
                    </w:rPr>
                    <w:t>过程中无井喷事故发生。运输车辆</w:t>
                  </w:r>
                  <w:r>
                    <w:rPr>
                      <w:rFonts w:hint="eastAsia" w:ascii="Times New Roman" w:hAnsi="Times New Roman" w:eastAsia="宋体" w:cs="Times New Roman"/>
                      <w:color w:val="auto"/>
                      <w:sz w:val="21"/>
                      <w:szCs w:val="21"/>
                      <w:highlight w:val="none"/>
                      <w:lang w:val="en-US" w:eastAsia="zh-CN"/>
                    </w:rPr>
                    <w:t>定期保养及维护，并减速慢行。</w:t>
                  </w:r>
                </w:p>
                <w:p w14:paraId="7054E0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合理的施工方案和进出场路线，严格控制作业范围，尽量减少工程占地和对地表扰动，在敏感目标一侧建设减震沟。</w:t>
                  </w:r>
                  <w:r>
                    <w:rPr>
                      <w:rFonts w:hint="eastAsia" w:ascii="Times New Roman" w:hAnsi="Times New Roman" w:eastAsia="宋体" w:cs="Times New Roman"/>
                      <w:color w:val="auto"/>
                      <w:sz w:val="21"/>
                      <w:szCs w:val="21"/>
                      <w:lang w:val="en-US" w:eastAsia="zh-CN"/>
                    </w:rPr>
                    <w:t>施工过程中未对</w:t>
                  </w:r>
                  <w:r>
                    <w:rPr>
                      <w:rFonts w:hint="default" w:ascii="Times New Roman" w:hAnsi="Times New Roman" w:eastAsia="宋体" w:cs="Times New Roman"/>
                      <w:color w:val="auto"/>
                      <w:sz w:val="21"/>
                      <w:szCs w:val="21"/>
                      <w:lang w:val="en-US" w:eastAsia="zh-CN"/>
                    </w:rPr>
                    <w:t>居民</w:t>
                  </w:r>
                  <w:r>
                    <w:rPr>
                      <w:rFonts w:hint="eastAsia" w:ascii="Times New Roman" w:hAnsi="Times New Roman" w:eastAsia="宋体" w:cs="Times New Roman"/>
                      <w:color w:val="auto"/>
                      <w:sz w:val="21"/>
                      <w:szCs w:val="21"/>
                      <w:lang w:val="en-US" w:eastAsia="zh-CN"/>
                    </w:rPr>
                    <w:t>造成影响，无</w:t>
                  </w:r>
                  <w:r>
                    <w:rPr>
                      <w:rFonts w:hint="default" w:ascii="Times New Roman" w:hAnsi="Times New Roman" w:eastAsia="宋体" w:cs="Times New Roman"/>
                      <w:color w:val="auto"/>
                      <w:sz w:val="21"/>
                      <w:szCs w:val="21"/>
                      <w:lang w:val="en-US" w:eastAsia="zh-CN"/>
                    </w:rPr>
                    <w:t>补偿等工作。</w:t>
                  </w:r>
                </w:p>
                <w:p w14:paraId="3DCC5CE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在采取以上废气防治措施后</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eastAsia="zh-CN"/>
                    </w:rPr>
                    <w:t>有效降低了施工废气对周围环境的影响</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且其影响随着施工结束而消失</w:t>
                  </w:r>
                  <w:r>
                    <w:rPr>
                      <w:rFonts w:hint="default" w:ascii="Times New Roman" w:hAnsi="Times New Roman" w:eastAsia="宋体" w:cs="Times New Roman"/>
                      <w:color w:val="auto"/>
                      <w:sz w:val="21"/>
                      <w:szCs w:val="21"/>
                      <w:highlight w:val="none"/>
                      <w:lang w:val="en-US" w:eastAsia="zh-CN"/>
                    </w:rPr>
                    <w:t>。</w:t>
                  </w:r>
                </w:p>
                <w:p w14:paraId="233EC6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根据现场调查</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施工期无遗留扬尘污染问题</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未发现公众举报现象</w:t>
                  </w:r>
                  <w:r>
                    <w:rPr>
                      <w:rFonts w:hint="eastAsia" w:ascii="Times New Roman" w:hAnsi="Times New Roman" w:eastAsia="宋体" w:cs="Times New Roman"/>
                      <w:color w:val="auto"/>
                      <w:sz w:val="21"/>
                      <w:szCs w:val="21"/>
                      <w:highlight w:val="none"/>
                      <w:lang w:eastAsia="zh-CN"/>
                    </w:rPr>
                    <w:t>。</w:t>
                  </w:r>
                </w:p>
              </w:tc>
              <w:tc>
                <w:tcPr>
                  <w:tcW w:w="415" w:type="pct"/>
                  <w:vMerge w:val="restart"/>
                  <w:tcBorders>
                    <w:tl2br w:val="nil"/>
                    <w:tr2bl w:val="nil"/>
                  </w:tcBorders>
                  <w:vAlign w:val="center"/>
                </w:tcPr>
                <w:p w14:paraId="26FE25F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各项措施已按环评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val="en-US" w:eastAsia="zh-CN" w:bidi="ar-SA"/>
                    </w:rPr>
                    <w:t>要求落实，有效降低了对大气环境的影响。</w:t>
                  </w:r>
                </w:p>
              </w:tc>
            </w:tr>
            <w:tr w14:paraId="074427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 w:type="pct"/>
                  <w:vMerge w:val="continue"/>
                  <w:tcBorders>
                    <w:tl2br w:val="nil"/>
                    <w:tr2bl w:val="nil"/>
                  </w:tcBorders>
                  <w:vAlign w:val="center"/>
                </w:tcPr>
                <w:p w14:paraId="5C71384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0BA1B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75" w:type="pct"/>
                  <w:vMerge w:val="continue"/>
                  <w:tcBorders>
                    <w:tl2br w:val="nil"/>
                    <w:tr2bl w:val="nil"/>
                  </w:tcBorders>
                  <w:vAlign w:val="center"/>
                </w:tcPr>
                <w:p w14:paraId="536965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775" w:type="pct"/>
                  <w:tcBorders>
                    <w:tl2br w:val="nil"/>
                    <w:tr2bl w:val="nil"/>
                  </w:tcBorders>
                  <w:shd w:val="clear" w:color="auto" w:fill="auto"/>
                  <w:vAlign w:val="top"/>
                </w:tcPr>
                <w:p w14:paraId="2DB2BF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7A6A91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highlight w:val="none"/>
                      <w:lang w:val="en-US" w:eastAsia="zh-CN"/>
                    </w:rPr>
                    <w:t>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r>
                    <w:rPr>
                      <w:rFonts w:hint="default" w:ascii="Times New Roman" w:hAnsi="Times New Roman" w:eastAsia="宋体" w:cs="Times New Roman"/>
                      <w:color w:val="auto"/>
                      <w:sz w:val="21"/>
                      <w:szCs w:val="21"/>
                      <w:lang w:eastAsia="zh-CN"/>
                    </w:rPr>
                    <w:t>。</w:t>
                  </w:r>
                </w:p>
              </w:tc>
              <w:tc>
                <w:tcPr>
                  <w:tcW w:w="1707" w:type="pct"/>
                  <w:vMerge w:val="continue"/>
                  <w:tcBorders>
                    <w:tl2br w:val="nil"/>
                    <w:tr2bl w:val="nil"/>
                  </w:tcBorders>
                  <w:vAlign w:val="center"/>
                </w:tcPr>
                <w:p w14:paraId="0372AA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415" w:type="pct"/>
                  <w:vMerge w:val="continue"/>
                  <w:tcBorders>
                    <w:tl2br w:val="nil"/>
                    <w:tr2bl w:val="nil"/>
                  </w:tcBorders>
                  <w:vAlign w:val="center"/>
                </w:tcPr>
                <w:p w14:paraId="3CF41C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48553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 w:type="pct"/>
                  <w:vMerge w:val="continue"/>
                  <w:tcBorders>
                    <w:tl2br w:val="nil"/>
                    <w:tr2bl w:val="nil"/>
                  </w:tcBorders>
                  <w:vAlign w:val="center"/>
                </w:tcPr>
                <w:p w14:paraId="30E888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3F2E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475" w:type="pct"/>
                  <w:vMerge w:val="restart"/>
                  <w:tcBorders>
                    <w:tl2br w:val="nil"/>
                    <w:tr2bl w:val="nil"/>
                  </w:tcBorders>
                  <w:vAlign w:val="center"/>
                </w:tcPr>
                <w:p w14:paraId="5A1AD21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噪声污染防治措施</w:t>
                  </w:r>
                </w:p>
              </w:tc>
              <w:tc>
                <w:tcPr>
                  <w:tcW w:w="1775" w:type="pct"/>
                  <w:tcBorders>
                    <w:tl2br w:val="nil"/>
                    <w:tr2bl w:val="nil"/>
                  </w:tcBorders>
                  <w:shd w:val="clear" w:color="auto" w:fill="auto"/>
                  <w:vAlign w:val="center"/>
                </w:tcPr>
                <w:p w14:paraId="365D4A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报告表要求：</w:t>
                  </w:r>
                </w:p>
                <w:p w14:paraId="1FD28D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选用低噪声设备，并对压裂车设置临时屏蔽进行隔声</w:t>
                  </w:r>
                  <w:r>
                    <w:rPr>
                      <w:rFonts w:hint="eastAsia" w:ascii="Times New Roman" w:hAnsi="Times New Roman" w:eastAsia="宋体" w:cs="Times New Roman"/>
                      <w:color w:val="auto"/>
                      <w:spacing w:val="10"/>
                      <w:sz w:val="21"/>
                      <w:szCs w:val="21"/>
                      <w:highlight w:val="none"/>
                      <w:lang w:val="en-US" w:eastAsia="zh-CN" w:bidi="ar-SA"/>
                    </w:rPr>
                    <w:t>;</w:t>
                  </w:r>
                  <w:r>
                    <w:rPr>
                      <w:rFonts w:hint="default" w:ascii="Times New Roman" w:hAnsi="Times New Roman" w:eastAsia="宋体" w:cs="Times New Roman"/>
                      <w:color w:val="auto"/>
                      <w:spacing w:val="10"/>
                      <w:sz w:val="21"/>
                      <w:szCs w:val="21"/>
                      <w:highlight w:val="none"/>
                      <w:lang w:val="en-US" w:eastAsia="zh-CN" w:bidi="ar-SA"/>
                    </w:rPr>
                    <w:t xml:space="preserve"> 禁止夜间施工，</w:t>
                  </w:r>
                  <w:r>
                    <w:rPr>
                      <w:rFonts w:hint="eastAsia" w:ascii="Times New Roman" w:hAnsi="Times New Roman" w:eastAsia="宋体" w:cs="Times New Roman"/>
                      <w:color w:val="auto"/>
                      <w:spacing w:val="10"/>
                      <w:sz w:val="21"/>
                      <w:szCs w:val="21"/>
                      <w:highlight w:val="none"/>
                      <w:lang w:val="en-US" w:eastAsia="zh-CN" w:bidi="ar-SA"/>
                    </w:rPr>
                    <w:t>白天</w:t>
                  </w:r>
                  <w:r>
                    <w:rPr>
                      <w:rFonts w:hint="default" w:ascii="Times New Roman" w:hAnsi="Times New Roman" w:eastAsia="宋体" w:cs="Times New Roman"/>
                      <w:color w:val="auto"/>
                      <w:spacing w:val="10"/>
                      <w:sz w:val="21"/>
                      <w:szCs w:val="21"/>
                      <w:highlight w:val="none"/>
                      <w:lang w:val="en-US" w:eastAsia="zh-CN" w:bidi="ar-SA"/>
                    </w:rPr>
                    <w:t>施工过程中高噪声设备远离村民，对高噪声设备安装隔声挡板及减震垫，做好施工机械的维护和保养，夜间禁止施工、同时加强绿化</w:t>
                  </w:r>
                  <w:r>
                    <w:rPr>
                      <w:rFonts w:hint="eastAsia" w:ascii="Times New Roman" w:hAnsi="Times New Roman" w:eastAsia="宋体" w:cs="Times New Roman"/>
                      <w:color w:val="auto"/>
                      <w:spacing w:val="10"/>
                      <w:sz w:val="21"/>
                      <w:szCs w:val="21"/>
                      <w:highlight w:val="none"/>
                      <w:lang w:val="en-US" w:eastAsia="zh-CN" w:bidi="ar-SA"/>
                    </w:rPr>
                    <w:t>。</w:t>
                  </w:r>
                </w:p>
              </w:tc>
              <w:tc>
                <w:tcPr>
                  <w:tcW w:w="1707" w:type="pct"/>
                  <w:vMerge w:val="restart"/>
                  <w:tcBorders>
                    <w:tl2br w:val="nil"/>
                    <w:tr2bl w:val="nil"/>
                  </w:tcBorders>
                  <w:vAlign w:val="center"/>
                </w:tcPr>
                <w:p w14:paraId="1C02B5D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7E8ED7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bidi="ar-SA"/>
                    </w:rPr>
                    <w:t>采用低噪声、低振动的设备与</w:t>
                  </w:r>
                  <w:r>
                    <w:rPr>
                      <w:rFonts w:hint="eastAsia" w:ascii="Times New Roman" w:hAnsi="Times New Roman" w:eastAsia="宋体" w:cs="Times New Roman"/>
                      <w:color w:val="auto"/>
                      <w:sz w:val="21"/>
                      <w:szCs w:val="21"/>
                      <w:highlight w:val="none"/>
                      <w:lang w:val="en-US" w:eastAsia="zh-CN" w:bidi="ar-SA"/>
                    </w:rPr>
                    <w:t>合理的</w:t>
                  </w:r>
                  <w:r>
                    <w:rPr>
                      <w:rFonts w:hint="default" w:ascii="Times New Roman" w:hAnsi="Times New Roman" w:eastAsia="宋体" w:cs="Times New Roman"/>
                      <w:color w:val="auto"/>
                      <w:sz w:val="21"/>
                      <w:szCs w:val="21"/>
                      <w:highlight w:val="none"/>
                      <w:lang w:val="en-US" w:eastAsia="zh-CN" w:bidi="ar-SA"/>
                    </w:rPr>
                    <w:t>施工方式进行施工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rPr>
                    <w:t>对施工机械采取隔声、降噪措施</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bidi="ar-SA"/>
                    </w:rPr>
                    <w:t>对施工设备</w:t>
                  </w:r>
                  <w:r>
                    <w:rPr>
                      <w:rFonts w:hint="default" w:ascii="Times New Roman" w:hAnsi="Times New Roman" w:eastAsia="宋体" w:cs="Times New Roman"/>
                      <w:color w:val="auto"/>
                      <w:spacing w:val="0"/>
                      <w:sz w:val="21"/>
                      <w:szCs w:val="21"/>
                      <w:highlight w:val="none"/>
                    </w:rPr>
                    <w:t>维护和保养</w:t>
                  </w:r>
                  <w:r>
                    <w:rPr>
                      <w:rFonts w:hint="default" w:ascii="Times New Roman" w:hAnsi="Times New Roman" w:eastAsia="宋体" w:cs="Times New Roman"/>
                      <w:color w:val="auto"/>
                      <w:sz w:val="21"/>
                      <w:szCs w:val="21"/>
                      <w:highlight w:val="none"/>
                      <w:lang w:val="en-US" w:eastAsia="zh-CN" w:bidi="ar-SA"/>
                    </w:rPr>
                    <w:t>；运输车辆文明行驶</w:t>
                  </w:r>
                  <w:r>
                    <w:rPr>
                      <w:rFonts w:hint="eastAsia" w:ascii="Times New Roman" w:hAnsi="Times New Roman" w:eastAsia="宋体" w:cs="Times New Roman"/>
                      <w:color w:val="auto"/>
                      <w:sz w:val="21"/>
                      <w:szCs w:val="21"/>
                      <w:highlight w:val="none"/>
                      <w:lang w:val="en-US" w:eastAsia="zh-CN" w:bidi="ar-SA"/>
                    </w:rPr>
                    <w:t>。在采取以上噪声防治措施后，有效降低了施工噪声对周围环境的影响。能够满足</w:t>
                  </w:r>
                  <w:r>
                    <w:rPr>
                      <w:rFonts w:hint="default" w:ascii="Times New Roman" w:hAnsi="Times New Roman" w:eastAsia="宋体" w:cs="Times New Roman"/>
                      <w:color w:val="auto"/>
                      <w:sz w:val="21"/>
                      <w:szCs w:val="21"/>
                      <w:highlight w:val="none"/>
                      <w:lang w:val="en-US" w:eastAsia="zh-CN"/>
                    </w:rPr>
                    <w:t>《建筑施工场界环境噪声排放标准》(GB12523-2011)</w:t>
                  </w:r>
                  <w:r>
                    <w:rPr>
                      <w:rFonts w:hint="eastAsia" w:ascii="Times New Roman" w:hAnsi="Times New Roman" w:eastAsia="宋体" w:cs="Times New Roman"/>
                      <w:color w:val="auto"/>
                      <w:sz w:val="21"/>
                      <w:szCs w:val="21"/>
                      <w:highlight w:val="none"/>
                      <w:lang w:val="en-US" w:eastAsia="zh-CN"/>
                    </w:rPr>
                    <w:t>要求</w:t>
                  </w:r>
                  <w:r>
                    <w:rPr>
                      <w:rFonts w:hint="default" w:ascii="Times New Roman" w:hAnsi="Times New Roman" w:eastAsia="宋体" w:cs="Times New Roman"/>
                      <w:color w:val="auto"/>
                      <w:sz w:val="21"/>
                      <w:szCs w:val="21"/>
                      <w:highlight w:val="none"/>
                      <w:lang w:val="en-US" w:eastAsia="zh-CN" w:bidi="ar-SA"/>
                    </w:rPr>
                    <w:t>。其影响会随着施工结束而消失。根据现场调查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施工期无遗留噪声污染问题</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未发现公众举报现象。</w:t>
                  </w:r>
                </w:p>
              </w:tc>
              <w:tc>
                <w:tcPr>
                  <w:tcW w:w="415" w:type="pct"/>
                  <w:vMerge w:val="restart"/>
                  <w:tcBorders>
                    <w:tl2br w:val="nil"/>
                    <w:tr2bl w:val="nil"/>
                  </w:tcBorders>
                  <w:vAlign w:val="center"/>
                </w:tcPr>
                <w:p w14:paraId="7FB2C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各项措施均已落实，有效降低了噪声对周边环境的影响。</w:t>
                  </w:r>
                </w:p>
              </w:tc>
            </w:tr>
            <w:tr w14:paraId="265401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184" w:type="pct"/>
                  <w:vMerge w:val="continue"/>
                  <w:tcBorders>
                    <w:tl2br w:val="nil"/>
                    <w:tr2bl w:val="nil"/>
                  </w:tcBorders>
                  <w:vAlign w:val="center"/>
                </w:tcPr>
                <w:p w14:paraId="7998F1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67D86B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475" w:type="pct"/>
                  <w:vMerge w:val="continue"/>
                  <w:tcBorders>
                    <w:tl2br w:val="nil"/>
                    <w:tr2bl w:val="nil"/>
                  </w:tcBorders>
                  <w:vAlign w:val="center"/>
                </w:tcPr>
                <w:p w14:paraId="3E70BB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1775" w:type="pct"/>
                  <w:tcBorders>
                    <w:tl2br w:val="nil"/>
                    <w:tr2bl w:val="nil"/>
                  </w:tcBorders>
                  <w:shd w:val="clear" w:color="auto" w:fill="auto"/>
                  <w:vAlign w:val="center"/>
                </w:tcPr>
                <w:p w14:paraId="280973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46CB6310">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加强噪声污染防治工作。合理安排强噪声施工机械的工作频次、时限。尽量选用低噪声机械设备或自带隔声、消声的设备</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对施工机械采取隔声、降噪措施，确保施工场界噪声排放满足《建筑施工场界噪声限值》(GB12523-2011)标准的要求。该项目禁止夜间施工。</w:t>
                  </w:r>
                </w:p>
              </w:tc>
              <w:tc>
                <w:tcPr>
                  <w:tcW w:w="1707" w:type="pct"/>
                  <w:vMerge w:val="continue"/>
                  <w:tcBorders>
                    <w:tl2br w:val="nil"/>
                    <w:tr2bl w:val="nil"/>
                  </w:tcBorders>
                  <w:vAlign w:val="center"/>
                </w:tcPr>
                <w:p w14:paraId="45E7E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3F10A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66C6D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4" w:type="pct"/>
                  <w:vMerge w:val="continue"/>
                  <w:tcBorders>
                    <w:tl2br w:val="nil"/>
                    <w:tr2bl w:val="nil"/>
                  </w:tcBorders>
                  <w:vAlign w:val="center"/>
                </w:tcPr>
                <w:p w14:paraId="65A2D6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42" w:type="pct"/>
                  <w:vMerge w:val="continue"/>
                  <w:tcBorders>
                    <w:tl2br w:val="nil"/>
                    <w:tr2bl w:val="nil"/>
                  </w:tcBorders>
                  <w:vAlign w:val="center"/>
                </w:tcPr>
                <w:p w14:paraId="309E4A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75" w:type="pct"/>
                  <w:vMerge w:val="restart"/>
                  <w:tcBorders>
                    <w:tl2br w:val="nil"/>
                    <w:tr2bl w:val="nil"/>
                  </w:tcBorders>
                  <w:vAlign w:val="center"/>
                </w:tcPr>
                <w:p w14:paraId="342DC6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固体废物污染防治措施</w:t>
                  </w:r>
                </w:p>
                <w:p w14:paraId="2EE137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1775" w:type="pct"/>
                  <w:tcBorders>
                    <w:tl2br w:val="nil"/>
                    <w:tr2bl w:val="nil"/>
                  </w:tcBorders>
                  <w:shd w:val="clear" w:color="auto" w:fill="auto"/>
                  <w:vAlign w:val="center"/>
                </w:tcPr>
                <w:p w14:paraId="0E5719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环评报告中要求的固废环保措施：</w:t>
                  </w:r>
                </w:p>
                <w:p w14:paraId="71E00D1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废弃钻井泥浆、钻井岩屑（不含油）、采取不落地收集+板框压滤装置处置，产生的压滤泥饼清运至一般工业固废集中填埋场安全填埋处置或制作烧结砖资源化综合利用，纯碱、膨润土废弃包装、废防渗布（不含油）统一收集后由钻井施工企业回收综合利用。不含油压裂砂由厂家回收利用。建筑垃圾回收利用。勘探井废过硫酸钾包装袋、废弃防渗布（沾落地油）、落地油、废机油、废润滑油、废含油抹布、含油压裂砂暂存于临时危废贮存库暂存、含油岩屑收集至油泥暂存点暂存后，定期委托有资质单位外运处置；生活垃圾经生活垃圾桶收集后，运至政府部门指定地点处置</w:t>
                  </w:r>
                </w:p>
              </w:tc>
              <w:tc>
                <w:tcPr>
                  <w:tcW w:w="1707" w:type="pct"/>
                  <w:vMerge w:val="restart"/>
                  <w:tcBorders>
                    <w:tl2br w:val="nil"/>
                    <w:tr2bl w:val="nil"/>
                  </w:tcBorders>
                  <w:vAlign w:val="center"/>
                </w:tcPr>
                <w:p w14:paraId="145385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33D4F0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w:t>
                  </w:r>
                  <w:r>
                    <w:rPr>
                      <w:rFonts w:hint="eastAsia" w:ascii="Times New Roman" w:hAnsi="Times New Roman" w:eastAsia="宋体" w:cs="Times New Roman"/>
                      <w:bCs/>
                      <w:color w:val="auto"/>
                      <w:sz w:val="21"/>
                      <w:szCs w:val="21"/>
                      <w:highlight w:val="none"/>
                      <w:lang w:val="en-US" w:eastAsia="zh-CN"/>
                    </w:rPr>
                    <w:t>采用下铺上盖的方式</w:t>
                  </w:r>
                  <w:r>
                    <w:rPr>
                      <w:rFonts w:hint="eastAsia"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lang w:eastAsia="zh-CN"/>
                    </w:rPr>
                    <w:t>废弃</w:t>
                  </w:r>
                  <w:r>
                    <w:rPr>
                      <w:rFonts w:hint="default" w:ascii="Times New Roman" w:hAnsi="Times New Roman" w:eastAsia="宋体" w:cs="Times New Roman"/>
                      <w:bCs/>
                      <w:color w:val="0000FF"/>
                      <w:sz w:val="21"/>
                      <w:szCs w:val="21"/>
                      <w:highlight w:val="none"/>
                      <w:lang w:eastAsia="zh-CN"/>
                    </w:rPr>
                    <w:t>泥浆由收集罐收集、钻井岩屑暂存于固渣暂存处，由防渗漏、防溢流的运输车辆</w:t>
                  </w:r>
                  <w:r>
                    <w:rPr>
                      <w:rFonts w:hint="eastAsia" w:ascii="Times New Roman" w:hAnsi="Times New Roman" w:eastAsia="宋体" w:cs="Times New Roman"/>
                      <w:color w:val="0000FF"/>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color w:val="auto"/>
                      <w:spacing w:val="0"/>
                      <w:kern w:val="21"/>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不含油压裂砂由厂家回收利用。</w:t>
                  </w:r>
                  <w:r>
                    <w:rPr>
                      <w:rFonts w:hint="eastAsia" w:ascii="Times New Roman" w:hAnsi="Times New Roman" w:eastAsia="宋体" w:cs="Times New Roman"/>
                      <w:color w:val="auto"/>
                      <w:spacing w:val="0"/>
                      <w:kern w:val="21"/>
                      <w:sz w:val="21"/>
                      <w:szCs w:val="21"/>
                      <w:highlight w:val="none"/>
                      <w:lang w:val="en-US" w:eastAsia="zh-CN" w:bidi="ar-SA"/>
                    </w:rPr>
                    <w:t>废弃防渗布（未受污染）、废弃纯碱、膨润土等包装袋由钻井施工企业（志丹永宏50718队、五普50839HB、五普50839HB、五普40837HB）委托处置；</w:t>
                  </w:r>
                  <w:r>
                    <w:rPr>
                      <w:rFonts w:hint="default" w:ascii="Times New Roman" w:hAnsi="Times New Roman" w:eastAsia="宋体" w:cs="Times New Roman"/>
                      <w:color w:val="auto"/>
                      <w:sz w:val="21"/>
                      <w:szCs w:val="21"/>
                      <w:highlight w:val="none"/>
                      <w:lang w:val="en-US" w:eastAsia="zh-CN" w:bidi="ar-SA"/>
                    </w:rPr>
                    <w:t>废过硫酸钾包装袋</w:t>
                  </w:r>
                  <w:r>
                    <w:rPr>
                      <w:rFonts w:hint="eastAsia" w:ascii="Times New Roman" w:hAnsi="Times New Roman" w:eastAsia="宋体" w:cs="Times New Roman"/>
                      <w:color w:val="auto"/>
                      <w:sz w:val="21"/>
                      <w:szCs w:val="21"/>
                      <w:highlight w:val="none"/>
                      <w:lang w:val="en-US" w:eastAsia="zh-CN" w:bidi="ar-SA"/>
                    </w:rPr>
                    <w:t>、废弃防渗布（沾落地油）、落地油、废含油抹布、含油岩屑、含油压裂砂收集暂存于临时危废贮存库后，</w:t>
                  </w:r>
                  <w:r>
                    <w:rPr>
                      <w:rFonts w:hint="eastAsia" w:ascii="Times New Roman" w:hAnsi="Times New Roman" w:eastAsia="宋体" w:cs="Times New Roman"/>
                      <w:color w:val="auto"/>
                      <w:spacing w:val="0"/>
                      <w:kern w:val="21"/>
                      <w:sz w:val="21"/>
                      <w:szCs w:val="21"/>
                      <w:highlight w:val="none"/>
                      <w:lang w:val="en-US" w:eastAsia="zh-CN" w:bidi="ar-SA"/>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color w:val="auto"/>
                      <w:spacing w:val="0"/>
                      <w:kern w:val="21"/>
                      <w:sz w:val="21"/>
                      <w:szCs w:val="21"/>
                      <w:highlight w:val="none"/>
                      <w:lang w:val="en-US" w:eastAsia="zh-CN" w:bidi="ar-SA"/>
                    </w:rPr>
                    <w:t>；废机油、废润滑油委托平凉海螺环保科技有限责任公司外运处置；未产生建筑垃圾；施工场地设置生活垃圾箱（桶），生活垃圾收集后运至就近的生活垃圾中转站。</w:t>
                  </w:r>
                </w:p>
                <w:p w14:paraId="1EEE26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0000FF"/>
                      <w:spacing w:val="0"/>
                      <w:kern w:val="21"/>
                      <w:sz w:val="21"/>
                      <w:szCs w:val="21"/>
                      <w:highlight w:val="none"/>
                      <w:lang w:val="en-US" w:eastAsia="zh-CN" w:bidi="ar-SA"/>
                    </w:rPr>
                  </w:pPr>
                  <w:r>
                    <w:rPr>
                      <w:rFonts w:hint="eastAsia" w:ascii="Times New Roman" w:hAnsi="Times New Roman" w:eastAsia="宋体" w:cs="Times New Roman"/>
                      <w:color w:val="0000FF"/>
                      <w:sz w:val="21"/>
                      <w:szCs w:val="21"/>
                      <w:lang w:eastAsia="zh-CN"/>
                    </w:rPr>
                    <w:t>制定各类固废的管理制度进行严格管理，建立</w:t>
                  </w:r>
                  <w:r>
                    <w:rPr>
                      <w:rFonts w:hint="eastAsia" w:ascii="Times New Roman" w:hAnsi="Times New Roman" w:eastAsia="宋体" w:cs="Times New Roman"/>
                      <w:color w:val="0000FF"/>
                      <w:sz w:val="21"/>
                      <w:szCs w:val="21"/>
                      <w:lang w:val="en-US" w:eastAsia="zh-CN"/>
                    </w:rPr>
                    <w:t>了</w:t>
                  </w:r>
                  <w:r>
                    <w:rPr>
                      <w:rFonts w:hint="eastAsia" w:ascii="Times New Roman" w:hAnsi="Times New Roman" w:eastAsia="宋体" w:cs="Times New Roman"/>
                      <w:color w:val="0000FF"/>
                      <w:sz w:val="21"/>
                      <w:szCs w:val="21"/>
                      <w:lang w:eastAsia="zh-CN"/>
                    </w:rPr>
                    <w:t>各类台账及转移联单</w:t>
                  </w:r>
                  <w:r>
                    <w:rPr>
                      <w:rFonts w:hint="eastAsia" w:ascii="Times New Roman" w:hAnsi="Times New Roman" w:eastAsia="宋体" w:cs="Times New Roman"/>
                      <w:color w:val="0000FF"/>
                      <w:sz w:val="21"/>
                      <w:szCs w:val="21"/>
                      <w:highlight w:val="none"/>
                      <w:lang w:eastAsia="zh-CN"/>
                    </w:rPr>
                    <w:t>。</w:t>
                  </w:r>
                  <w:r>
                    <w:rPr>
                      <w:rFonts w:hint="eastAsia" w:ascii="Times New Roman" w:hAnsi="Times New Roman" w:eastAsia="宋体" w:cs="Times New Roman"/>
                      <w:color w:val="0000FF"/>
                      <w:spacing w:val="0"/>
                      <w:kern w:val="21"/>
                      <w:sz w:val="21"/>
                      <w:szCs w:val="21"/>
                      <w:highlight w:val="none"/>
                      <w:lang w:val="en-US" w:eastAsia="zh-CN" w:bidi="ar-SA"/>
                    </w:rPr>
                    <w:t>未产生二次污染。</w:t>
                  </w:r>
                </w:p>
                <w:p w14:paraId="52ADBDC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bidi="ar-SA"/>
                    </w:rPr>
                    <w:t>根据现场调查，</w:t>
                  </w:r>
                  <w:r>
                    <w:rPr>
                      <w:rFonts w:hint="default" w:ascii="Times New Roman" w:hAnsi="Times New Roman" w:eastAsia="宋体" w:cs="Times New Roman"/>
                      <w:color w:val="0000FF"/>
                      <w:sz w:val="21"/>
                      <w:szCs w:val="21"/>
                      <w:highlight w:val="none"/>
                      <w:lang w:val="en-US" w:eastAsia="zh-CN" w:bidi="ar-SA"/>
                    </w:rPr>
                    <w:t>施工期无遗留</w:t>
                  </w:r>
                  <w:r>
                    <w:rPr>
                      <w:rFonts w:hint="eastAsia" w:ascii="Times New Roman" w:hAnsi="Times New Roman" w:eastAsia="宋体" w:cs="Times New Roman"/>
                      <w:color w:val="0000FF"/>
                      <w:sz w:val="21"/>
                      <w:szCs w:val="21"/>
                      <w:highlight w:val="none"/>
                      <w:lang w:val="en-US" w:eastAsia="zh-CN" w:bidi="ar-SA"/>
                    </w:rPr>
                    <w:t>固废</w:t>
                  </w:r>
                  <w:r>
                    <w:rPr>
                      <w:rFonts w:hint="default" w:ascii="Times New Roman" w:hAnsi="Times New Roman" w:eastAsia="宋体" w:cs="Times New Roman"/>
                      <w:color w:val="0000FF"/>
                      <w:sz w:val="21"/>
                      <w:szCs w:val="21"/>
                      <w:highlight w:val="none"/>
                      <w:lang w:val="en-US" w:eastAsia="zh-CN" w:bidi="ar-SA"/>
                    </w:rPr>
                    <w:t>污染问题，</w:t>
                  </w:r>
                  <w:r>
                    <w:rPr>
                      <w:rFonts w:hint="default" w:ascii="Times New Roman" w:hAnsi="Times New Roman" w:eastAsia="宋体" w:cs="Times New Roman"/>
                      <w:color w:val="auto"/>
                      <w:sz w:val="21"/>
                      <w:szCs w:val="21"/>
                      <w:highlight w:val="none"/>
                      <w:lang w:val="en-US" w:eastAsia="zh-CN" w:bidi="ar-SA"/>
                    </w:rPr>
                    <w:t>未发现公众举报现象。</w:t>
                  </w:r>
                </w:p>
              </w:tc>
              <w:tc>
                <w:tcPr>
                  <w:tcW w:w="415" w:type="pct"/>
                  <w:vMerge w:val="restart"/>
                  <w:tcBorders>
                    <w:tl2br w:val="nil"/>
                    <w:tr2bl w:val="nil"/>
                  </w:tcBorders>
                  <w:vAlign w:val="center"/>
                </w:tcPr>
                <w:p w14:paraId="4AEDF5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p>
                <w:p w14:paraId="230B79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各项措施已按环评要求落实，各项固体废物均得到有效处理，做到“工完、料尽、场地净”。</w:t>
                  </w:r>
                </w:p>
                <w:p w14:paraId="040FAD7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2F0BDB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 w:type="pct"/>
                  <w:vMerge w:val="continue"/>
                  <w:tcBorders>
                    <w:tl2br w:val="nil"/>
                    <w:tr2bl w:val="nil"/>
                  </w:tcBorders>
                  <w:vAlign w:val="center"/>
                </w:tcPr>
                <w:p w14:paraId="47084C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42" w:type="pct"/>
                  <w:vMerge w:val="continue"/>
                  <w:tcBorders>
                    <w:tl2br w:val="nil"/>
                    <w:tr2bl w:val="nil"/>
                  </w:tcBorders>
                  <w:vAlign w:val="center"/>
                </w:tcPr>
                <w:p w14:paraId="07A84D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75" w:type="pct"/>
                  <w:vMerge w:val="continue"/>
                  <w:tcBorders>
                    <w:tl2br w:val="nil"/>
                    <w:tr2bl w:val="nil"/>
                  </w:tcBorders>
                  <w:vAlign w:val="center"/>
                </w:tcPr>
                <w:p w14:paraId="54ECAE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1775" w:type="pct"/>
                  <w:tcBorders>
                    <w:tl2br w:val="nil"/>
                    <w:tr2bl w:val="nil"/>
                  </w:tcBorders>
                  <w:shd w:val="clear" w:color="auto" w:fill="auto"/>
                  <w:vAlign w:val="center"/>
                </w:tcPr>
                <w:p w14:paraId="0EFD0DB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环评审批文件要求的固体废物防范措施：</w:t>
                  </w:r>
                </w:p>
                <w:p w14:paraId="7FA30E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加强固废污染防治工作。钻井废弃泥浆、一般岩屑全部进入泥浆罐采用不落地收集+板框压滤工艺处理后产生的固相(含水率不得大于60%)集中填埋或制作烧结砖资源化综合利用;不含油压裂砂由厂家回收利用;生活垃圾统一收集运输至环卫部门指定地点处置;废防渗布等危险废物分类收集及时转运，定期委托有资质的单位进行安全处置，并建立转移联单。</w:t>
                  </w:r>
                </w:p>
              </w:tc>
              <w:tc>
                <w:tcPr>
                  <w:tcW w:w="1707" w:type="pct"/>
                  <w:vMerge w:val="continue"/>
                  <w:tcBorders>
                    <w:tl2br w:val="nil"/>
                    <w:tr2bl w:val="nil"/>
                  </w:tcBorders>
                  <w:vAlign w:val="center"/>
                </w:tcPr>
                <w:p w14:paraId="090737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37FF3E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797EC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84" w:type="pct"/>
                  <w:vMerge w:val="continue"/>
                  <w:tcBorders>
                    <w:tl2br w:val="nil"/>
                    <w:tr2bl w:val="nil"/>
                  </w:tcBorders>
                  <w:vAlign w:val="center"/>
                </w:tcPr>
                <w:p w14:paraId="666A3B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10718B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475" w:type="pct"/>
                  <w:vMerge w:val="restart"/>
                  <w:tcBorders>
                    <w:tl2br w:val="nil"/>
                    <w:tr2bl w:val="nil"/>
                  </w:tcBorders>
                  <w:vAlign w:val="center"/>
                </w:tcPr>
                <w:p w14:paraId="139899B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环境风险</w:t>
                  </w:r>
                </w:p>
              </w:tc>
              <w:tc>
                <w:tcPr>
                  <w:tcW w:w="1775" w:type="pct"/>
                  <w:tcBorders>
                    <w:tl2br w:val="nil"/>
                    <w:tr2bl w:val="nil"/>
                  </w:tcBorders>
                  <w:vAlign w:val="center"/>
                </w:tcPr>
                <w:p w14:paraId="0DAA1D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环评报告中要求的环保措施：</w:t>
                  </w:r>
                </w:p>
                <w:p w14:paraId="10D8D43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设置灭火器、正压式呼吸器、便携式可燃气体检测仪等；井场设置30m</w:t>
                  </w:r>
                  <w:r>
                    <w:rPr>
                      <w:rFonts w:hint="default" w:ascii="Times New Roman" w:hAnsi="Times New Roman" w:eastAsia="宋体" w:cs="Times New Roman"/>
                      <w:color w:val="auto"/>
                      <w:sz w:val="21"/>
                      <w:szCs w:val="21"/>
                      <w:highlight w:val="none"/>
                      <w:vertAlign w:val="superscript"/>
                      <w:lang w:val="en-US" w:eastAsia="zh-CN"/>
                    </w:rPr>
                    <w:t>3</w:t>
                  </w:r>
                  <w:r>
                    <w:rPr>
                      <w:rFonts w:hint="default" w:ascii="Times New Roman" w:hAnsi="Times New Roman" w:eastAsia="宋体" w:cs="Times New Roman"/>
                      <w:color w:val="auto"/>
                      <w:sz w:val="21"/>
                      <w:szCs w:val="21"/>
                      <w:highlight w:val="none"/>
                      <w:lang w:val="en-US" w:eastAsia="zh-CN"/>
                    </w:rPr>
                    <w:t>污油罐（兼作事故罐），井场四周设置不低于20cm高土围堰，且井场大门处修建挡土梁；开工建设前，井场单独编制突发环境事件应急预案。</w:t>
                  </w:r>
                </w:p>
              </w:tc>
              <w:tc>
                <w:tcPr>
                  <w:tcW w:w="1707" w:type="pct"/>
                  <w:vMerge w:val="restart"/>
                  <w:tcBorders>
                    <w:tl2br w:val="nil"/>
                    <w:tr2bl w:val="nil"/>
                  </w:tcBorders>
                  <w:vAlign w:val="center"/>
                </w:tcPr>
                <w:p w14:paraId="1B8611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lang w:eastAsia="zh-CN"/>
                    </w:rPr>
                    <w:t>落实</w:t>
                  </w:r>
                </w:p>
                <w:p w14:paraId="7EB1947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eastAsia" w:ascii="Times New Roman" w:hAnsi="Times New Roman" w:cs="Times New Roman" w:eastAsiaTheme="minorEastAsia"/>
                      <w:color w:val="auto"/>
                      <w:spacing w:val="0"/>
                      <w:sz w:val="21"/>
                      <w:szCs w:val="21"/>
                      <w:highlight w:val="none"/>
                      <w:lang w:eastAsia="zh-CN"/>
                    </w:rPr>
                    <w:t>（</w:t>
                  </w:r>
                  <w:r>
                    <w:rPr>
                      <w:rFonts w:hint="eastAsia" w:ascii="Times New Roman" w:hAnsi="Times New Roman" w:cs="Times New Roman" w:eastAsiaTheme="minorEastAsia"/>
                      <w:color w:val="auto"/>
                      <w:spacing w:val="0"/>
                      <w:sz w:val="21"/>
                      <w:szCs w:val="21"/>
                      <w:highlight w:val="none"/>
                      <w:lang w:val="en-US" w:eastAsia="zh-CN"/>
                    </w:rPr>
                    <w:t>1</w:t>
                  </w:r>
                  <w:r>
                    <w:rPr>
                      <w:rFonts w:hint="eastAsia" w:ascii="Times New Roman" w:hAnsi="Times New Roman" w:cs="Times New Roman" w:eastAsiaTheme="minorEastAsia"/>
                      <w:color w:val="auto"/>
                      <w:spacing w:val="0"/>
                      <w:sz w:val="21"/>
                      <w:szCs w:val="21"/>
                      <w:highlight w:val="none"/>
                      <w:lang w:eastAsia="zh-CN"/>
                    </w:rPr>
                    <w:t>）</w:t>
                  </w:r>
                  <w:r>
                    <w:rPr>
                      <w:rFonts w:hint="default" w:ascii="Times New Roman" w:hAnsi="Times New Roman" w:cs="Times New Roman" w:eastAsiaTheme="minorEastAsia"/>
                      <w:color w:val="auto"/>
                      <w:spacing w:val="0"/>
                      <w:sz w:val="21"/>
                      <w:szCs w:val="21"/>
                      <w:highlight w:val="none"/>
                      <w:lang w:eastAsia="zh-CN"/>
                    </w:rPr>
                    <w:t>井场周围设置</w:t>
                  </w:r>
                  <w:r>
                    <w:rPr>
                      <w:rFonts w:hint="default" w:ascii="Times New Roman" w:hAnsi="Times New Roman" w:cs="Times New Roman" w:eastAsiaTheme="minorEastAsia"/>
                      <w:color w:val="auto"/>
                      <w:spacing w:val="0"/>
                      <w:sz w:val="21"/>
                      <w:szCs w:val="21"/>
                      <w:highlight w:val="none"/>
                      <w:lang w:val="en-US" w:eastAsia="zh-CN"/>
                    </w:rPr>
                    <w:t>20cm高</w:t>
                  </w:r>
                  <w:r>
                    <w:rPr>
                      <w:rFonts w:hint="eastAsia" w:ascii="Times New Roman" w:hAnsi="Times New Roman" w:cs="Times New Roman" w:eastAsiaTheme="minorEastAsia"/>
                      <w:color w:val="auto"/>
                      <w:spacing w:val="0"/>
                      <w:sz w:val="21"/>
                      <w:szCs w:val="21"/>
                      <w:highlight w:val="none"/>
                      <w:lang w:val="en-US" w:eastAsia="zh-CN"/>
                    </w:rPr>
                    <w:t>土围堰</w:t>
                  </w:r>
                  <w:r>
                    <w:rPr>
                      <w:rFonts w:hint="default" w:ascii="Times New Roman" w:hAnsi="Times New Roman" w:cs="Times New Roman" w:eastAsiaTheme="minorEastAsia"/>
                      <w:color w:val="auto"/>
                      <w:spacing w:val="0"/>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设置灭火器、正压式呼吸器、便携式可燃气体检测仪等；井场钻井设备摆放处、循环水利用设施等采取防渗漏措施</w:t>
                  </w:r>
                  <w:r>
                    <w:rPr>
                      <w:rFonts w:hint="default" w:ascii="Times New Roman" w:hAnsi="Times New Roman" w:cs="Times New Roman" w:eastAsiaTheme="minorEastAsia"/>
                      <w:color w:val="auto"/>
                      <w:spacing w:val="0"/>
                      <w:sz w:val="21"/>
                      <w:szCs w:val="21"/>
                      <w:highlight w:val="none"/>
                      <w:lang w:val="en-US" w:eastAsia="zh-CN"/>
                    </w:rPr>
                    <w:t>。</w:t>
                  </w:r>
                </w:p>
                <w:p w14:paraId="286C22F1">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eastAsia" w:ascii="Times New Roman" w:hAnsi="Times New Roman" w:cs="Times New Roman" w:eastAsiaTheme="minorEastAsia"/>
                      <w:color w:val="auto"/>
                      <w:sz w:val="21"/>
                      <w:szCs w:val="21"/>
                      <w:highlight w:val="none"/>
                      <w:lang w:val="en-US" w:eastAsia="zh-CN" w:bidi="ar-SA"/>
                    </w:rPr>
                    <w:t>（2）</w:t>
                  </w:r>
                  <w:r>
                    <w:rPr>
                      <w:rFonts w:hint="default" w:ascii="Times New Roman" w:hAnsi="Times New Roman" w:cs="Times New Roman" w:eastAsiaTheme="minorEastAsia"/>
                      <w:color w:val="auto"/>
                      <w:sz w:val="21"/>
                      <w:szCs w:val="21"/>
                      <w:highlight w:val="none"/>
                      <w:lang w:val="en-US" w:eastAsia="zh-CN" w:bidi="ar-SA"/>
                    </w:rPr>
                    <w:t>施工期安装井控装置，防止井喷；加强各类储罐的储存管理，罐区均采用防渗措施，四周设置围堰；同时加强施工期间风险管理，井场布置按照《钻前工程及井场布置技术要求》的规定进行了设置；</w:t>
                  </w:r>
                  <w:r>
                    <w:rPr>
                      <w:rFonts w:hint="eastAsia" w:ascii="Times New Roman" w:hAnsi="Times New Roman" w:cs="Times New Roman" w:eastAsiaTheme="minorEastAsia"/>
                      <w:color w:val="auto"/>
                      <w:sz w:val="21"/>
                      <w:szCs w:val="21"/>
                      <w:highlight w:val="none"/>
                      <w:lang w:val="en-US" w:eastAsia="zh-CN" w:bidi="ar-SA"/>
                    </w:rPr>
                    <w:t>项目</w:t>
                  </w:r>
                  <w:r>
                    <w:rPr>
                      <w:rFonts w:hint="eastAsia" w:ascii="Times New Roman" w:hAnsi="Times New Roman" w:eastAsia="宋体" w:cs="Times New Roman"/>
                      <w:color w:val="auto"/>
                      <w:sz w:val="21"/>
                      <w:szCs w:val="21"/>
                      <w:highlight w:val="none"/>
                      <w:lang w:eastAsia="zh-CN"/>
                    </w:rPr>
                    <w:t>周边地下水、土壤等的</w:t>
                  </w:r>
                  <w:r>
                    <w:rPr>
                      <w:rFonts w:hint="eastAsia" w:ascii="Times New Roman" w:hAnsi="Times New Roman" w:eastAsia="宋体" w:cs="Times New Roman"/>
                      <w:color w:val="auto"/>
                      <w:sz w:val="21"/>
                      <w:szCs w:val="21"/>
                      <w:highlight w:val="none"/>
                      <w:lang w:val="en-US" w:eastAsia="zh-CN"/>
                    </w:rPr>
                    <w:t>监测纳入厂区监测。</w:t>
                  </w:r>
                  <w:r>
                    <w:rPr>
                      <w:rFonts w:hint="default" w:ascii="Times New Roman" w:hAnsi="Times New Roman" w:cs="Times New Roman" w:eastAsiaTheme="minorEastAsia"/>
                      <w:color w:val="auto"/>
                      <w:sz w:val="21"/>
                      <w:szCs w:val="21"/>
                      <w:highlight w:val="none"/>
                      <w:lang w:val="en-US" w:eastAsia="zh-CN" w:bidi="ar-SA"/>
                    </w:rPr>
                    <w:t>项目建设过程及完工后未发生井喷事故。</w:t>
                  </w:r>
                </w:p>
                <w:p w14:paraId="45D251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lang w:val="en-US" w:eastAsia="zh-CN"/>
                    </w:rPr>
                    <w:t>中国石油化工股份有限公司华北油气分公司采油一厂针对可能发生的石油泄漏事故制定了相关的风险防范措施并进行了落实，定期组织进行学习与培训；同时中国石油化工股份有限公司华北油气分公司采油一厂也认真制定了突发环境事件应急预案，</w:t>
                  </w:r>
                  <w:r>
                    <w:rPr>
                      <w:rFonts w:hint="default" w:ascii="Times New Roman" w:hAnsi="Times New Roman" w:eastAsia="宋体" w:cs="Times New Roman"/>
                      <w:color w:val="auto"/>
                      <w:sz w:val="21"/>
                      <w:szCs w:val="21"/>
                      <w:highlight w:val="none"/>
                      <w:lang w:val="en-US" w:eastAsia="zh-CN"/>
                    </w:rPr>
                    <w:t>并于</w:t>
                  </w:r>
                  <w:r>
                    <w:rPr>
                      <w:rFonts w:hint="eastAsia" w:ascii="Times New Roman" w:hAnsi="Times New Roman" w:eastAsia="宋体" w:cs="Times New Roman"/>
                      <w:color w:val="auto"/>
                      <w:sz w:val="21"/>
                      <w:szCs w:val="21"/>
                      <w:highlight w:val="none"/>
                      <w:lang w:val="en-US" w:eastAsia="zh-CN"/>
                    </w:rPr>
                    <w:t>2023年1月11日取得了庆阳市生态环境局宁县分局</w:t>
                  </w:r>
                  <w:r>
                    <w:rPr>
                      <w:rFonts w:hint="default" w:ascii="Times New Roman" w:hAnsi="Times New Roman" w:eastAsia="宋体" w:cs="Times New Roman"/>
                      <w:color w:val="auto"/>
                      <w:sz w:val="21"/>
                      <w:szCs w:val="21"/>
                      <w:highlight w:val="none"/>
                      <w:lang w:val="en-US" w:eastAsia="zh-CN"/>
                    </w:rPr>
                    <w:t>预案备案文件，并</w:t>
                  </w:r>
                  <w:r>
                    <w:rPr>
                      <w:rFonts w:hint="eastAsia" w:ascii="Times New Roman" w:hAnsi="Times New Roman" w:eastAsia="宋体" w:cs="Times New Roman"/>
                      <w:color w:val="auto"/>
                      <w:sz w:val="21"/>
                      <w:szCs w:val="21"/>
                      <w:highlight w:val="none"/>
                      <w:lang w:val="en-US" w:eastAsia="zh-CN"/>
                    </w:rPr>
                    <w:t>按照</w:t>
                  </w:r>
                  <w:r>
                    <w:rPr>
                      <w:rFonts w:hint="default" w:ascii="Times New Roman" w:hAnsi="Times New Roman" w:eastAsia="宋体" w:cs="Times New Roman"/>
                      <w:color w:val="auto"/>
                      <w:sz w:val="21"/>
                      <w:szCs w:val="21"/>
                      <w:highlight w:val="none"/>
                      <w:lang w:val="en-US" w:eastAsia="zh-CN"/>
                    </w:rPr>
                    <w:t>预案中相关应急措施进行定期演练。</w:t>
                  </w:r>
                  <w:r>
                    <w:rPr>
                      <w:rFonts w:hint="eastAsia" w:ascii="Times New Roman" w:hAnsi="Times New Roman" w:eastAsia="宋体" w:cs="Times New Roman"/>
                      <w:color w:val="auto"/>
                      <w:sz w:val="21"/>
                      <w:szCs w:val="21"/>
                      <w:highlight w:val="none"/>
                      <w:lang w:val="en-US" w:eastAsia="zh-CN"/>
                    </w:rPr>
                    <w:t>该应急预案修编日期为2026年1月11日，在本项目验收时间范围内</w:t>
                  </w:r>
                  <w:r>
                    <w:rPr>
                      <w:rFonts w:hint="default" w:ascii="Times New Roman" w:hAnsi="Times New Roman" w:cs="Times New Roman" w:eastAsiaTheme="minorEastAsia"/>
                      <w:color w:val="auto"/>
                      <w:sz w:val="21"/>
                      <w:szCs w:val="21"/>
                      <w:highlight w:val="none"/>
                      <w:lang w:val="en-US" w:eastAsia="zh-CN"/>
                    </w:rPr>
                    <w:t>。</w:t>
                  </w:r>
                  <w:r>
                    <w:rPr>
                      <w:rFonts w:hint="eastAsia" w:ascii="Times New Roman" w:hAnsi="Times New Roman" w:eastAsia="宋体" w:cs="Times New Roman"/>
                      <w:color w:val="0000FF"/>
                      <w:sz w:val="21"/>
                      <w:szCs w:val="21"/>
                      <w:highlight w:val="none"/>
                      <w:lang w:val="en-US" w:eastAsia="zh-CN"/>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tc>
              <w:tc>
                <w:tcPr>
                  <w:tcW w:w="415" w:type="pct"/>
                  <w:vMerge w:val="restart"/>
                  <w:tcBorders>
                    <w:tl2br w:val="nil"/>
                    <w:tr2bl w:val="nil"/>
                  </w:tcBorders>
                  <w:vAlign w:val="center"/>
                </w:tcPr>
                <w:p w14:paraId="28ADD39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2536728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0000FF"/>
                      <w:sz w:val="21"/>
                      <w:szCs w:val="21"/>
                      <w:highlight w:val="none"/>
                      <w:lang w:val="en-US" w:eastAsia="zh-CN" w:bidi="ar-SA"/>
                    </w:rPr>
                    <w:t>各项措施均已落实，有效</w:t>
                  </w:r>
                  <w:r>
                    <w:rPr>
                      <w:rFonts w:hint="eastAsia" w:ascii="Times New Roman" w:hAnsi="Times New Roman" w:eastAsia="宋体" w:cs="Times New Roman"/>
                      <w:color w:val="0000FF"/>
                      <w:sz w:val="21"/>
                      <w:szCs w:val="21"/>
                      <w:highlight w:val="none"/>
                      <w:lang w:val="en-US" w:eastAsia="zh-CN" w:bidi="ar-SA"/>
                    </w:rPr>
                    <w:t>控制了风险的发生</w:t>
                  </w:r>
                  <w:r>
                    <w:rPr>
                      <w:rFonts w:hint="default" w:ascii="Times New Roman" w:hAnsi="Times New Roman" w:eastAsia="宋体" w:cs="Times New Roman"/>
                      <w:color w:val="0000FF"/>
                      <w:sz w:val="21"/>
                      <w:szCs w:val="21"/>
                      <w:highlight w:val="none"/>
                      <w:lang w:val="en-US" w:eastAsia="zh-CN" w:bidi="ar-SA"/>
                    </w:rPr>
                    <w:t>。</w:t>
                  </w:r>
                </w:p>
                <w:p w14:paraId="66F791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2A2AA1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 w:type="pct"/>
                  <w:vMerge w:val="continue"/>
                  <w:tcBorders>
                    <w:tl2br w:val="nil"/>
                    <w:tr2bl w:val="nil"/>
                  </w:tcBorders>
                  <w:vAlign w:val="center"/>
                </w:tcPr>
                <w:p w14:paraId="3B236E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6EFF7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475" w:type="pct"/>
                  <w:vMerge w:val="continue"/>
                  <w:tcBorders>
                    <w:tl2br w:val="nil"/>
                    <w:tr2bl w:val="nil"/>
                  </w:tcBorders>
                  <w:vAlign w:val="center"/>
                </w:tcPr>
                <w:p w14:paraId="713230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775" w:type="pct"/>
                  <w:tcBorders>
                    <w:tl2br w:val="nil"/>
                    <w:tr2bl w:val="nil"/>
                  </w:tcBorders>
                  <w:vAlign w:val="center"/>
                </w:tcPr>
                <w:p w14:paraId="68F279E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环评审批文件要求的环境风险防范措施：</w:t>
                  </w:r>
                </w:p>
                <w:p w14:paraId="409E5C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w:t>
                  </w:r>
                  <w:r>
                    <w:rPr>
                      <w:rFonts w:hint="default" w:ascii="Times New Roman" w:hAnsi="Times New Roman" w:eastAsia="宋体" w:cs="Times New Roman"/>
                      <w:color w:val="0000FF"/>
                      <w:sz w:val="21"/>
                      <w:szCs w:val="21"/>
                      <w:highlight w:val="none"/>
                      <w:lang w:val="en-US" w:eastAsia="zh-CN"/>
                    </w:rPr>
                    <w:t>按要求编制环境应急预案，并报环境保护主管部门备案。</w:t>
                  </w:r>
                </w:p>
              </w:tc>
              <w:tc>
                <w:tcPr>
                  <w:tcW w:w="1707" w:type="pct"/>
                  <w:vMerge w:val="continue"/>
                  <w:tcBorders>
                    <w:tl2br w:val="nil"/>
                    <w:tr2bl w:val="nil"/>
                  </w:tcBorders>
                  <w:vAlign w:val="center"/>
                </w:tcPr>
                <w:p w14:paraId="30928E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03D97E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3E0A7A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 w:type="pct"/>
                  <w:vMerge w:val="continue"/>
                  <w:tcBorders>
                    <w:tl2br w:val="nil"/>
                    <w:tr2bl w:val="nil"/>
                  </w:tcBorders>
                  <w:vAlign w:val="center"/>
                </w:tcPr>
                <w:p w14:paraId="1AD24B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917" w:type="pct"/>
                  <w:gridSpan w:val="2"/>
                  <w:tcBorders>
                    <w:tl2br w:val="nil"/>
                    <w:tr2bl w:val="nil"/>
                  </w:tcBorders>
                  <w:vAlign w:val="center"/>
                </w:tcPr>
                <w:p w14:paraId="159B34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社会影响</w:t>
                  </w:r>
                </w:p>
              </w:tc>
              <w:tc>
                <w:tcPr>
                  <w:tcW w:w="1775" w:type="pct"/>
                  <w:tcBorders>
                    <w:tl2br w:val="nil"/>
                    <w:tr2bl w:val="nil"/>
                  </w:tcBorders>
                  <w:vAlign w:val="center"/>
                </w:tcPr>
                <w:p w14:paraId="550D0C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707" w:type="pct"/>
                  <w:tcBorders>
                    <w:tl2br w:val="nil"/>
                    <w:tr2bl w:val="nil"/>
                  </w:tcBorders>
                  <w:vAlign w:val="center"/>
                </w:tcPr>
                <w:p w14:paraId="216388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1F3EB9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w:t>
                  </w:r>
                </w:p>
              </w:tc>
            </w:tr>
            <w:tr w14:paraId="0285B1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 w:type="pct"/>
                  <w:tcBorders>
                    <w:tl2br w:val="nil"/>
                    <w:tr2bl w:val="nil"/>
                  </w:tcBorders>
                  <w:vAlign w:val="center"/>
                </w:tcPr>
                <w:p w14:paraId="7B7856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442" w:type="pct"/>
                  <w:tcBorders>
                    <w:tl2br w:val="nil"/>
                    <w:tr2bl w:val="nil"/>
                  </w:tcBorders>
                  <w:vAlign w:val="center"/>
                </w:tcPr>
                <w:p w14:paraId="30DCFA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生态影响</w:t>
                  </w:r>
                </w:p>
              </w:tc>
              <w:tc>
                <w:tcPr>
                  <w:tcW w:w="475" w:type="pct"/>
                  <w:tcBorders>
                    <w:tl2br w:val="nil"/>
                    <w:tr2bl w:val="nil"/>
                  </w:tcBorders>
                  <w:vAlign w:val="center"/>
                </w:tcPr>
                <w:p w14:paraId="78A724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775" w:type="pct"/>
                  <w:tcBorders>
                    <w:tl2br w:val="nil"/>
                    <w:tr2bl w:val="nil"/>
                  </w:tcBorders>
                  <w:vAlign w:val="center"/>
                </w:tcPr>
                <w:p w14:paraId="428C508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707" w:type="pct"/>
                  <w:tcBorders>
                    <w:tl2br w:val="nil"/>
                    <w:tr2bl w:val="nil"/>
                  </w:tcBorders>
                  <w:vAlign w:val="center"/>
                </w:tcPr>
                <w:p w14:paraId="266AC0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7F8C85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w:t>
                  </w:r>
                </w:p>
              </w:tc>
            </w:tr>
            <w:tr w14:paraId="36029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 w:type="pct"/>
                  <w:vMerge w:val="restart"/>
                  <w:tcBorders>
                    <w:tl2br w:val="nil"/>
                    <w:tr2bl w:val="nil"/>
                  </w:tcBorders>
                  <w:vAlign w:val="center"/>
                </w:tcPr>
                <w:p w14:paraId="4E1F3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试运行期</w:t>
                  </w:r>
                </w:p>
              </w:tc>
              <w:tc>
                <w:tcPr>
                  <w:tcW w:w="442" w:type="pct"/>
                  <w:vMerge w:val="restart"/>
                  <w:tcBorders>
                    <w:tl2br w:val="nil"/>
                    <w:tr2bl w:val="nil"/>
                  </w:tcBorders>
                  <w:vAlign w:val="center"/>
                </w:tcPr>
                <w:p w14:paraId="1212DD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污染影响</w:t>
                  </w:r>
                </w:p>
              </w:tc>
              <w:tc>
                <w:tcPr>
                  <w:tcW w:w="475" w:type="pct"/>
                  <w:vMerge w:val="restart"/>
                  <w:tcBorders>
                    <w:tl2br w:val="nil"/>
                    <w:tr2bl w:val="nil"/>
                  </w:tcBorders>
                  <w:vAlign w:val="center"/>
                </w:tcPr>
                <w:p w14:paraId="6A18A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各个影响防治措施</w:t>
                  </w:r>
                </w:p>
              </w:tc>
              <w:tc>
                <w:tcPr>
                  <w:tcW w:w="1775" w:type="pct"/>
                  <w:tcBorders>
                    <w:tl2br w:val="nil"/>
                    <w:tr2bl w:val="nil"/>
                  </w:tcBorders>
                  <w:vAlign w:val="center"/>
                </w:tcPr>
                <w:p w14:paraId="46829A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环评报告中要求的风险防范措施：</w:t>
                  </w:r>
                </w:p>
                <w:p w14:paraId="26EC60D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本项目为石油</w:t>
                  </w:r>
                  <w:r>
                    <w:rPr>
                      <w:rFonts w:hint="eastAsia" w:ascii="Times New Roman" w:hAnsi="Times New Roman" w:eastAsia="宋体" w:cs="Times New Roman"/>
                      <w:color w:val="auto"/>
                      <w:sz w:val="21"/>
                      <w:szCs w:val="21"/>
                      <w:highlight w:val="none"/>
                      <w:lang w:val="en-US" w:eastAsia="zh-CN"/>
                    </w:rPr>
                    <w:t>、天然气</w:t>
                  </w:r>
                  <w:r>
                    <w:rPr>
                      <w:rFonts w:hint="default" w:ascii="Times New Roman" w:hAnsi="Times New Roman" w:eastAsia="宋体" w:cs="Times New Roman"/>
                      <w:color w:val="auto"/>
                      <w:sz w:val="21"/>
                      <w:szCs w:val="21"/>
                      <w:highlight w:val="none"/>
                      <w:lang w:val="en-US" w:eastAsia="zh-CN"/>
                    </w:rPr>
                    <w:t>勘探井的钻井工程，使用功能为石油</w:t>
                  </w:r>
                  <w:r>
                    <w:rPr>
                      <w:rFonts w:hint="eastAsia" w:ascii="Times New Roman" w:hAnsi="Times New Roman" w:eastAsia="宋体" w:cs="Times New Roman"/>
                      <w:color w:val="auto"/>
                      <w:sz w:val="21"/>
                      <w:szCs w:val="21"/>
                      <w:highlight w:val="none"/>
                      <w:lang w:val="en-US" w:eastAsia="zh-CN"/>
                    </w:rPr>
                    <w:t>、天然气</w:t>
                  </w:r>
                  <w:r>
                    <w:rPr>
                      <w:rFonts w:hint="default" w:ascii="Times New Roman" w:hAnsi="Times New Roman" w:eastAsia="宋体" w:cs="Times New Roman"/>
                      <w:color w:val="auto"/>
                      <w:sz w:val="21"/>
                      <w:szCs w:val="21"/>
                      <w:highlight w:val="none"/>
                      <w:lang w:val="en-US" w:eastAsia="zh-CN"/>
                    </w:rPr>
                    <w:t>勘探、完井并测试，不涉及运营期。</w:t>
                  </w:r>
                </w:p>
              </w:tc>
              <w:tc>
                <w:tcPr>
                  <w:tcW w:w="1707" w:type="pct"/>
                  <w:tcBorders>
                    <w:tl2br w:val="nil"/>
                    <w:tr2bl w:val="nil"/>
                  </w:tcBorders>
                  <w:vAlign w:val="center"/>
                </w:tcPr>
                <w:p w14:paraId="6DC41F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vMerge w:val="restart"/>
                  <w:tcBorders>
                    <w:tl2br w:val="nil"/>
                    <w:tr2bl w:val="nil"/>
                  </w:tcBorders>
                  <w:vAlign w:val="center"/>
                </w:tcPr>
                <w:p w14:paraId="4B81AE5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目前，井场</w:t>
                  </w:r>
                  <w:r>
                    <w:rPr>
                      <w:rFonts w:hint="eastAsia" w:ascii="Times New Roman" w:hAnsi="Times New Roman" w:eastAsia="宋体" w:cs="Times New Roman"/>
                      <w:color w:val="auto"/>
                      <w:sz w:val="21"/>
                      <w:szCs w:val="21"/>
                      <w:highlight w:val="none"/>
                      <w:lang w:val="en-US" w:eastAsia="zh-CN" w:bidi="ar-SA"/>
                    </w:rPr>
                    <w:t>已探出油</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后续</w:t>
                  </w:r>
                  <w:r>
                    <w:rPr>
                      <w:rFonts w:hint="default" w:ascii="Times New Roman" w:hAnsi="Times New Roman" w:eastAsia="宋体" w:cs="Times New Roman"/>
                      <w:color w:val="auto"/>
                      <w:sz w:val="21"/>
                      <w:szCs w:val="21"/>
                      <w:highlight w:val="none"/>
                      <w:lang w:val="en-US" w:eastAsia="zh-CN" w:bidi="ar-SA"/>
                    </w:rPr>
                    <w:t>转入生产井。</w:t>
                  </w:r>
                </w:p>
              </w:tc>
            </w:tr>
            <w:tr w14:paraId="4BE09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4" w:type="pct"/>
                  <w:vMerge w:val="continue"/>
                  <w:tcBorders>
                    <w:tl2br w:val="nil"/>
                    <w:tr2bl w:val="nil"/>
                  </w:tcBorders>
                  <w:vAlign w:val="center"/>
                </w:tcPr>
                <w:p w14:paraId="53AB04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DE429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475" w:type="pct"/>
                  <w:vMerge w:val="continue"/>
                  <w:tcBorders>
                    <w:tl2br w:val="nil"/>
                    <w:tr2bl w:val="nil"/>
                  </w:tcBorders>
                  <w:vAlign w:val="center"/>
                </w:tcPr>
                <w:p w14:paraId="53E4E0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775" w:type="pct"/>
                  <w:tcBorders>
                    <w:tl2br w:val="nil"/>
                    <w:tr2bl w:val="nil"/>
                  </w:tcBorders>
                  <w:vAlign w:val="center"/>
                </w:tcPr>
                <w:p w14:paraId="5DE0E72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环评审批文件要求的风险防范措施：</w:t>
                  </w:r>
                </w:p>
                <w:p w14:paraId="67A4D7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严格依据《报告表》中批复的井场建设地点、坐标和评价井井号、数量等内容进行石油勘探工作，严禁擅自变更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对《报告表》及审查意见提出的各项生态环境保护措施和要求，应明确到井场施工合同中并认真监督执行。该项目为陆地石油</w:t>
                  </w:r>
                  <w:r>
                    <w:rPr>
                      <w:rFonts w:hint="eastAsia" w:ascii="Times New Roman" w:hAnsi="Times New Roman" w:eastAsia="宋体" w:cs="Times New Roman"/>
                      <w:color w:val="auto"/>
                      <w:sz w:val="21"/>
                      <w:szCs w:val="21"/>
                      <w:highlight w:val="none"/>
                      <w:lang w:val="en-US" w:eastAsia="zh-CN"/>
                    </w:rPr>
                    <w:t>、天然气</w:t>
                  </w:r>
                  <w:r>
                    <w:rPr>
                      <w:rFonts w:hint="default" w:ascii="Times New Roman" w:hAnsi="Times New Roman" w:eastAsia="宋体" w:cs="Times New Roman"/>
                      <w:color w:val="auto"/>
                      <w:sz w:val="21"/>
                      <w:szCs w:val="21"/>
                      <w:highlight w:val="none"/>
                      <w:lang w:val="en-US" w:eastAsia="zh-CN"/>
                    </w:rPr>
                    <w:t>资源地质勘探工程，若评价井转为生产井，须纳入油田区块管理并及时报批环评文件。</w:t>
                  </w:r>
                </w:p>
              </w:tc>
              <w:tc>
                <w:tcPr>
                  <w:tcW w:w="1707" w:type="pct"/>
                  <w:tcBorders>
                    <w:tl2br w:val="nil"/>
                    <w:tr2bl w:val="nil"/>
                  </w:tcBorders>
                  <w:vAlign w:val="center"/>
                </w:tcPr>
                <w:p w14:paraId="36CDCA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vMerge w:val="continue"/>
                  <w:tcBorders>
                    <w:tl2br w:val="nil"/>
                    <w:tr2bl w:val="nil"/>
                  </w:tcBorders>
                  <w:vAlign w:val="center"/>
                </w:tcPr>
                <w:p w14:paraId="49B107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r w14:paraId="5064A3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4" w:type="pct"/>
                  <w:vMerge w:val="continue"/>
                  <w:tcBorders>
                    <w:tl2br w:val="nil"/>
                    <w:tr2bl w:val="nil"/>
                  </w:tcBorders>
                  <w:vAlign w:val="center"/>
                </w:tcPr>
                <w:p w14:paraId="30B02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tcBorders>
                    <w:tl2br w:val="nil"/>
                    <w:tr2bl w:val="nil"/>
                  </w:tcBorders>
                  <w:vAlign w:val="center"/>
                </w:tcPr>
                <w:p w14:paraId="65006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社会影响</w:t>
                  </w:r>
                </w:p>
              </w:tc>
              <w:tc>
                <w:tcPr>
                  <w:tcW w:w="475" w:type="pct"/>
                  <w:tcBorders>
                    <w:tl2br w:val="nil"/>
                    <w:tr2bl w:val="nil"/>
                  </w:tcBorders>
                  <w:vAlign w:val="center"/>
                </w:tcPr>
                <w:p w14:paraId="6970A5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775" w:type="pct"/>
                  <w:tcBorders>
                    <w:tl2br w:val="nil"/>
                    <w:tr2bl w:val="nil"/>
                  </w:tcBorders>
                  <w:vAlign w:val="center"/>
                </w:tcPr>
                <w:p w14:paraId="0ACABF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707" w:type="pct"/>
                  <w:tcBorders>
                    <w:tl2br w:val="nil"/>
                    <w:tr2bl w:val="nil"/>
                  </w:tcBorders>
                  <w:vAlign w:val="center"/>
                </w:tcPr>
                <w:p w14:paraId="710027D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tcBorders>
                    <w:tl2br w:val="nil"/>
                    <w:tr2bl w:val="nil"/>
                  </w:tcBorders>
                  <w:vAlign w:val="center"/>
                </w:tcPr>
                <w:p w14:paraId="6B9066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bl>
          <w:p w14:paraId="1A40CA07">
            <w:pPr>
              <w:pStyle w:val="5"/>
              <w:widowControl w:val="0"/>
              <w:suppressLineNumbers w:val="0"/>
              <w:spacing w:before="0"/>
              <w:ind w:left="0" w:right="0"/>
              <w:jc w:val="both"/>
              <w:rPr>
                <w:rFonts w:hint="default"/>
                <w:color w:val="auto"/>
              </w:rPr>
            </w:pPr>
          </w:p>
        </w:tc>
      </w:tr>
    </w:tbl>
    <w:p w14:paraId="03FB4149">
      <w:pPr>
        <w:pStyle w:val="2"/>
        <w:ind w:left="0" w:leftChars="0" w:firstLine="0" w:firstLineChars="0"/>
        <w:rPr>
          <w:rFonts w:hint="default"/>
          <w:color w:val="auto"/>
          <w:highlight w:val="none"/>
        </w:rPr>
      </w:pPr>
    </w:p>
    <w:p w14:paraId="4917AD73">
      <w:pPr>
        <w:rPr>
          <w:rFonts w:hint="default"/>
          <w:color w:val="auto"/>
          <w:highlight w:val="none"/>
        </w:rPr>
        <w:sectPr>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p w14:paraId="12008C8B">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7" w:name="_Toc28235"/>
      <w:r>
        <w:rPr>
          <w:rFonts w:hint="eastAsia" w:ascii="Times New Roman" w:hAnsi="Times New Roman" w:eastAsia="宋体" w:cs="Times New Roman"/>
          <w:b/>
          <w:bCs/>
          <w:color w:val="auto"/>
          <w:w w:val="95"/>
          <w:sz w:val="32"/>
          <w:highlight w:val="none"/>
          <w:lang w:val="en-US" w:eastAsia="zh-CN"/>
        </w:rPr>
        <w:t>7</w:t>
      </w:r>
      <w:r>
        <w:rPr>
          <w:rFonts w:hint="default" w:ascii="Times New Roman" w:hAnsi="Times New Roman" w:eastAsia="宋体" w:cs="Times New Roman"/>
          <w:b/>
          <w:bCs/>
          <w:color w:val="auto"/>
          <w:w w:val="95"/>
          <w:sz w:val="32"/>
          <w:highlight w:val="none"/>
          <w:lang w:val="en-US" w:eastAsia="zh-CN"/>
        </w:rPr>
        <w:t>.环境影响调查</w:t>
      </w:r>
      <w:bookmarkEnd w:id="7"/>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525"/>
        <w:gridCol w:w="7629"/>
      </w:tblGrid>
      <w:tr w14:paraId="2258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dxa"/>
            <w:vMerge w:val="restart"/>
            <w:vAlign w:val="center"/>
          </w:tcPr>
          <w:p w14:paraId="5188DCF5">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47075FE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6031D4D2">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20683E1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施工期</w:t>
            </w:r>
          </w:p>
        </w:tc>
        <w:tc>
          <w:tcPr>
            <w:tcW w:w="525" w:type="dxa"/>
            <w:tcMar>
              <w:top w:w="85" w:type="dxa"/>
              <w:left w:w="108" w:type="dxa"/>
              <w:bottom w:w="85" w:type="dxa"/>
              <w:right w:w="108" w:type="dxa"/>
            </w:tcMar>
            <w:vAlign w:val="center"/>
          </w:tcPr>
          <w:p w14:paraId="1B4E5AA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生态影响</w:t>
            </w:r>
          </w:p>
        </w:tc>
        <w:tc>
          <w:tcPr>
            <w:tcW w:w="7629" w:type="dxa"/>
            <w:tcMar>
              <w:top w:w="85" w:type="dxa"/>
              <w:left w:w="108" w:type="dxa"/>
              <w:bottom w:w="85" w:type="dxa"/>
              <w:right w:w="108" w:type="dxa"/>
            </w:tcMar>
            <w:vAlign w:val="center"/>
          </w:tcPr>
          <w:p w14:paraId="661A76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bookmarkStart w:id="8" w:name="_Toc536625867"/>
            <w:bookmarkStart w:id="9" w:name="_Toc529516475"/>
            <w:r>
              <w:rPr>
                <w:rFonts w:hint="default" w:ascii="Times New Roman" w:hAnsi="Times New Roman" w:eastAsia="宋体" w:cs="Times New Roman"/>
                <w:color w:val="auto"/>
                <w:sz w:val="24"/>
                <w:szCs w:val="24"/>
                <w:highlight w:val="none"/>
                <w:lang w:val="en-US" w:eastAsia="zh-CN"/>
              </w:rPr>
              <w:t>生态环境影响调查分析主要表现为工程占地、损坏植被，进而引起水土流失；工程占地将会改变土地使用功能，影响对土地的使用；土方开挖和回填，引起土壤结构的改变。</w:t>
            </w:r>
          </w:p>
          <w:p w14:paraId="32091578">
            <w:pPr>
              <w:keepNext w:val="0"/>
              <w:keepLines w:val="0"/>
              <w:pageBreakBefore w:val="0"/>
              <w:widowControl w:val="0"/>
              <w:numPr>
                <w:ilvl w:val="0"/>
                <w:numId w:val="4"/>
              </w:numPr>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自然环境概况</w:t>
            </w:r>
          </w:p>
          <w:p w14:paraId="5AEB0E2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本项目所处区域气候属温带大陆性半干旱季风气候，项目区属黄土高原丘陵沟壑区地貌类型，区内丘陵起伏、梁卯相间，沟壑纵横；调查范围内，井场周边无地表水、地下水分布，井场周边的主要土壤类型为黑垆土、黄绵土；植被类型主要是荒坡牧草，天然草以冰草、白羊草等为主，动物主要为物种组成以小型兽类和鸟类为主，无珍稀濒危动植物分布，无灭绝等历史演化情况。施工前后未对项目地的自然环境概况造成永久破坏。 </w:t>
            </w:r>
          </w:p>
          <w:p w14:paraId="64086AA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建设对生态环境的影响属于高强度、低频率的局地性破坏，施工结束后影响停止，生态环境影响将逐渐消除对野生动物的生境未造成破坏，施工前后生态系统未发生变化。生态敏感目标现状情况见“3、生态敏感目标调查”</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目前验收调查阶段现场照片见附图。</w:t>
            </w:r>
          </w:p>
          <w:p w14:paraId="31A102A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val="en-US" w:eastAsia="zh-CN"/>
              </w:rPr>
              <w:t>工程占地影响调查</w:t>
            </w:r>
            <w:bookmarkEnd w:id="8"/>
            <w:bookmarkEnd w:id="9"/>
          </w:p>
          <w:p w14:paraId="4E62422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根据调查，</w:t>
            </w:r>
            <w:r>
              <w:rPr>
                <w:rFonts w:hint="eastAsia" w:ascii="Times New Roman" w:hAnsi="Times New Roman" w:eastAsia="宋体" w:cs="Times New Roman"/>
                <w:color w:val="auto"/>
                <w:sz w:val="24"/>
                <w:szCs w:val="24"/>
                <w:highlight w:val="none"/>
                <w:lang w:val="en-US" w:eastAsia="zh-CN"/>
              </w:rPr>
              <w:t>井场及进场道路均为临时占地，</w:t>
            </w:r>
            <w:r>
              <w:rPr>
                <w:rFonts w:hint="eastAsia" w:ascii="Times New Roman" w:hAnsi="Times New Roman" w:eastAsia="宋体" w:cs="Times New Roman"/>
                <w:color w:val="auto"/>
                <w:sz w:val="24"/>
                <w:szCs w:val="24"/>
                <w:highlight w:val="none"/>
              </w:rPr>
              <w:t>占地面积约</w:t>
            </w:r>
            <w:r>
              <w:rPr>
                <w:rFonts w:hint="eastAsia" w:ascii="Times New Roman" w:hAnsi="Times New Roman" w:eastAsia="宋体" w:cs="Times New Roman"/>
                <w:b w:val="0"/>
                <w:color w:val="auto"/>
                <w:spacing w:val="0"/>
                <w:w w:val="100"/>
                <w:sz w:val="24"/>
                <w:szCs w:val="24"/>
                <w:highlight w:val="none"/>
                <w:lang w:val="en-US" w:eastAsia="zh-CN" w:bidi="ar-SA"/>
              </w:rPr>
              <w:t>36981.73</w:t>
            </w:r>
            <w:r>
              <w:rPr>
                <w:rFonts w:hint="eastAsia" w:ascii="Times New Roman" w:hAnsi="Times New Roman" w:eastAsia="宋体" w:cs="Times New Roman"/>
                <w:color w:val="auto"/>
                <w:sz w:val="24"/>
                <w:szCs w:val="24"/>
                <w:highlight w:val="none"/>
                <w:lang w:val="en-US" w:eastAsia="zh-CN"/>
              </w:rPr>
              <w:t>m</w:t>
            </w:r>
            <w:r>
              <w:rPr>
                <w:rFonts w:hint="eastAsia"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vertAlign w:val="baseline"/>
                <w:lang w:eastAsia="zh-CN"/>
              </w:rPr>
              <w:t>，</w:t>
            </w:r>
            <w:r>
              <w:rPr>
                <w:rFonts w:hint="eastAsia" w:ascii="Times New Roman" w:hAnsi="Times New Roman" w:eastAsia="宋体" w:cs="Times New Roman"/>
                <w:color w:val="auto"/>
                <w:sz w:val="24"/>
                <w:szCs w:val="24"/>
                <w:highlight w:val="none"/>
                <w:lang w:val="en-US" w:eastAsia="zh-CN"/>
              </w:rPr>
              <w:t>用地性质</w:t>
            </w:r>
            <w:r>
              <w:rPr>
                <w:rFonts w:hint="eastAsia" w:ascii="Times New Roman" w:hAnsi="Times New Roman" w:eastAsia="宋体" w:cs="Times New Roman"/>
                <w:color w:val="auto"/>
                <w:sz w:val="24"/>
                <w:szCs w:val="24"/>
                <w:highlight w:val="none"/>
              </w:rPr>
              <w:t>为</w:t>
            </w:r>
            <w:r>
              <w:rPr>
                <w:rFonts w:hint="eastAsia" w:ascii="Times New Roman" w:hAnsi="Times New Roman" w:eastAsia="宋体" w:cs="Times New Roman"/>
                <w:color w:val="auto"/>
                <w:sz w:val="24"/>
                <w:szCs w:val="24"/>
                <w:highlight w:val="none"/>
                <w:lang w:val="en-US" w:eastAsia="zh-CN"/>
              </w:rPr>
              <w:t>耕地。</w:t>
            </w:r>
            <w:r>
              <w:rPr>
                <w:rFonts w:hint="default" w:ascii="Times New Roman" w:hAnsi="Times New Roman" w:eastAsia="宋体" w:cs="Times New Roman"/>
                <w:color w:val="auto"/>
                <w:sz w:val="24"/>
                <w:szCs w:val="24"/>
                <w:highlight w:val="none"/>
                <w:lang w:val="en-US" w:eastAsia="zh-CN"/>
              </w:rPr>
              <w:t>项目钻井、运输要侵占土地、破坏植被，改变原有生态系统结构和功能。在施工期间工程建设对生态环境的影响属于高强度、低频率的局地性破坏。钻井施工、道路建设作业本身要占用大面积的土地，机械、运输车辆碾压、人员践踏、材料占地、土体翻出埋放地表等活动占用的土地面积更远远超过工程本身，同时施工期开挖土方会破坏植被，造成水土流失。工程临时占地破坏了占用土地上的植被，对项目区原有土地利用方式影响较大，但临时占地也呈现出暂时性和局部性的特点，施工结束后，JH2P42、JH2P44、良平101H进行临时关井，待转产，除预留转为生产开发所需的面积外，对其余临时占地及时进行了植被恢复。长探105已永久封井，井场已平整并进行了绿化。</w:t>
            </w:r>
          </w:p>
          <w:p w14:paraId="1680103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根据调查，</w:t>
            </w:r>
            <w:r>
              <w:rPr>
                <w:rFonts w:hint="default" w:ascii="Times New Roman" w:hAnsi="Times New Roman" w:eastAsia="宋体" w:cs="Times New Roman"/>
                <w:color w:val="auto"/>
                <w:sz w:val="24"/>
                <w:szCs w:val="24"/>
                <w:highlight w:val="none"/>
              </w:rPr>
              <w:t>项目施工过程中通过缩小施工范围，严格控制各种施工活动区域，将临时占地面积控制在最低限度。目前勘探井已</w:t>
            </w:r>
            <w:r>
              <w:rPr>
                <w:rFonts w:hint="default" w:ascii="Times New Roman" w:hAnsi="Times New Roman" w:eastAsia="宋体" w:cs="Times New Roman"/>
                <w:color w:val="auto"/>
                <w:sz w:val="24"/>
                <w:szCs w:val="24"/>
                <w:highlight w:val="none"/>
                <w:lang w:val="en-US" w:eastAsia="zh-CN"/>
              </w:rPr>
              <w:t>关井，关井</w:t>
            </w:r>
            <w:r>
              <w:rPr>
                <w:rFonts w:hint="default" w:ascii="Times New Roman" w:hAnsi="Times New Roman" w:eastAsia="宋体" w:cs="Times New Roman"/>
                <w:color w:val="auto"/>
                <w:sz w:val="24"/>
                <w:szCs w:val="24"/>
                <w:highlight w:val="none"/>
              </w:rPr>
              <w:t>工作完成后，依照开挖取土顺序分层回填，并对土壤进行疏松平整和植被恢复，项目建设未对项目占地范围及周边区域造成明显影响。验收调查期间无工程弃方堆放</w:t>
            </w:r>
            <w:r>
              <w:rPr>
                <w:rFonts w:hint="default" w:ascii="Times New Roman" w:hAnsi="Times New Roman" w:eastAsia="宋体" w:cs="Times New Roman"/>
                <w:color w:val="auto"/>
                <w:sz w:val="24"/>
                <w:szCs w:val="24"/>
                <w:highlight w:val="none"/>
                <w:lang w:eastAsia="zh-CN"/>
              </w:rPr>
              <w:t>。</w:t>
            </w:r>
          </w:p>
          <w:p w14:paraId="253C94F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rPr>
            </w:pPr>
            <w:bookmarkStart w:id="10" w:name="_Toc34838380"/>
            <w:r>
              <w:rPr>
                <w:rFonts w:hint="eastAsia"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生态敏感目标调查</w:t>
            </w:r>
          </w:p>
          <w:p w14:paraId="1931888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项目</w:t>
            </w:r>
            <w:r>
              <w:rPr>
                <w:rFonts w:hint="eastAsia" w:ascii="Times New Roman" w:hAnsi="Times New Roman" w:eastAsia="宋体" w:cs="Times New Roman"/>
                <w:color w:val="auto"/>
                <w:sz w:val="24"/>
                <w:szCs w:val="24"/>
                <w:highlight w:val="none"/>
              </w:rPr>
              <w:t>占地类型主要为</w:t>
            </w:r>
            <w:r>
              <w:rPr>
                <w:rFonts w:hint="eastAsia" w:ascii="Times New Roman" w:hAnsi="Times New Roman" w:eastAsia="宋体" w:cs="Times New Roman"/>
                <w:color w:val="auto"/>
                <w:sz w:val="24"/>
                <w:szCs w:val="24"/>
                <w:highlight w:val="none"/>
                <w:lang w:val="en-US" w:eastAsia="zh-CN"/>
              </w:rPr>
              <w:t>耕地</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项目区域内</w:t>
            </w:r>
            <w:r>
              <w:rPr>
                <w:rFonts w:hint="eastAsia" w:ascii="Times New Roman" w:hAnsi="Times New Roman" w:eastAsia="宋体" w:cs="Times New Roman"/>
                <w:color w:val="auto"/>
                <w:sz w:val="24"/>
                <w:szCs w:val="24"/>
                <w:highlight w:val="none"/>
              </w:rPr>
              <w:t>没有珍稀濒危动植物，无国家和地方级保护动植物。调查范围内无风景名胜区、水源保护区、文物保护单需要特殊保护的单位，无国家和省级重要保护的野生动植物物种等其他重要的生态保护目标</w:t>
            </w:r>
            <w:r>
              <w:rPr>
                <w:rFonts w:hint="eastAsia" w:ascii="Times New Roman" w:hAnsi="Times New Roman" w:eastAsia="宋体" w:cs="Times New Roman"/>
                <w:color w:val="auto"/>
                <w:sz w:val="24"/>
                <w:szCs w:val="24"/>
                <w:highlight w:val="none"/>
                <w:lang w:eastAsia="zh-CN"/>
              </w:rPr>
              <w:t>。</w:t>
            </w:r>
          </w:p>
          <w:bookmarkEnd w:id="10"/>
          <w:p w14:paraId="66EBAE0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bookmarkStart w:id="11" w:name="_Toc536625869"/>
            <w:bookmarkStart w:id="12" w:name="_Toc529516477"/>
            <w:r>
              <w:rPr>
                <w:rFonts w:hint="eastAsia" w:ascii="Times New Roman" w:hAnsi="Times New Roman" w:eastAsia="宋体" w:cs="Times New Roman"/>
                <w:b/>
                <w:bCs/>
                <w:color w:val="auto"/>
                <w:sz w:val="24"/>
                <w:szCs w:val="24"/>
                <w:highlight w:val="none"/>
                <w:lang w:val="en-US" w:eastAsia="zh-CN"/>
              </w:rPr>
              <w:t>4、土壤环境影响调查</w:t>
            </w:r>
          </w:p>
          <w:p w14:paraId="6C7E6C5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项目对土壤的影响主要是施工扰动造成水土流失，以及事故状态下可能对土壤造成污染，影响土壤环境质量。</w:t>
            </w:r>
          </w:p>
          <w:p w14:paraId="2C5CBC6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为调查项目建设可能对土壤环境产生的影响，本项目对井场内</w:t>
            </w:r>
            <w:r>
              <w:rPr>
                <w:rFonts w:hint="eastAsia" w:ascii="Times New Roman" w:hAnsi="Times New Roman" w:eastAsia="宋体" w:cs="Times New Roman"/>
                <w:color w:val="auto"/>
                <w:sz w:val="24"/>
                <w:szCs w:val="24"/>
                <w:highlight w:val="none"/>
                <w:lang w:val="en-US" w:eastAsia="zh-CN"/>
              </w:rPr>
              <w:t>、外</w:t>
            </w:r>
            <w:r>
              <w:rPr>
                <w:rFonts w:hint="default" w:ascii="Times New Roman" w:hAnsi="Times New Roman" w:eastAsia="宋体" w:cs="Times New Roman"/>
                <w:color w:val="auto"/>
                <w:sz w:val="24"/>
                <w:szCs w:val="24"/>
                <w:highlight w:val="none"/>
                <w:lang w:val="en-US" w:eastAsia="zh-CN"/>
              </w:rPr>
              <w:t>土壤进行了监测</w:t>
            </w:r>
            <w:r>
              <w:rPr>
                <w:rFonts w:hint="eastAsia" w:ascii="Times New Roman" w:hAnsi="Times New Roman" w:eastAsia="宋体" w:cs="Times New Roman"/>
                <w:color w:val="auto"/>
                <w:sz w:val="24"/>
                <w:szCs w:val="24"/>
                <w:highlight w:val="none"/>
                <w:lang w:val="en-US" w:eastAsia="zh-CN"/>
              </w:rPr>
              <w:t>（详见表8-1）</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default" w:ascii="Times New Roman" w:hAnsi="Times New Roman" w:eastAsia="宋体" w:cs="Times New Roman"/>
                <w:color w:val="auto"/>
                <w:sz w:val="24"/>
                <w:szCs w:val="24"/>
                <w:highlight w:val="none"/>
                <w:lang w:val="en-US" w:eastAsia="zh-CN"/>
              </w:rPr>
              <w:t>。因此</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项目验收调查范围内土壤环境受到建设项目的影响较小。</w:t>
            </w:r>
          </w:p>
          <w:p w14:paraId="116DBE9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5、</w:t>
            </w:r>
            <w:r>
              <w:rPr>
                <w:rFonts w:hint="default" w:ascii="Times New Roman" w:hAnsi="Times New Roman" w:eastAsia="宋体" w:cs="Times New Roman"/>
                <w:b/>
                <w:bCs/>
                <w:color w:val="auto"/>
                <w:sz w:val="24"/>
                <w:szCs w:val="24"/>
                <w:highlight w:val="none"/>
                <w:lang w:val="en-US" w:eastAsia="zh-CN"/>
              </w:rPr>
              <w:t>植被影响</w:t>
            </w:r>
            <w:r>
              <w:rPr>
                <w:rFonts w:hint="eastAsia" w:ascii="Times New Roman" w:hAnsi="Times New Roman" w:eastAsia="宋体" w:cs="Times New Roman"/>
                <w:b/>
                <w:bCs/>
                <w:color w:val="auto"/>
                <w:sz w:val="24"/>
                <w:szCs w:val="24"/>
                <w:highlight w:val="none"/>
                <w:lang w:val="en-US" w:eastAsia="zh-CN"/>
              </w:rPr>
              <w:t>、陆地动物及其栖息地的影响</w:t>
            </w:r>
            <w:r>
              <w:rPr>
                <w:rFonts w:hint="default" w:ascii="Times New Roman" w:hAnsi="Times New Roman" w:eastAsia="宋体" w:cs="Times New Roman"/>
                <w:b/>
                <w:bCs/>
                <w:color w:val="auto"/>
                <w:sz w:val="24"/>
                <w:szCs w:val="24"/>
                <w:highlight w:val="none"/>
                <w:lang w:val="en-US" w:eastAsia="zh-CN"/>
              </w:rPr>
              <w:t>调查</w:t>
            </w:r>
            <w:bookmarkEnd w:id="11"/>
            <w:bookmarkEnd w:id="12"/>
          </w:p>
          <w:p w14:paraId="7842724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bookmarkStart w:id="13" w:name="_Toc529516482"/>
            <w:bookmarkStart w:id="14" w:name="_Toc536625872"/>
            <w:r>
              <w:rPr>
                <w:rFonts w:hint="default" w:ascii="Times New Roman" w:hAnsi="Times New Roman" w:eastAsia="宋体" w:cs="Times New Roman"/>
                <w:color w:val="auto"/>
                <w:sz w:val="24"/>
                <w:szCs w:val="24"/>
                <w:highlight w:val="none"/>
                <w:lang w:val="en-US" w:eastAsia="zh-CN"/>
              </w:rPr>
              <w:t>项目施工过程中</w:t>
            </w:r>
            <w:r>
              <w:rPr>
                <w:rFonts w:hint="default" w:ascii="Times New Roman" w:hAnsi="Times New Roman" w:eastAsia="宋体" w:cs="Times New Roman"/>
                <w:color w:val="auto"/>
                <w:sz w:val="24"/>
                <w:szCs w:val="24"/>
                <w:highlight w:val="none"/>
              </w:rPr>
              <w:t>土方开挖、临时土堆的堆放</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用地范围内的植被受到一定程度的影响。首先</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场地平整直接破坏工程区域内的植被</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破坏了原地表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扰动原土层结构</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造成土层松动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形成坡面</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造成局部水土流失</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植被覆盖率下降；同时建筑材料、土石方弃料堆存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使局部区域植物被砍伐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原地表生态发生改变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形成水土流失；其次</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施工中的扬尘对附近植物正常生长产生轻微的不利影响。以上这些不利影响主要是短期的和局部的。钻井工程结束后</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施工单位及时清理了现场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对于临时占地都已进行平整</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生态恢复已</w:t>
            </w:r>
            <w:r>
              <w:rPr>
                <w:rFonts w:hint="default" w:ascii="Times New Roman" w:hAnsi="Times New Roman" w:eastAsia="宋体" w:cs="Times New Roman"/>
                <w:color w:val="auto"/>
                <w:sz w:val="24"/>
                <w:szCs w:val="24"/>
                <w:highlight w:val="none"/>
                <w:lang w:val="en-US" w:eastAsia="zh-CN"/>
              </w:rPr>
              <w:t>完成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对生态环境的影响很小。</w:t>
            </w:r>
          </w:p>
          <w:p w14:paraId="616C49F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项目所在区野生动物种类数量相对较少</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无国家级、省级重点保护野生动物分布</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也无保护动物的繁殖地及重要栖息地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无鱼类索饵场、越冬场及产卵场分布</w:t>
            </w:r>
            <w:r>
              <w:rPr>
                <w:rFonts w:hint="default" w:ascii="Times New Roman" w:hAnsi="Times New Roman" w:eastAsia="宋体" w:cs="Times New Roman"/>
                <w:color w:val="auto"/>
                <w:sz w:val="24"/>
                <w:szCs w:val="24"/>
                <w:highlight w:val="none"/>
                <w:lang w:val="en-US" w:eastAsia="zh-CN"/>
              </w:rPr>
              <w:t>。施工中已控制施工作业带，尽可能减少了对野生动物生境的影响；施工期在项目区未发现有野生动物的栖息地；施工期间加强管理，对工作人员进行了环保教育，施工期间未发生猎捕野生动物的现象，因此，施工期对野生动物的影响较小。</w:t>
            </w:r>
          </w:p>
          <w:p w14:paraId="382FADC9">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0" w:afterAutospacing="0" w:line="360" w:lineRule="auto"/>
              <w:ind w:left="0" w:right="0" w:rightChars="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 xml:space="preserve">    6、生态功能调查</w:t>
            </w:r>
          </w:p>
          <w:p w14:paraId="5AD6773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项目</w:t>
            </w:r>
            <w:r>
              <w:rPr>
                <w:rFonts w:hint="default" w:ascii="Times New Roman" w:hAnsi="Times New Roman" w:eastAsia="宋体" w:cs="Times New Roman"/>
                <w:color w:val="auto"/>
                <w:sz w:val="24"/>
                <w:szCs w:val="24"/>
                <w:highlight w:val="none"/>
                <w:lang w:val="en-US" w:eastAsia="zh-CN"/>
              </w:rPr>
              <w:t>勘探活动占地为临时占地，项目建设前后生态敏感目标功能完整性均未发生变化。对临时占地已采取生态减免、补偿措施。工程建设对周边土壤的影响较小。</w:t>
            </w:r>
          </w:p>
          <w:p w14:paraId="75F0BB4B">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7、水土流失影响调查</w:t>
            </w:r>
          </w:p>
          <w:p w14:paraId="4EFDC2C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本工程在钻前施工期间，影响环境的因素主要是在井场的建设阶段，在此期间会对场地进行平整，修建设备基础，可能引起水土流失。根据本次验收现场调查，项目进井道路</w:t>
            </w:r>
            <w:r>
              <w:rPr>
                <w:rFonts w:hint="default" w:ascii="Times New Roman" w:hAnsi="Times New Roman" w:eastAsia="宋体" w:cs="Times New Roman"/>
                <w:color w:val="auto"/>
                <w:sz w:val="24"/>
                <w:szCs w:val="24"/>
                <w:highlight w:val="none"/>
                <w:vertAlign w:val="baseline"/>
                <w:lang w:val="en-US" w:eastAsia="zh-CN"/>
              </w:rPr>
              <w:t>现已恢复原有土地使用性质。</w:t>
            </w:r>
            <w:r>
              <w:rPr>
                <w:rFonts w:hint="default" w:ascii="Times New Roman" w:hAnsi="Times New Roman" w:eastAsia="宋体" w:cs="Times New Roman"/>
                <w:color w:val="auto"/>
                <w:sz w:val="24"/>
                <w:szCs w:val="24"/>
                <w:highlight w:val="none"/>
                <w:lang w:val="en-US" w:eastAsia="zh-CN"/>
              </w:rPr>
              <w:t>井场施工严格控制作业范围，施工土方临时堆放采用篷布进行苫盖，设备基础修建及井场平整后挖填平衡，无弃方产生。本项目实施过程中，落实了水土保持措施，使水土流失将得到有效控制。</w:t>
            </w:r>
          </w:p>
          <w:p w14:paraId="12A8445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8、主要生态问题及采取的</w:t>
            </w:r>
            <w:r>
              <w:rPr>
                <w:rFonts w:hint="default" w:ascii="Times New Roman" w:hAnsi="Times New Roman" w:eastAsia="宋体" w:cs="Times New Roman"/>
                <w:b/>
                <w:bCs/>
                <w:color w:val="auto"/>
                <w:sz w:val="24"/>
                <w:szCs w:val="24"/>
                <w:highlight w:val="none"/>
                <w:lang w:val="en-US" w:eastAsia="zh-CN"/>
              </w:rPr>
              <w:t>生态保护措施</w:t>
            </w:r>
            <w:bookmarkEnd w:id="13"/>
            <w:bookmarkEnd w:id="14"/>
          </w:p>
          <w:p w14:paraId="1084006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根据调查，项目施工期采取的生态保护措施及有效性调查情况如下：</w:t>
            </w:r>
          </w:p>
          <w:p w14:paraId="7E9C399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（1）项目施工作业严格控制在评价区域内，未增加临时占地面积，未增加新的敏感区域</w:t>
            </w:r>
            <w:r>
              <w:rPr>
                <w:rFonts w:hint="default" w:ascii="Times New Roman" w:hAnsi="Times New Roman" w:eastAsia="宋体" w:cs="Times New Roman"/>
                <w:color w:val="auto"/>
                <w:sz w:val="24"/>
                <w:szCs w:val="24"/>
                <w:highlight w:val="none"/>
                <w:lang w:eastAsia="zh-CN"/>
              </w:rPr>
              <w:t>；</w:t>
            </w:r>
          </w:p>
          <w:p w14:paraId="4A2154E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（2）场地平整前先进行表土剥离，堆放在表土堆放场，后期进行覆土利用</w:t>
            </w:r>
            <w:r>
              <w:rPr>
                <w:rFonts w:hint="default" w:ascii="Times New Roman" w:hAnsi="Times New Roman" w:eastAsia="宋体" w:cs="Times New Roman"/>
                <w:color w:val="auto"/>
                <w:sz w:val="24"/>
                <w:szCs w:val="24"/>
                <w:highlight w:val="none"/>
                <w:lang w:val="en-US" w:eastAsia="zh-CN"/>
              </w:rPr>
              <w:t>；</w:t>
            </w:r>
          </w:p>
          <w:p w14:paraId="76E69D1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（3）施工期间加强生态环境保护教育，尽可能做到了减少对原有土壤与植被的破坏；</w:t>
            </w:r>
          </w:p>
          <w:p w14:paraId="52C3D33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（4）施工过程中采用泥浆不落地施工工艺，未对施工场地造成土壤污染；</w:t>
            </w:r>
          </w:p>
          <w:p w14:paraId="029B760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（5）试</w:t>
            </w:r>
            <w:r>
              <w:rPr>
                <w:rFonts w:hint="default" w:ascii="Times New Roman" w:hAnsi="Times New Roman" w:eastAsia="宋体" w:cs="Times New Roman"/>
                <w:color w:val="auto"/>
                <w:sz w:val="24"/>
                <w:szCs w:val="24"/>
                <w:highlight w:val="none"/>
                <w:lang w:val="en-US" w:eastAsia="zh-CN"/>
              </w:rPr>
              <w:t>油</w:t>
            </w:r>
            <w:r>
              <w:rPr>
                <w:rFonts w:hint="default" w:ascii="Times New Roman" w:hAnsi="Times New Roman" w:eastAsia="宋体" w:cs="Times New Roman"/>
                <w:color w:val="auto"/>
                <w:sz w:val="24"/>
                <w:szCs w:val="24"/>
                <w:highlight w:val="none"/>
              </w:rPr>
              <w:t>过程中采取了防井喷控制措施，未发生井喷事故；</w:t>
            </w:r>
          </w:p>
          <w:p w14:paraId="52E2136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（6）施工结束后对各类固废进行了清运，未发生遗留和泄漏事件。</w:t>
            </w:r>
          </w:p>
          <w:p w14:paraId="3479D02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根据现场踏勘，场地已恢复平整，JH2P42、JH2P44、良平101H场地已恢复平整，井口进行临时关井，待转产，除预留转为生产开发所需的面积外，对其余临时占地进行了恢复，对进场道路及井场周边等及时进行了绿化；长探105已永久封井，除井口外其余占地已平整并进行了绿化。对施工形成的边坡要采用工程和植物护坡的方式进行治理，提高植被覆盖率，减少水土流失，在种草前采取土地整治措施。采用机械与人工相结合的整地方式，翻耕深度0.3m，耙细并整平。</w:t>
            </w:r>
          </w:p>
          <w:p w14:paraId="5B6E0D7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eastAsia"/>
                <w:color w:val="auto"/>
                <w:highlight w:val="none"/>
                <w:lang w:val="en-US" w:eastAsia="zh-CN"/>
              </w:rPr>
            </w:pPr>
            <w:r>
              <w:rPr>
                <w:rFonts w:hint="default" w:ascii="Times New Roman" w:hAnsi="Times New Roman" w:eastAsia="宋体" w:cs="Times New Roman"/>
                <w:color w:val="auto"/>
                <w:sz w:val="24"/>
                <w:szCs w:val="24"/>
                <w:highlight w:val="none"/>
                <w:lang w:val="en-US" w:eastAsia="zh-CN"/>
              </w:rPr>
              <w:t>综上所述，项目施工期通过采取以上各项措施后，有效的减轻了项目施工对周围生态环境的影响</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井场施工前后，区域内生态系统未发生变化，符合环评要求，符合环境影响规划和功能区划的要求。</w:t>
            </w:r>
          </w:p>
        </w:tc>
      </w:tr>
      <w:tr w14:paraId="1147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368" w:type="dxa"/>
            <w:vMerge w:val="continue"/>
            <w:vAlign w:val="center"/>
          </w:tcPr>
          <w:p w14:paraId="5020AB6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p>
        </w:tc>
        <w:tc>
          <w:tcPr>
            <w:tcW w:w="525" w:type="dxa"/>
            <w:tcMar>
              <w:top w:w="85" w:type="dxa"/>
              <w:left w:w="108" w:type="dxa"/>
              <w:bottom w:w="85" w:type="dxa"/>
              <w:right w:w="108" w:type="dxa"/>
            </w:tcMar>
            <w:vAlign w:val="center"/>
          </w:tcPr>
          <w:p w14:paraId="6072FF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污染影响</w:t>
            </w:r>
          </w:p>
        </w:tc>
        <w:tc>
          <w:tcPr>
            <w:tcW w:w="7629" w:type="dxa"/>
            <w:tcMar>
              <w:top w:w="85" w:type="dxa"/>
              <w:left w:w="108" w:type="dxa"/>
              <w:bottom w:w="85" w:type="dxa"/>
              <w:right w:w="108" w:type="dxa"/>
            </w:tcMar>
            <w:vAlign w:val="center"/>
          </w:tcPr>
          <w:p w14:paraId="19910DC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经调查核实，项目施工期产生的各种污染物均得到了有效处置，未对当地水环境、大气环境、声环境产生污染影响。钻井工程施工期间，未发生污染事件以及环境投诉。</w:t>
            </w:r>
          </w:p>
          <w:p w14:paraId="4ABC92B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大气环境影响</w:t>
            </w:r>
            <w:r>
              <w:rPr>
                <w:rFonts w:hint="default" w:ascii="Times New Roman" w:hAnsi="Times New Roman" w:eastAsia="宋体" w:cs="Times New Roman"/>
                <w:b/>
                <w:bCs/>
                <w:color w:val="auto"/>
                <w:sz w:val="24"/>
                <w:szCs w:val="24"/>
                <w:highlight w:val="none"/>
                <w:lang w:eastAsia="zh-CN"/>
              </w:rPr>
              <w:t>调查</w:t>
            </w:r>
          </w:p>
          <w:p w14:paraId="1835117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本项目废气主要包括施工扬尘、施工过程中车辆与机械废气和钻井柴油发动机废气和井场试油、试气废气</w:t>
            </w:r>
            <w:r>
              <w:rPr>
                <w:rFonts w:hint="default" w:ascii="Times New Roman" w:hAnsi="Times New Roman" w:eastAsia="宋体" w:cs="Times New Roman"/>
                <w:color w:val="auto"/>
                <w:sz w:val="24"/>
                <w:szCs w:val="24"/>
                <w:highlight w:val="none"/>
                <w:lang w:val="en-US" w:eastAsia="zh-CN"/>
              </w:rPr>
              <w:t>。</w:t>
            </w:r>
          </w:p>
          <w:p w14:paraId="17B45D2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①开挖土方过程避开了大风天气，挖方用篷布遮盖，减少扬尘产生量。 </w:t>
            </w:r>
          </w:p>
          <w:p w14:paraId="627645C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②运输车辆加盖篷布，对施工道路、井场进行适量洒水，以降低扬尘。 </w:t>
            </w:r>
          </w:p>
          <w:p w14:paraId="3E6ED50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③选用环保型柴油发电机，使用优质轻柴油，简易排气筒排放；排气管朝向避开了农户分布及项目区工作人员办公生活的方位； </w:t>
            </w:r>
          </w:p>
          <w:p w14:paraId="27CD82C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④少量试油伴生气逸散；试气废气经放喷管放喷燃烧；本项目试油、气过程中无井喷事故发生。</w:t>
            </w:r>
          </w:p>
          <w:p w14:paraId="17B68D7E">
            <w:pPr>
              <w:pStyle w:val="8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color w:val="auto"/>
              </w:rPr>
              <w:t>⑤</w:t>
            </w:r>
            <w:r>
              <w:rPr>
                <w:rFonts w:hint="default" w:ascii="Times New Roman" w:hAnsi="Times New Roman" w:eastAsia="宋体" w:cs="Times New Roman"/>
                <w:color w:val="auto"/>
                <w:sz w:val="24"/>
                <w:szCs w:val="24"/>
                <w:highlight w:val="none"/>
              </w:rPr>
              <w:fldChar w:fldCharType="end"/>
            </w:r>
            <w:r>
              <w:rPr>
                <w:rFonts w:hint="eastAsia"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279DF78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项目建设对周边环境影响呈现阶段性、短期性、局部性影响，由于本项目施工区域主要在野外，居民点分散且数量较少，随着施工的结束环境影响已消失，无长期环境影响。</w:t>
            </w:r>
          </w:p>
          <w:p w14:paraId="5E352DA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eastAsia="zh-CN"/>
              </w:rPr>
              <w:t>水环境影响调查</w:t>
            </w:r>
          </w:p>
          <w:p w14:paraId="165546C9">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项目废水主要为施工废水和生活污水，施工废水来自钻井废水、洗井废水、压裂返排液及生活污水</w:t>
            </w:r>
            <w:r>
              <w:rPr>
                <w:rFonts w:hint="default" w:ascii="Times New Roman" w:hAnsi="Times New Roman" w:eastAsia="宋体" w:cs="Times New Roman"/>
                <w:color w:val="auto"/>
                <w:sz w:val="24"/>
                <w:szCs w:val="24"/>
                <w:highlight w:val="none"/>
                <w:lang w:val="en-US" w:eastAsia="zh-CN"/>
              </w:rPr>
              <w:t>。</w:t>
            </w:r>
          </w:p>
          <w:p w14:paraId="215F744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本项目采取泥浆不落地处理工艺，经固液分离后产生的钻井废水部分回用于配置钻井泥浆，不可回用部分同洗井废水、压裂返排液一起由地上收集罐统一收集，雨水经雨水罐收集，井下作业完成后，由防渗漏、防溢流的运输车辆统一转移至泾河8撬装式水净化站处理达标后回注油层，未外排。施工井场设置了移动式环保厕所，施工人员少量盥洗废水用于洒水降尘，无污水外排现象。</w:t>
            </w:r>
          </w:p>
          <w:p w14:paraId="145AB03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项目建设期间落实了环评及批复要求的环保措施，对周边环境影响有限</w:t>
            </w:r>
            <w:r>
              <w:rPr>
                <w:rFonts w:hint="default" w:ascii="Times New Roman" w:hAnsi="Times New Roman" w:eastAsia="宋体" w:cs="Times New Roman"/>
                <w:color w:val="auto"/>
                <w:sz w:val="24"/>
                <w:szCs w:val="24"/>
                <w:highlight w:val="none"/>
                <w:lang w:val="en-US" w:eastAsia="zh-CN"/>
              </w:rPr>
              <w:t>。</w:t>
            </w:r>
          </w:p>
          <w:p w14:paraId="0392B7D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lang w:val="en-US" w:eastAsia="zh-CN"/>
              </w:rPr>
              <w:t>声环境影响调查</w:t>
            </w:r>
          </w:p>
          <w:p w14:paraId="3A26AC4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w:t>
            </w:r>
            <w:r>
              <w:rPr>
                <w:rFonts w:hint="eastAsia" w:ascii="Times New Roman" w:hAnsi="Times New Roman" w:eastAsia="宋体" w:cs="Times New Roman"/>
                <w:color w:val="auto"/>
                <w:sz w:val="24"/>
                <w:szCs w:val="24"/>
                <w:highlight w:val="none"/>
                <w:lang w:val="en-US" w:eastAsia="zh-CN"/>
              </w:rPr>
              <w:t>走访周围敏感点</w:t>
            </w:r>
            <w:r>
              <w:rPr>
                <w:rFonts w:hint="default" w:ascii="Times New Roman" w:hAnsi="Times New Roman" w:eastAsia="宋体" w:cs="Times New Roman"/>
                <w:color w:val="auto"/>
                <w:sz w:val="24"/>
                <w:szCs w:val="24"/>
                <w:highlight w:val="none"/>
                <w:lang w:val="en-US" w:eastAsia="zh-CN"/>
              </w:rPr>
              <w:t>，项目施工期间的噪声主要来源于正常生产过程中机械噪声和测试放喷时产生的气流噪声。施工单位采取了有效的环保措施，如采用低噪声机械和施工工艺，采取隔声、减振、消声、加强设备的日常维护和保养，加强管理等噪声控制措施；而噪声影响随着施工的结束而结束；因此，项目施工期对周围居民声环境影响较小。施工期无遗留噪声污染问题，未发现公众举报现象。</w:t>
            </w:r>
          </w:p>
          <w:p w14:paraId="670552A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4.</w:t>
            </w:r>
            <w:r>
              <w:rPr>
                <w:rFonts w:hint="default" w:ascii="Times New Roman" w:hAnsi="Times New Roman" w:eastAsia="宋体" w:cs="Times New Roman"/>
                <w:b/>
                <w:bCs/>
                <w:color w:val="auto"/>
                <w:sz w:val="24"/>
                <w:szCs w:val="24"/>
                <w:highlight w:val="none"/>
                <w:lang w:val="en-US" w:eastAsia="zh-CN"/>
              </w:rPr>
              <w:t>固体废物影响调查</w:t>
            </w:r>
          </w:p>
          <w:p w14:paraId="3E7ABF5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本项目施工期固体废物主要为</w:t>
            </w:r>
            <w:r>
              <w:rPr>
                <w:rFonts w:hint="eastAsia" w:ascii="Times New Roman" w:hAnsi="Times New Roman" w:eastAsia="宋体" w:cs="Times New Roman"/>
                <w:color w:val="auto"/>
                <w:spacing w:val="0"/>
                <w:sz w:val="24"/>
                <w:szCs w:val="24"/>
                <w:highlight w:val="none"/>
                <w:lang w:val="en-US" w:eastAsia="zh-CN"/>
              </w:rPr>
              <w:t>废弃钻井泥浆、钻井岩屑（不含油、纯碱、膨润土废弃包装、废防渗布（不含油）、建筑垃圾、生活垃圾及危险废物（废过硫酸钾包装袋、落地油、废机油、废润滑油、废防渗布（沾落地油）、废含油抹布、含油压裂砂、含油岩屑</w:t>
            </w:r>
            <w:r>
              <w:rPr>
                <w:rFonts w:hint="eastAsia" w:ascii="Times New Roman" w:hAnsi="Times New Roman" w:eastAsia="宋体" w:cs="Times New Roman"/>
                <w:color w:val="auto"/>
                <w:sz w:val="24"/>
                <w:szCs w:val="24"/>
                <w:highlight w:val="none"/>
                <w:lang w:val="en-US" w:eastAsia="zh-CN"/>
              </w:rPr>
              <w:t>。</w:t>
            </w:r>
          </w:p>
          <w:p w14:paraId="73A37AC7">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经调查，</w:t>
            </w:r>
            <w:r>
              <w:rPr>
                <w:rFonts w:hint="default" w:ascii="Times New Roman" w:hAnsi="Times New Roman" w:eastAsia="宋体" w:cs="Times New Roman"/>
                <w:color w:val="auto"/>
                <w:spacing w:val="0"/>
                <w:sz w:val="24"/>
                <w:szCs w:val="24"/>
                <w:highlight w:val="none"/>
                <w:lang w:val="en-US" w:eastAsia="zh-CN"/>
              </w:rPr>
              <w:t>废弃钻井泥浆、钻井岩屑（不含油）：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采用“下铺上盖”方式。纯碱、膨润土废弃包装、废防渗布（不含油）由钻井</w:t>
            </w:r>
            <w:r>
              <w:rPr>
                <w:rFonts w:hint="eastAsia" w:ascii="Times New Roman" w:hAnsi="Times New Roman" w:eastAsia="宋体" w:cs="Times New Roman"/>
                <w:color w:val="auto"/>
                <w:spacing w:val="0"/>
                <w:sz w:val="24"/>
                <w:szCs w:val="24"/>
                <w:highlight w:val="none"/>
                <w:lang w:val="en-US" w:eastAsia="zh-CN"/>
              </w:rPr>
              <w:t>单位（志丹永宏50718队、五普50839HB、五普50839HB、五普40837HB）</w:t>
            </w:r>
            <w:r>
              <w:rPr>
                <w:rFonts w:hint="default" w:ascii="Times New Roman" w:hAnsi="Times New Roman" w:eastAsia="宋体" w:cs="Times New Roman"/>
                <w:color w:val="auto"/>
                <w:spacing w:val="0"/>
                <w:sz w:val="24"/>
                <w:szCs w:val="24"/>
                <w:highlight w:val="none"/>
                <w:lang w:val="en-US" w:eastAsia="zh-CN"/>
              </w:rPr>
              <w:t>回收综合利用。</w:t>
            </w:r>
            <w:r>
              <w:rPr>
                <w:rFonts w:hint="eastAsia" w:ascii="Times New Roman" w:hAnsi="Times New Roman" w:eastAsia="宋体" w:cs="Times New Roman"/>
                <w:color w:val="auto"/>
                <w:spacing w:val="0"/>
                <w:sz w:val="24"/>
                <w:szCs w:val="24"/>
                <w:highlight w:val="none"/>
                <w:lang w:val="en-US" w:eastAsia="zh-CN"/>
              </w:rPr>
              <w:t>不含油压裂砂由厂家回收利用</w:t>
            </w:r>
          </w:p>
          <w:p w14:paraId="63763BC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施工期未产生建筑垃圾。</w:t>
            </w:r>
            <w:r>
              <w:rPr>
                <w:rFonts w:hint="eastAsia" w:ascii="Times New Roman" w:hAnsi="Times New Roman" w:eastAsia="宋体" w:cs="Times New Roman"/>
                <w:color w:val="auto"/>
                <w:spacing w:val="0"/>
                <w:w w:val="100"/>
                <w:sz w:val="24"/>
                <w:szCs w:val="24"/>
                <w:highlight w:val="none"/>
                <w:lang w:val="en-US" w:eastAsia="zh-CN" w:bidi="ar-SA"/>
              </w:rPr>
              <w:t>废机油、废润滑油采用废油回收桶（0.5m</w:t>
            </w:r>
            <w:r>
              <w:rPr>
                <w:rFonts w:hint="eastAsia" w:ascii="Times New Roman" w:hAnsi="Times New Roman" w:eastAsia="宋体" w:cs="Times New Roman"/>
                <w:color w:val="auto"/>
                <w:spacing w:val="0"/>
                <w:w w:val="100"/>
                <w:sz w:val="24"/>
                <w:szCs w:val="24"/>
                <w:highlight w:val="none"/>
                <w:vertAlign w:val="superscript"/>
                <w:lang w:val="en-US" w:eastAsia="zh-CN" w:bidi="ar-SA"/>
              </w:rPr>
              <w:t>3</w:t>
            </w:r>
            <w:r>
              <w:rPr>
                <w:rFonts w:hint="eastAsia" w:ascii="Times New Roman" w:hAnsi="Times New Roman" w:eastAsia="宋体" w:cs="Times New Roman"/>
                <w:color w:val="auto"/>
                <w:spacing w:val="0"/>
                <w:w w:val="100"/>
                <w:sz w:val="24"/>
                <w:szCs w:val="24"/>
                <w:highlight w:val="none"/>
                <w:lang w:val="en-US" w:eastAsia="zh-CN" w:bidi="ar-SA"/>
              </w:rPr>
              <w:t>）收集至临时危废贮存库暂存后，定期委托平凉海螺环保科技有限责任公司外运处置。</w:t>
            </w:r>
            <w:r>
              <w:rPr>
                <w:rFonts w:hint="default" w:ascii="Times New Roman" w:hAnsi="Times New Roman" w:eastAsia="宋体" w:cs="Times New Roman"/>
                <w:color w:val="auto"/>
                <w:spacing w:val="0"/>
                <w:sz w:val="24"/>
                <w:szCs w:val="24"/>
                <w:highlight w:val="none"/>
                <w:lang w:val="en-US" w:eastAsia="zh-CN"/>
              </w:rPr>
              <w:t>含油岩屑</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落地油</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被污染的防渗布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废含油抹布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废过硫酸钾包装袋</w:t>
            </w:r>
            <w:r>
              <w:rPr>
                <w:rFonts w:hint="eastAsia" w:ascii="Times New Roman" w:hAnsi="Times New Roman" w:eastAsia="宋体" w:cs="Times New Roman"/>
                <w:color w:val="auto"/>
                <w:spacing w:val="0"/>
                <w:sz w:val="24"/>
                <w:szCs w:val="24"/>
                <w:highlight w:val="none"/>
                <w:lang w:val="en-US" w:eastAsia="zh-CN"/>
              </w:rPr>
              <w:t>、含油压裂砂经收集暂存于临时危废贮存库后，</w:t>
            </w:r>
            <w:r>
              <w:rPr>
                <w:rFonts w:hint="default" w:ascii="Times New Roman" w:hAnsi="Times New Roman" w:eastAsia="宋体" w:cs="Times New Roman"/>
                <w:color w:val="auto"/>
                <w:spacing w:val="0"/>
                <w:sz w:val="24"/>
                <w:szCs w:val="24"/>
                <w:highlight w:val="none"/>
                <w:lang w:val="en-US" w:eastAsia="zh-CN"/>
              </w:rPr>
              <w:t>委托庆阳丰泰环保有限责任公司进行安全处置</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施工场地设置生活垃圾箱（桶）</w:t>
            </w:r>
            <w:r>
              <w:rPr>
                <w:rFonts w:hint="eastAsia" w:ascii="Times New Roman" w:hAnsi="Times New Roman" w:eastAsia="宋体" w:cs="Times New Roman"/>
                <w:color w:val="auto"/>
                <w:spacing w:val="0"/>
                <w:sz w:val="24"/>
                <w:szCs w:val="24"/>
                <w:highlight w:val="none"/>
                <w:lang w:val="en-US" w:eastAsia="zh-CN"/>
              </w:rPr>
              <w:t>，经收集后交由就近的生活垃圾中转站。</w:t>
            </w:r>
          </w:p>
          <w:p w14:paraId="0D93ED0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综上，本项目施工期产生的各种固体废物均采取了有效的合理化和无害化处理措施，根据现场调查，施工期无遗留固废污染问题，未发现公众举报现象。未产生二次污染。</w:t>
            </w:r>
          </w:p>
        </w:tc>
      </w:tr>
      <w:tr w14:paraId="77C6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68" w:type="dxa"/>
            <w:vMerge w:val="continue"/>
            <w:vAlign w:val="center"/>
          </w:tcPr>
          <w:p w14:paraId="0B58AD4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6F77B4A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清洁生产调查</w:t>
            </w:r>
          </w:p>
        </w:tc>
        <w:tc>
          <w:tcPr>
            <w:tcW w:w="7629" w:type="dxa"/>
            <w:tcMar>
              <w:top w:w="85" w:type="dxa"/>
              <w:left w:w="108" w:type="dxa"/>
              <w:bottom w:w="85" w:type="dxa"/>
              <w:right w:w="108" w:type="dxa"/>
            </w:tcMar>
            <w:vAlign w:val="center"/>
          </w:tcPr>
          <w:p w14:paraId="53A55B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建设单位按照清洁生产的要求进行施工，具体调查如下：</w:t>
            </w:r>
          </w:p>
          <w:p w14:paraId="132ED2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1、绿色钻井技术</w:t>
            </w:r>
          </w:p>
          <w:p w14:paraId="797D29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（1）</w:t>
            </w:r>
            <w:r>
              <w:rPr>
                <w:rFonts w:hint="default" w:ascii="Times New Roman" w:hAnsi="Times New Roman" w:eastAsia="宋体" w:cs="Times New Roman"/>
                <w:color w:val="auto"/>
                <w:sz w:val="24"/>
                <w:szCs w:val="24"/>
                <w:highlight w:val="none"/>
                <w:lang w:val="en-US" w:eastAsia="zh-CN" w:bidi="ar-SA"/>
              </w:rPr>
              <w:t>井口安装防喷器，减少井喷事故的概率。加强油井井口的密闭，加装密封垫，减少井口</w:t>
            </w:r>
            <w:r>
              <w:rPr>
                <w:rFonts w:hint="eastAsia" w:ascii="Times New Roman" w:hAnsi="Times New Roman" w:eastAsia="宋体" w:cs="Times New Roman"/>
                <w:color w:val="auto"/>
                <w:sz w:val="24"/>
                <w:szCs w:val="24"/>
                <w:highlight w:val="none"/>
                <w:lang w:val="en-US" w:eastAsia="zh-CN" w:bidi="ar-SA"/>
              </w:rPr>
              <w:t>烃</w:t>
            </w:r>
            <w:r>
              <w:rPr>
                <w:rFonts w:hint="default" w:ascii="Times New Roman" w:hAnsi="Times New Roman" w:eastAsia="宋体" w:cs="Times New Roman"/>
                <w:color w:val="auto"/>
                <w:sz w:val="24"/>
                <w:szCs w:val="24"/>
                <w:highlight w:val="none"/>
                <w:lang w:val="en-US" w:eastAsia="zh-CN" w:bidi="ar-SA"/>
              </w:rPr>
              <w:t>类的无组织挥发。</w:t>
            </w:r>
          </w:p>
          <w:p w14:paraId="0CC9BB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（2）</w:t>
            </w:r>
            <w:r>
              <w:rPr>
                <w:rFonts w:hint="default" w:ascii="Times New Roman" w:hAnsi="Times New Roman" w:eastAsia="宋体" w:cs="Times New Roman"/>
                <w:color w:val="auto"/>
                <w:sz w:val="24"/>
                <w:szCs w:val="24"/>
                <w:highlight w:val="none"/>
                <w:lang w:val="en-US" w:eastAsia="zh-CN" w:bidi="ar-SA"/>
              </w:rPr>
              <w:t>项目区域采取分区防渗措施；</w:t>
            </w:r>
            <w:r>
              <w:rPr>
                <w:rFonts w:hint="eastAsia" w:ascii="Times New Roman" w:hAnsi="Times New Roman" w:eastAsia="宋体" w:cs="Times New Roman"/>
                <w:color w:val="auto"/>
                <w:sz w:val="24"/>
                <w:szCs w:val="24"/>
                <w:highlight w:val="none"/>
                <w:lang w:val="en-US" w:eastAsia="zh-CN" w:bidi="ar-SA"/>
              </w:rPr>
              <w:t>分区防渗的要求详见表4-3</w:t>
            </w:r>
            <w:r>
              <w:rPr>
                <w:rFonts w:hint="default" w:ascii="Times New Roman" w:hAnsi="Times New Roman" w:eastAsia="宋体" w:cs="Times New Roman"/>
                <w:color w:val="auto"/>
                <w:sz w:val="24"/>
                <w:szCs w:val="24"/>
                <w:highlight w:val="none"/>
                <w:lang w:val="en-US" w:eastAsia="zh-CN" w:bidi="ar-SA"/>
              </w:rPr>
              <w:t>。防止对地下水造成污染。</w:t>
            </w:r>
          </w:p>
          <w:p w14:paraId="2CE4F5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（3）</w:t>
            </w:r>
            <w:r>
              <w:rPr>
                <w:rFonts w:hint="eastAsia" w:ascii="Times New Roman" w:hAnsi="Times New Roman" w:eastAsia="宋体" w:cs="Times New Roman"/>
                <w:color w:val="auto"/>
                <w:sz w:val="24"/>
                <w:szCs w:val="24"/>
                <w:highlight w:val="none"/>
                <w:lang w:val="en-US" w:eastAsia="zh-CN"/>
              </w:rPr>
              <w:t>废水、固废收集处理见上文。</w:t>
            </w:r>
          </w:p>
          <w:p w14:paraId="261C55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针对本项目建设的特征及工程分析，从原材料能源的利用、</w:t>
            </w:r>
            <w:r>
              <w:rPr>
                <w:rFonts w:hint="eastAsia" w:ascii="Times New Roman" w:hAnsi="Times New Roman" w:eastAsia="宋体" w:cs="Times New Roman"/>
                <w:color w:val="auto"/>
                <w:sz w:val="24"/>
                <w:szCs w:val="24"/>
                <w:highlight w:val="none"/>
                <w:lang w:val="en-US" w:eastAsia="zh-CN" w:bidi="ar-SA"/>
              </w:rPr>
              <w:t>建设</w:t>
            </w:r>
            <w:r>
              <w:rPr>
                <w:rFonts w:hint="default" w:ascii="Times New Roman" w:hAnsi="Times New Roman" w:eastAsia="宋体" w:cs="Times New Roman"/>
                <w:color w:val="auto"/>
                <w:sz w:val="24"/>
                <w:szCs w:val="24"/>
                <w:highlight w:val="none"/>
                <w:lang w:val="en-US" w:eastAsia="zh-CN" w:bidi="ar-SA"/>
              </w:rPr>
              <w:t>工程的合理性、生产工艺、废弃物处理、管理及员工等方面均在一定程度上采用了清洁生产要求，最大限度的减少了对环境的污染和对生态环境的破坏。本项目的开发采用的设备、工艺及产排污水平符合清洁生产要求。</w:t>
            </w:r>
          </w:p>
        </w:tc>
      </w:tr>
      <w:tr w14:paraId="1FDF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trPr>
        <w:tc>
          <w:tcPr>
            <w:tcW w:w="368" w:type="dxa"/>
            <w:vMerge w:val="continue"/>
            <w:vAlign w:val="center"/>
          </w:tcPr>
          <w:p w14:paraId="66740EE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1D929E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环境风险事故防范及应急措施调查</w:t>
            </w:r>
          </w:p>
        </w:tc>
        <w:tc>
          <w:tcPr>
            <w:tcW w:w="7629" w:type="dxa"/>
            <w:tcMar>
              <w:top w:w="85" w:type="dxa"/>
              <w:left w:w="108" w:type="dxa"/>
              <w:bottom w:w="85" w:type="dxa"/>
              <w:right w:w="108" w:type="dxa"/>
            </w:tcMar>
            <w:vAlign w:val="center"/>
          </w:tcPr>
          <w:p w14:paraId="428434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建设单位编制了《突发环境事件应急预案》，经调查本项目在施工过程中未发生突发环境事故。本项目通过以下方面进行环境风险事故防范。</w:t>
            </w:r>
          </w:p>
          <w:p w14:paraId="1E3300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（1）</w:t>
            </w:r>
            <w:r>
              <w:rPr>
                <w:rFonts w:hint="default" w:ascii="Times New Roman" w:hAnsi="Times New Roman" w:eastAsia="宋体" w:cs="Times New Roman"/>
                <w:color w:val="auto"/>
                <w:sz w:val="24"/>
                <w:szCs w:val="24"/>
                <w:highlight w:val="none"/>
                <w:lang w:val="en-US" w:eastAsia="zh-CN" w:bidi="ar-SA"/>
              </w:rPr>
              <w:t>组织机构与职责</w:t>
            </w:r>
          </w:p>
          <w:p w14:paraId="102845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本公司突发环境事件应急组织体系</w:t>
            </w:r>
            <w:r>
              <w:rPr>
                <w:rFonts w:hint="eastAsia" w:ascii="Times New Roman" w:hAnsi="Times New Roman" w:eastAsia="宋体" w:cs="Times New Roman"/>
                <w:color w:val="auto"/>
                <w:sz w:val="24"/>
                <w:szCs w:val="24"/>
                <w:highlight w:val="none"/>
                <w:lang w:val="en-US" w:eastAsia="zh-CN" w:bidi="ar-SA"/>
              </w:rPr>
              <w:t>由应急领导小组、应急办公室、安全环保组、外部邻近消防资源、现场应急小组、事发单位承包商环境应急处置小组组成</w:t>
            </w:r>
            <w:r>
              <w:rPr>
                <w:rFonts w:hint="default" w:ascii="Times New Roman" w:hAnsi="Times New Roman" w:eastAsia="宋体" w:cs="Times New Roman"/>
                <w:color w:val="auto"/>
                <w:sz w:val="24"/>
                <w:szCs w:val="24"/>
                <w:highlight w:val="none"/>
                <w:lang w:val="en-US" w:eastAsia="zh-CN" w:bidi="ar-SA"/>
              </w:rPr>
              <w:t>。各工作组分别由相关专业人员组成，紧急状态下，由应急救援指挥部统一指挥，分兵把关，各司其职，迅速展开救援工作，承担紧急抢险救援任务。</w:t>
            </w:r>
            <w:r>
              <w:rPr>
                <w:rFonts w:hint="eastAsia" w:ascii="Times New Roman" w:hAnsi="Times New Roman" w:eastAsia="宋体" w:cs="Times New Roman"/>
                <w:color w:val="auto"/>
                <w:sz w:val="24"/>
                <w:szCs w:val="24"/>
                <w:highlight w:val="none"/>
                <w:lang w:val="en-US" w:eastAsia="zh-CN" w:bidi="ar-SA"/>
              </w:rPr>
              <w:t>项目组应急组织体系结构图见下图。</w:t>
            </w:r>
          </w:p>
          <w:p w14:paraId="64165391">
            <w:pPr>
              <w:pStyle w:val="16"/>
              <w:keepNext w:val="0"/>
              <w:keepLines w:val="0"/>
              <w:widowControl w:val="0"/>
              <w:suppressLineNumbers w:val="0"/>
              <w:spacing w:before="0" w:beforeAutospacing="0" w:after="0" w:afterAutospacing="0"/>
              <w:ind w:left="0" w:right="0"/>
              <w:jc w:val="center"/>
              <w:rPr>
                <w:rFonts w:hint="eastAsia"/>
                <w:color w:val="auto"/>
                <w:sz w:val="24"/>
                <w:szCs w:val="24"/>
                <w:lang w:val="en-US" w:eastAsia="zh-CN"/>
              </w:rPr>
            </w:pPr>
            <w:r>
              <w:rPr>
                <w:rFonts w:hint="default" w:ascii="Calibri" w:hAnsi="Calibri" w:eastAsia="宋体" w:cs="Times New Roman"/>
                <w:color w:val="auto"/>
                <w:kern w:val="0"/>
                <w:sz w:val="24"/>
                <w:szCs w:val="24"/>
              </w:rPr>
              <mc:AlternateContent>
                <mc:Choice Requires="wpg">
                  <w:drawing>
                    <wp:inline distT="0" distB="0" distL="114300" distR="114300">
                      <wp:extent cx="4709160" cy="2544445"/>
                      <wp:effectExtent l="4445" t="4445" r="10795" b="16510"/>
                      <wp:docPr id="15" name="组合 15"/>
                      <wp:cNvGraphicFramePr/>
                      <a:graphic xmlns:a="http://schemas.openxmlformats.org/drawingml/2006/main">
                        <a:graphicData uri="http://schemas.microsoft.com/office/word/2010/wordprocessingGroup">
                          <wpg:wgp>
                            <wpg:cNvGrpSpPr/>
                            <wpg:grpSpPr>
                              <a:xfrm>
                                <a:off x="0" y="0"/>
                                <a:ext cx="4709164" cy="2544445"/>
                                <a:chOff x="7876" y="284235"/>
                                <a:chExt cx="7365" cy="3515"/>
                              </a:xfrm>
                            </wpg:grpSpPr>
                            <wps:wsp>
                              <wps:cNvPr id="16" name="流程图: 过程 7"/>
                              <wps:cNvSpPr/>
                              <wps:spPr>
                                <a:xfrm>
                                  <a:off x="10493" y="284235"/>
                                  <a:ext cx="2608" cy="73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2D30CFC">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wps:txbx>
                              <wps:bodyPr upright="1"/>
                            </wps:wsp>
                            <wps:wsp>
                              <wps:cNvPr id="18" name="流程图: 过程 12"/>
                              <wps:cNvSpPr/>
                              <wps:spPr>
                                <a:xfrm>
                                  <a:off x="10378" y="285266"/>
                                  <a:ext cx="283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D02457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wps:txbx>
                              <wps:bodyPr upright="1"/>
                            </wps:wsp>
                            <wps:wsp>
                              <wps:cNvPr id="19" name="流程图: 过程 13"/>
                              <wps:cNvSpPr/>
                              <wps:spPr>
                                <a:xfrm>
                                  <a:off x="13654" y="285256"/>
                                  <a:ext cx="1587" cy="43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E65E9AD">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wps:txbx>
                              <wps:bodyPr upright="1"/>
                            </wps:wsp>
                            <wps:wsp>
                              <wps:cNvPr id="20" name="流程图: 过程 14"/>
                              <wps:cNvSpPr/>
                              <wps:spPr>
                                <a:xfrm>
                                  <a:off x="10724" y="286969"/>
                                  <a:ext cx="2154" cy="73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98B0805">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事发单位承包商环境应急处置小组</w:t>
                                    </w:r>
                                  </w:p>
                                </w:txbxContent>
                              </wps:txbx>
                              <wps:bodyPr upright="1"/>
                            </wps:wsp>
                            <wps:wsp>
                              <wps:cNvPr id="21" name="流程图: 过程 15"/>
                              <wps:cNvSpPr/>
                              <wps:spPr>
                                <a:xfrm>
                                  <a:off x="10724" y="286215"/>
                                  <a:ext cx="214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83A7914">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wps:txbx>
                              <wps:bodyPr upright="1"/>
                            </wps:wsp>
                            <wps:wsp>
                              <wps:cNvPr id="30" name="流程图: 过程 16"/>
                              <wps:cNvSpPr/>
                              <wps:spPr>
                                <a:xfrm>
                                  <a:off x="7876" y="285267"/>
                                  <a:ext cx="2041"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B623549">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wps:txbx>
                              <wps:bodyPr upright="1"/>
                            </wps:wsp>
                            <wps:wsp>
                              <wps:cNvPr id="31" name="直接连接符 17"/>
                              <wps:cNvCnPr/>
                              <wps:spPr>
                                <a:xfrm>
                                  <a:off x="11796" y="284890"/>
                                  <a:ext cx="1" cy="377"/>
                                </a:xfrm>
                                <a:prstGeom prst="line">
                                  <a:avLst/>
                                </a:prstGeom>
                                <a:ln w="19050" cap="flat" cmpd="sng">
                                  <a:solidFill>
                                    <a:srgbClr val="000000"/>
                                  </a:solidFill>
                                  <a:prstDash val="solid"/>
                                  <a:headEnd type="none" w="med" len="med"/>
                                  <a:tailEnd type="arrow" w="med" len="med"/>
                                </a:ln>
                              </wps:spPr>
                              <wps:bodyPr upright="1"/>
                            </wps:wsp>
                            <wps:wsp>
                              <wps:cNvPr id="33" name="直接连接符 18"/>
                              <wps:cNvCnPr/>
                              <wps:spPr>
                                <a:xfrm>
                                  <a:off x="11796" y="285703"/>
                                  <a:ext cx="1" cy="378"/>
                                </a:xfrm>
                                <a:prstGeom prst="line">
                                  <a:avLst/>
                                </a:prstGeom>
                                <a:ln w="19050" cap="flat" cmpd="sng">
                                  <a:solidFill>
                                    <a:srgbClr val="000000"/>
                                  </a:solidFill>
                                  <a:prstDash val="solid"/>
                                  <a:headEnd type="none" w="med" len="med"/>
                                  <a:tailEnd type="arrow" w="med" len="med"/>
                                </a:ln>
                              </wps:spPr>
                              <wps:bodyPr upright="1"/>
                            </wps:wsp>
                            <wps:wsp>
                              <wps:cNvPr id="34" name="直接连接符 19"/>
                              <wps:cNvCnPr/>
                              <wps:spPr>
                                <a:xfrm>
                                  <a:off x="11797" y="286639"/>
                                  <a:ext cx="2" cy="330"/>
                                </a:xfrm>
                                <a:prstGeom prst="line">
                                  <a:avLst/>
                                </a:prstGeom>
                                <a:ln w="19050" cap="flat" cmpd="sng">
                                  <a:solidFill>
                                    <a:srgbClr val="000000"/>
                                  </a:solidFill>
                                  <a:prstDash val="solid"/>
                                  <a:headEnd type="none" w="med" len="med"/>
                                  <a:tailEnd type="arrow" w="med" len="med"/>
                                </a:ln>
                              </wps:spPr>
                              <wps:bodyPr upright="1"/>
                            </wps:wsp>
                            <wps:wsp>
                              <wps:cNvPr id="49" name="直接连接符 20"/>
                              <wps:cNvCnPr/>
                              <wps:spPr>
                                <a:xfrm>
                                  <a:off x="13209" y="285354"/>
                                  <a:ext cx="454" cy="1"/>
                                </a:xfrm>
                                <a:prstGeom prst="line">
                                  <a:avLst/>
                                </a:prstGeom>
                                <a:ln w="12700" cap="flat" cmpd="sng">
                                  <a:solidFill>
                                    <a:srgbClr val="000000"/>
                                  </a:solidFill>
                                  <a:prstDash val="solid"/>
                                  <a:headEnd type="none" w="med" len="med"/>
                                  <a:tailEnd type="arrow" w="med" len="med"/>
                                </a:ln>
                              </wps:spPr>
                              <wps:bodyPr upright="1"/>
                            </wps:wsp>
                            <wps:wsp>
                              <wps:cNvPr id="51" name="直接连接符 21"/>
                              <wps:cNvCnPr/>
                              <wps:spPr>
                                <a:xfrm flipH="1">
                                  <a:off x="13200" y="285564"/>
                                  <a:ext cx="454" cy="1"/>
                                </a:xfrm>
                                <a:prstGeom prst="line">
                                  <a:avLst/>
                                </a:prstGeom>
                                <a:ln w="12700" cap="flat" cmpd="sng">
                                  <a:solidFill>
                                    <a:srgbClr val="000000"/>
                                  </a:solidFill>
                                  <a:prstDash val="dash"/>
                                  <a:headEnd type="none" w="med" len="med"/>
                                  <a:tailEnd type="arrow" w="med" len="med"/>
                                </a:ln>
                              </wps:spPr>
                              <wps:bodyPr upright="1"/>
                            </wps:wsp>
                            <wps:wsp>
                              <wps:cNvPr id="52" name="直接连接符 22"/>
                              <wps:cNvCnPr/>
                              <wps:spPr>
                                <a:xfrm>
                                  <a:off x="9932" y="285467"/>
                                  <a:ext cx="454" cy="1"/>
                                </a:xfrm>
                                <a:prstGeom prst="line">
                                  <a:avLst/>
                                </a:prstGeom>
                                <a:ln w="12700" cap="flat" cmpd="sng">
                                  <a:solidFill>
                                    <a:srgbClr val="000000"/>
                                  </a:solidFill>
                                  <a:prstDash val="dash"/>
                                  <a:headEnd type="none" w="med" len="med"/>
                                  <a:tailEnd type="arrow" w="med" len="med"/>
                                </a:ln>
                              </wps:spPr>
                              <wps:bodyPr upright="1"/>
                            </wps:wsp>
                            <wps:wsp>
                              <wps:cNvPr id="53" name="直接连接符 23"/>
                              <wps:cNvCnPr/>
                              <wps:spPr>
                                <a:xfrm>
                                  <a:off x="10436" y="286100"/>
                                  <a:ext cx="2721" cy="0"/>
                                </a:xfrm>
                                <a:prstGeom prst="line">
                                  <a:avLst/>
                                </a:prstGeom>
                                <a:ln w="9525" cap="sq" cmpd="sng">
                                  <a:solidFill>
                                    <a:srgbClr val="000000"/>
                                  </a:solidFill>
                                  <a:prstDash val="sysDot"/>
                                  <a:headEnd type="none" w="med" len="med"/>
                                  <a:tailEnd type="none" w="med" len="med"/>
                                </a:ln>
                              </wps:spPr>
                              <wps:bodyPr upright="1"/>
                            </wps:wsp>
                            <wps:wsp>
                              <wps:cNvPr id="54" name="直接连接符 24"/>
                              <wps:cNvCnPr/>
                              <wps:spPr>
                                <a:xfrm>
                                  <a:off x="10437" y="287750"/>
                                  <a:ext cx="2721" cy="0"/>
                                </a:xfrm>
                                <a:prstGeom prst="line">
                                  <a:avLst/>
                                </a:prstGeom>
                                <a:ln w="9525" cap="sq" cmpd="sng">
                                  <a:solidFill>
                                    <a:srgbClr val="000000"/>
                                  </a:solidFill>
                                  <a:prstDash val="sysDot"/>
                                  <a:headEnd type="none" w="med" len="med"/>
                                  <a:tailEnd type="none" w="med" len="med"/>
                                </a:ln>
                              </wps:spPr>
                              <wps:bodyPr upright="1"/>
                            </wps:wsp>
                            <wps:wsp>
                              <wps:cNvPr id="55" name="直接连接符 25"/>
                              <wps:cNvCnPr/>
                              <wps:spPr>
                                <a:xfrm>
                                  <a:off x="10442" y="286095"/>
                                  <a:ext cx="1" cy="1650"/>
                                </a:xfrm>
                                <a:prstGeom prst="line">
                                  <a:avLst/>
                                </a:prstGeom>
                                <a:ln w="9525" cap="rnd" cmpd="sng">
                                  <a:solidFill>
                                    <a:srgbClr val="000000"/>
                                  </a:solidFill>
                                  <a:prstDash val="sysDot"/>
                                  <a:headEnd type="none" w="med" len="med"/>
                                  <a:tailEnd type="none" w="med" len="med"/>
                                </a:ln>
                              </wps:spPr>
                              <wps:bodyPr upright="1"/>
                            </wps:wsp>
                            <wps:wsp>
                              <wps:cNvPr id="56" name="直接连接符 26"/>
                              <wps:cNvCnPr/>
                              <wps:spPr>
                                <a:xfrm>
                                  <a:off x="13148" y="286088"/>
                                  <a:ext cx="1" cy="1650"/>
                                </a:xfrm>
                                <a:prstGeom prst="line">
                                  <a:avLst/>
                                </a:prstGeom>
                                <a:ln w="9525" cap="rnd" cmpd="sng">
                                  <a:solidFill>
                                    <a:srgbClr val="000000"/>
                                  </a:solidFill>
                                  <a:prstDash val="sysDot"/>
                                  <a:headEnd type="none" w="med" len="med"/>
                                  <a:tailEnd type="none" w="med" len="med"/>
                                </a:ln>
                              </wps:spPr>
                              <wps:bodyPr upright="1"/>
                            </wps:wsp>
                          </wpg:wgp>
                        </a:graphicData>
                      </a:graphic>
                    </wp:inline>
                  </w:drawing>
                </mc:Choice>
                <mc:Fallback>
                  <w:pict>
                    <v:group id="_x0000_s1026" o:spid="_x0000_s1026" o:spt="203" style="height:200.35pt;width:370.8pt;" coordorigin="7876,284235" coordsize="7365,3515" o:gfxdata="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PBiCy9YAAAAFAQAADwAAAAAAAAABACAAAAAiAAAAZHJzL2Rvd25yZXYueG1s&#10;UEsBAhQAFAAAAAgAh07iQIKarYAYBQAAEiYAAA4AAAAAAAAAAQAgAAAAJQEAAGRycy9lMm9Eb2Mu&#10;eG1sUEsFBgAAAAAGAAYAWQEAAK8IAAAAAA==&#10;">
                      <o:lock v:ext="edit" aspectratio="f"/>
                      <v:shape id="流程图: 过程 7" o:spid="_x0000_s1026" o:spt="109" type="#_x0000_t109" style="position:absolute;left:10493;top:284235;height:730;width:2608;" fillcolor="#FFFFFF" filled="t" stroked="t" coordsize="21600,21600" o:gfxdata="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RUzb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72D30CFC">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v:textbox>
                      </v:shape>
                      <v:shape id="流程图: 过程 12" o:spid="_x0000_s1026" o:spt="109" type="#_x0000_t109" style="position:absolute;left:10378;top:285266;height:424;width:2835;" fillcolor="#FFFFFF" filled="t" stroked="t" coordsize="21600,21600" o:gfxdata="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Z9M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4D02457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v:textbox>
                      </v:shape>
                      <v:shape id="流程图: 过程 13" o:spid="_x0000_s1026" o:spt="109" type="#_x0000_t109" style="position:absolute;left:13654;top:285256;height:434;width:1587;" fillcolor="#FFFFFF" filled="t" stroked="t" coordsize="21600,21600" o:gfxdata="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rYq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E65E9AD">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v:textbox>
                      </v:shape>
                      <v:shape id="流程图: 过程 14" o:spid="_x0000_s1026" o:spt="109" type="#_x0000_t109" style="position:absolute;left:10724;top:286969;height:737;width:2154;" fillcolor="#FFFFFF" filled="t" stroked="t" coordsize="21600,21600" o:gfxdata="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Yy7i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498B0805">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事发单位承包商环境应急处置小组</w:t>
                              </w:r>
                            </w:p>
                          </w:txbxContent>
                        </v:textbox>
                      </v:shape>
                      <v:shape id="流程图: 过程 15" o:spid="_x0000_s1026" o:spt="109" type="#_x0000_t109" style="position:absolute;left:10724;top:286215;height:424;width:2145;" fillcolor="#FFFFFF" filled="t" stroked="t" coordsize="21600,21600" o:gfxdata="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sAeE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083A7914">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v:textbox>
                      </v:shape>
                      <v:shape id="流程图: 过程 16" o:spid="_x0000_s1026" o:spt="109" type="#_x0000_t109" style="position:absolute;left:7876;top:285267;height:424;width:2041;" fillcolor="#FFFFFF" filled="t" stroked="t" coordsize="21600,21600" o:gfxdata="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FUtV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623549">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v:textbox>
                      </v:shape>
                      <v:line id="直接连接符 17" o:spid="_x0000_s1026" o:spt="20" style="position:absolute;left:11796;top:284890;height:377;width:1;" filled="f" stroked="t" coordsize="21600,21600" o:gfxdata="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jqpkG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8" o:spid="_x0000_s1026" o:spt="20" style="position:absolute;left:11796;top:285703;height:378;width:1;" filled="f" stroked="t" coordsize="21600,21600" o:gfxdata="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d0na2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9" o:spid="_x0000_s1026" o:spt="20" style="position:absolute;left:11797;top:286639;height:330;width:2;" filled="f" stroked="t" coordsize="21600,21600" o:gfxdata="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dBdm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20" o:spid="_x0000_s1026" o:spt="20" style="position:absolute;left:13209;top:285354;height:1;width:454;" filled="f" stroked="t" coordsize="21600,21600" o:gfxdata="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61/vQAA&#10;ANsAAAAPAAAAAAAAAAEAIAAAACIAAABkcnMvZG93bnJldi54bWxQSwECFAAUAAAACACHTuJAMy8F&#10;njsAAAA5AAAAEAAAAAAAAAABACAAAAAMAQAAZHJzL3NoYXBleG1sLnhtbFBLBQYAAAAABgAGAFsB&#10;AAC2AwAAAAA=&#10;">
                        <v:fill on="f" focussize="0,0"/>
                        <v:stroke weight="1pt" color="#000000" joinstyle="round" endarrow="open"/>
                        <v:imagedata o:title=""/>
                        <o:lock v:ext="edit" aspectratio="f"/>
                      </v:line>
                      <v:line id="直接连接符 21" o:spid="_x0000_s1026" o:spt="20" style="position:absolute;left:13200;top:285564;flip:x;height:1;width:454;" filled="f" stroked="t" coordsize="21600,21600" o:gfxdata="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2QCUG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2" o:spid="_x0000_s1026" o:spt="20" style="position:absolute;left:9932;top:285467;height:1;width:454;" filled="f" stroked="t" coordsize="21600,21600" o:gfxdata="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ePui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3" o:spid="_x0000_s1026" o:spt="20" style="position:absolute;left:10436;top:286100;height:0;width:2721;" filled="f" stroked="t" coordsize="21600,21600" o:gfxdata="UEsDBAoAAAAAAIdO4kAAAAAAAAAAAAAAAAAEAAAAZHJzL1BLAwQUAAAACACHTuJAvKm6O8AAAADb&#10;AAAADwAAAGRycy9kb3ducmV2LnhtbEWPzW7CMBCE70i8g7VIvTUOR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8qbo7&#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4" o:spid="_x0000_s1026" o:spt="20" style="position:absolute;left:10437;top:287750;height:0;width:2721;" filled="f" stroked="t" coordsize="21600,21600" o:gfxdata="UEsDBAoAAAAAAIdO4kAAAAAAAAAAAAAAAAAEAAAAZHJzL1BLAwQUAAAACACHTuJAM0AiT8AAAADb&#10;AAAADwAAAGRycy9kb3ducmV2LnhtbEWPzW7CMBCE70i8g7VIvTUOF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QCJP&#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5" o:spid="_x0000_s1026" o:spt="20" style="position:absolute;left:10442;top:286095;height:1650;width:1;" filled="f" stroked="t" coordsize="21600,21600" o:gfxdata="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UGza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接连接符 26" o:spid="_x0000_s1026" o:spt="20" style="position:absolute;left:13148;top:286088;height:1650;width:1;" filled="f" stroked="t" coordsize="21600,21600" o:gfxdata="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8aFQb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w10:wrap type="none"/>
                      <w10:anchorlock/>
                    </v:group>
                  </w:pict>
                </mc:Fallback>
              </mc:AlternateContent>
            </w:r>
          </w:p>
          <w:p w14:paraId="3D11A3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（2）事故应急处置</w:t>
            </w:r>
          </w:p>
          <w:p w14:paraId="5B452B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建设单位采取了一系列的环境风险管理措施，对厂区进行了科学规划、合理布局，并从技术、工艺、管理方法等方面加强了对环境风险防范设施建设的管理，定期检查防火、防爆、防泄漏，建立了安全生产制度，提高操作人员的素质和水平；建设单位建立了有针对性的环境风险防范体系，配备了一定的硬件设施，加强了对潜在事故的监控，做到及时发现事故隐患，及时消除。</w:t>
            </w:r>
          </w:p>
          <w:p w14:paraId="4703F2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（3）事故应急演练</w:t>
            </w:r>
          </w:p>
          <w:p w14:paraId="1CDF5E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公司结合实际情况，在确保安全的前提下，组织应急预案的演练，以检验和测试应急指挥部的应急能力和应急预案的可行性，提高实际技能及熟练程度，通过演练后的评价、总结，纠正存在的问题，从而不断提高预案质量。演练前，由应急指挥部负责编写演练计划，预案涉及部门对所属员工进行培训，学习预案及演练计划的内容，演练时的注意事项、纪律等等，熟练掌握演练中涉及工具的使用方法，以及发生特殊情况时的逃生方法及路线。</w:t>
            </w:r>
          </w:p>
          <w:p w14:paraId="609AF8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（4）应急预案有效性分析</w:t>
            </w:r>
          </w:p>
          <w:p w14:paraId="1D6DCE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《突发环境事件应急预案》</w:t>
            </w:r>
            <w:r>
              <w:rPr>
                <w:rFonts w:hint="default" w:ascii="Times New Roman" w:hAnsi="Times New Roman" w:eastAsia="宋体" w:cs="Times New Roman"/>
                <w:color w:val="auto"/>
                <w:sz w:val="24"/>
                <w:szCs w:val="24"/>
                <w:highlight w:val="none"/>
                <w:lang w:val="en-US" w:eastAsia="zh-CN" w:bidi="ar-SA"/>
              </w:rPr>
              <w:t>主要针对项目施工过程中井场事故、井喷事故等制定了详细的安全应急救援预案。预案中应急救援任务和目标、原则、组织机构、应急救援职责、突发事件信息报送及处置、应急响应和处置、应急措施以及应急救援值班电话和联络电话，</w:t>
            </w:r>
            <w:r>
              <w:rPr>
                <w:rFonts w:hint="eastAsia" w:ascii="Times New Roman" w:hAnsi="Times New Roman" w:eastAsia="宋体" w:cs="Times New Roman"/>
                <w:color w:val="auto"/>
                <w:sz w:val="24"/>
                <w:szCs w:val="24"/>
                <w:highlight w:val="none"/>
                <w:lang w:val="en-US" w:eastAsia="zh-CN" w:bidi="ar-SA"/>
              </w:rPr>
              <w:t>应急物资充分，</w:t>
            </w:r>
            <w:r>
              <w:rPr>
                <w:rFonts w:hint="default" w:ascii="Times New Roman" w:hAnsi="Times New Roman" w:eastAsia="宋体" w:cs="Times New Roman"/>
                <w:color w:val="auto"/>
                <w:sz w:val="24"/>
                <w:szCs w:val="24"/>
                <w:highlight w:val="none"/>
                <w:lang w:val="en-US" w:eastAsia="zh-CN" w:bidi="ar-SA"/>
              </w:rPr>
              <w:t>充分保证了项目运营期发生的风险事故得到及时救援和处理。</w:t>
            </w:r>
          </w:p>
          <w:p w14:paraId="3C471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工程从施工到目前未发生过环境污染事故。采取的环境风险防范措施及应急预案切实有效。</w:t>
            </w:r>
            <w:r>
              <w:rPr>
                <w:rFonts w:hint="eastAsia" w:ascii="Times New Roman" w:hAnsi="Times New Roman" w:eastAsia="宋体" w:cs="Times New Roman"/>
                <w:color w:val="auto"/>
                <w:sz w:val="24"/>
                <w:szCs w:val="24"/>
                <w:highlight w:val="none"/>
                <w:lang w:val="en-US" w:eastAsia="zh-CN" w:bidi="ar-SA"/>
              </w:rPr>
              <w:t>采油一厂</w:t>
            </w:r>
            <w:r>
              <w:rPr>
                <w:rFonts w:hint="default" w:ascii="Times New Roman" w:hAnsi="Times New Roman" w:eastAsia="宋体" w:cs="Times New Roman"/>
                <w:color w:val="auto"/>
                <w:sz w:val="24"/>
                <w:szCs w:val="24"/>
                <w:highlight w:val="none"/>
                <w:lang w:val="en-US" w:eastAsia="zh-CN" w:bidi="ar-SA"/>
              </w:rPr>
              <w:t>已制定了突发环境事件应急预案，并于</w:t>
            </w:r>
            <w:r>
              <w:rPr>
                <w:rFonts w:hint="eastAsia" w:ascii="Times New Roman" w:hAnsi="Times New Roman" w:eastAsia="宋体" w:cs="Times New Roman"/>
                <w:color w:val="auto"/>
                <w:sz w:val="24"/>
                <w:szCs w:val="24"/>
                <w:highlight w:val="none"/>
                <w:lang w:val="en-US" w:eastAsia="zh-CN" w:bidi="ar-SA"/>
              </w:rPr>
              <w:t>2023年1月11日取得了庆阳市生态环境局宁县分局</w:t>
            </w:r>
            <w:r>
              <w:rPr>
                <w:rFonts w:hint="default" w:ascii="Times New Roman" w:hAnsi="Times New Roman" w:eastAsia="宋体" w:cs="Times New Roman"/>
                <w:color w:val="auto"/>
                <w:sz w:val="24"/>
                <w:szCs w:val="24"/>
                <w:highlight w:val="none"/>
                <w:lang w:val="en-US" w:eastAsia="zh-CN" w:bidi="ar-SA"/>
              </w:rPr>
              <w:t>预案备案文件，并按照预案中相关应急措施进行定期演练。</w:t>
            </w:r>
            <w:r>
              <w:rPr>
                <w:rFonts w:hint="eastAsia" w:ascii="Times New Roman" w:hAnsi="Times New Roman" w:eastAsia="宋体" w:cs="Times New Roman"/>
                <w:color w:val="auto"/>
                <w:sz w:val="24"/>
                <w:szCs w:val="24"/>
                <w:highlight w:val="none"/>
                <w:lang w:val="en-US" w:eastAsia="zh-CN" w:bidi="ar-SA"/>
              </w:rPr>
              <w:t>该应急预案修编日期为2026年1月11日</w:t>
            </w:r>
            <w:r>
              <w:rPr>
                <w:rFonts w:hint="default" w:ascii="Times New Roman" w:hAnsi="Times New Roman" w:eastAsia="宋体" w:cs="Times New Roman"/>
                <w:color w:val="auto"/>
                <w:sz w:val="24"/>
                <w:szCs w:val="24"/>
                <w:highlight w:val="none"/>
                <w:lang w:val="en-US" w:eastAsia="zh-CN" w:bidi="ar-SA"/>
              </w:rPr>
              <w:t>，在本项目验收时间范围内</w:t>
            </w:r>
            <w:r>
              <w:rPr>
                <w:rFonts w:hint="eastAsia" w:ascii="Times New Roman" w:hAnsi="Times New Roman" w:eastAsia="宋体" w:cs="Times New Roman"/>
                <w:color w:val="auto"/>
                <w:sz w:val="24"/>
                <w:szCs w:val="24"/>
                <w:highlight w:val="none"/>
                <w:lang w:val="en-US" w:eastAsia="zh-CN" w:bidi="ar-SA"/>
              </w:rPr>
              <w:t>。</w:t>
            </w:r>
            <w:r>
              <w:rPr>
                <w:rFonts w:hint="eastAsia" w:ascii="Times New Roman" w:hAnsi="Times New Roman" w:eastAsia="宋体" w:cs="Times New Roman"/>
                <w:color w:val="0000FF"/>
                <w:sz w:val="24"/>
                <w:szCs w:val="24"/>
                <w:highlight w:val="none"/>
                <w:lang w:val="en-US" w:eastAsia="zh-CN" w:bidi="ar-SA"/>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tc>
      </w:tr>
      <w:tr w14:paraId="73FA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68" w:type="dxa"/>
            <w:vMerge w:val="continue"/>
            <w:vAlign w:val="center"/>
          </w:tcPr>
          <w:p w14:paraId="4B67359E">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237A34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社会影响</w:t>
            </w:r>
          </w:p>
        </w:tc>
        <w:tc>
          <w:tcPr>
            <w:tcW w:w="7629" w:type="dxa"/>
            <w:shd w:val="clear" w:color="auto" w:fill="auto"/>
            <w:tcMar>
              <w:top w:w="85" w:type="dxa"/>
              <w:left w:w="108" w:type="dxa"/>
              <w:bottom w:w="85" w:type="dxa"/>
              <w:right w:w="108" w:type="dxa"/>
            </w:tcMar>
            <w:vAlign w:val="center"/>
          </w:tcPr>
          <w:p w14:paraId="01094E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本项目工程施工期间，未发生水、大气、固废、土壤、噪声等污染事件，不存在居民投诉情况，也未出现过举报或上访，项目对所在地的社会影响较小。</w:t>
            </w:r>
          </w:p>
        </w:tc>
      </w:tr>
      <w:tr w14:paraId="3A45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68" w:type="dxa"/>
            <w:vMerge w:val="restart"/>
            <w:vAlign w:val="center"/>
          </w:tcPr>
          <w:p w14:paraId="7BED20BC">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1E5382A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运行期</w:t>
            </w:r>
          </w:p>
        </w:tc>
        <w:tc>
          <w:tcPr>
            <w:tcW w:w="525" w:type="dxa"/>
            <w:tcMar>
              <w:top w:w="85" w:type="dxa"/>
              <w:left w:w="108" w:type="dxa"/>
              <w:bottom w:w="85" w:type="dxa"/>
              <w:right w:w="108" w:type="dxa"/>
            </w:tcMar>
            <w:vAlign w:val="center"/>
          </w:tcPr>
          <w:p w14:paraId="71BFDD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生态影响</w:t>
            </w:r>
          </w:p>
        </w:tc>
        <w:tc>
          <w:tcPr>
            <w:tcW w:w="7629" w:type="dxa"/>
            <w:vMerge w:val="restart"/>
            <w:shd w:val="clear" w:color="auto" w:fill="auto"/>
            <w:tcMar>
              <w:top w:w="85" w:type="dxa"/>
              <w:left w:w="108" w:type="dxa"/>
              <w:bottom w:w="85" w:type="dxa"/>
              <w:right w:w="108" w:type="dxa"/>
            </w:tcMar>
            <w:vAlign w:val="center"/>
          </w:tcPr>
          <w:p w14:paraId="11E1068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jc w:val="both"/>
              <w:textAlignment w:val="auto"/>
              <w:rPr>
                <w:rFonts w:hint="default" w:ascii="Times New Roman" w:hAnsi="Times New Roman" w:eastAsia="宋体" w:cs="Times New Roman"/>
                <w:color w:val="auto"/>
                <w:sz w:val="24"/>
                <w:szCs w:val="24"/>
                <w:highlight w:val="none"/>
                <w:lang w:val="en-US" w:eastAsia="zh-CN" w:bidi="ar-SA"/>
              </w:rPr>
            </w:pPr>
          </w:p>
          <w:p w14:paraId="0B44C6F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jc w:val="both"/>
              <w:textAlignment w:val="auto"/>
              <w:rPr>
                <w:rFonts w:hint="default" w:ascii="Times New Roman" w:hAnsi="Times New Roman" w:eastAsia="宋体" w:cs="Times New Roman"/>
                <w:color w:val="auto"/>
                <w:sz w:val="24"/>
                <w:szCs w:val="24"/>
                <w:highlight w:val="none"/>
                <w:lang w:val="en-US" w:eastAsia="zh-CN" w:bidi="ar-SA"/>
              </w:rPr>
            </w:pPr>
          </w:p>
          <w:p w14:paraId="30D7730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jc w:val="both"/>
              <w:textAlignment w:val="auto"/>
              <w:rPr>
                <w:rFonts w:hint="default" w:ascii="Times New Roman" w:hAnsi="Times New Roman" w:eastAsia="宋体" w:cs="Times New Roman"/>
                <w:color w:val="auto"/>
                <w:sz w:val="24"/>
                <w:szCs w:val="24"/>
                <w:highlight w:val="none"/>
                <w:lang w:val="en-US" w:eastAsia="zh-CN" w:bidi="ar-SA"/>
              </w:rPr>
            </w:pPr>
          </w:p>
          <w:p w14:paraId="4A8D682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经试</w:t>
            </w:r>
            <w:r>
              <w:rPr>
                <w:rFonts w:hint="eastAsia" w:ascii="Times New Roman" w:hAnsi="Times New Roman" w:eastAsia="宋体" w:cs="Times New Roman"/>
                <w:color w:val="auto"/>
                <w:sz w:val="24"/>
                <w:szCs w:val="24"/>
                <w:highlight w:val="none"/>
                <w:lang w:val="en-US" w:eastAsia="zh-CN" w:bidi="ar-SA"/>
              </w:rPr>
              <w:t>油</w:t>
            </w:r>
            <w:r>
              <w:rPr>
                <w:rFonts w:hint="default" w:ascii="Times New Roman" w:hAnsi="Times New Roman" w:eastAsia="宋体" w:cs="Times New Roman"/>
                <w:color w:val="auto"/>
                <w:sz w:val="24"/>
                <w:szCs w:val="24"/>
                <w:highlight w:val="none"/>
                <w:lang w:val="en-US" w:eastAsia="zh-CN" w:bidi="ar-SA"/>
              </w:rPr>
              <w:t>，</w:t>
            </w:r>
            <w:r>
              <w:rPr>
                <w:rFonts w:hint="eastAsia" w:ascii="Times New Roman" w:hAnsi="Times New Roman" w:eastAsia="宋体" w:cs="Times New Roman"/>
                <w:color w:val="auto"/>
                <w:sz w:val="24"/>
                <w:szCs w:val="24"/>
                <w:highlight w:val="none"/>
                <w:lang w:val="en-US" w:eastAsia="zh-CN" w:bidi="ar-SA"/>
              </w:rPr>
              <w:t>井场具有工业开采价值，临时关井，待转产，</w:t>
            </w:r>
            <w:r>
              <w:rPr>
                <w:rFonts w:hint="default" w:ascii="Times New Roman" w:hAnsi="Times New Roman" w:eastAsia="宋体" w:cs="Times New Roman"/>
                <w:color w:val="auto"/>
                <w:sz w:val="24"/>
                <w:szCs w:val="24"/>
                <w:highlight w:val="none"/>
                <w:lang w:val="en-US" w:eastAsia="zh-CN" w:bidi="ar-SA"/>
              </w:rPr>
              <w:t>本次验收不涉及运行期。</w:t>
            </w:r>
          </w:p>
          <w:p w14:paraId="38F64165">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05E2E4A5">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2CC88D6B">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26FEBE07">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42ECF4D4">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72D2D785">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p w14:paraId="30CCB05D">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leftChars="0" w:right="0" w:rightChars="0" w:firstLine="0" w:firstLineChars="0"/>
              <w:jc w:val="both"/>
              <w:textAlignment w:val="auto"/>
              <w:rPr>
                <w:rFonts w:hint="default" w:ascii="Tahoma" w:hAnsi="Tahoma" w:eastAsia="微软雅黑" w:cs="Times New Roman"/>
                <w:color w:val="auto"/>
                <w:sz w:val="22"/>
                <w:szCs w:val="22"/>
                <w:lang w:val="en-US" w:eastAsia="zh-CN" w:bidi="ar-SA"/>
              </w:rPr>
            </w:pPr>
          </w:p>
        </w:tc>
      </w:tr>
      <w:tr w14:paraId="3238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8" w:type="dxa"/>
            <w:vMerge w:val="continue"/>
          </w:tcPr>
          <w:p w14:paraId="150D4CD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bCs/>
                <w:color w:val="auto"/>
                <w:sz w:val="24"/>
                <w:szCs w:val="24"/>
                <w:highlight w:val="none"/>
              </w:rPr>
            </w:pPr>
          </w:p>
        </w:tc>
        <w:tc>
          <w:tcPr>
            <w:tcW w:w="525" w:type="dxa"/>
            <w:tcMar>
              <w:top w:w="85" w:type="dxa"/>
              <w:left w:w="108" w:type="dxa"/>
              <w:bottom w:w="85" w:type="dxa"/>
              <w:right w:w="108" w:type="dxa"/>
            </w:tcMar>
            <w:vAlign w:val="center"/>
          </w:tcPr>
          <w:p w14:paraId="3B26E3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污染影响</w:t>
            </w:r>
          </w:p>
        </w:tc>
        <w:tc>
          <w:tcPr>
            <w:tcW w:w="7629" w:type="dxa"/>
            <w:vMerge w:val="continue"/>
            <w:tcMar>
              <w:top w:w="85" w:type="dxa"/>
              <w:left w:w="108" w:type="dxa"/>
              <w:bottom w:w="85" w:type="dxa"/>
              <w:right w:w="108" w:type="dxa"/>
            </w:tcMar>
            <w:vAlign w:val="center"/>
          </w:tcPr>
          <w:p w14:paraId="576C1E6E">
            <w:pPr>
              <w:pStyle w:val="2"/>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520" w:firstLineChars="200"/>
              <w:jc w:val="both"/>
              <w:textAlignment w:val="auto"/>
              <w:rPr>
                <w:rFonts w:hint="default" w:ascii="Times New Roman" w:hAnsi="Times New Roman" w:eastAsia="宋体" w:cs="Times New Roman"/>
                <w:color w:val="auto"/>
                <w:spacing w:val="10"/>
                <w:sz w:val="24"/>
                <w:szCs w:val="24"/>
                <w:highlight w:val="none"/>
                <w:lang w:val="en-US" w:eastAsia="zh-CN" w:bidi="ar-SA"/>
              </w:rPr>
            </w:pPr>
          </w:p>
        </w:tc>
      </w:tr>
      <w:tr w14:paraId="6D5F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8" w:type="dxa"/>
            <w:vMerge w:val="continue"/>
          </w:tcPr>
          <w:p w14:paraId="5E7D7F9B">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4807B0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24"/>
                <w:szCs w:val="24"/>
                <w:highlight w:val="none"/>
              </w:rPr>
            </w:pPr>
            <w:r>
              <w:rPr>
                <w:rFonts w:hint="eastAsia" w:ascii="Times New Roman" w:hAnsi="Times New Roman" w:eastAsia="宋体" w:cs="Times New Roman"/>
                <w:b/>
                <w:bCs/>
                <w:color w:val="auto"/>
                <w:sz w:val="24"/>
                <w:szCs w:val="24"/>
                <w:highlight w:val="none"/>
                <w:lang w:eastAsia="zh-CN"/>
              </w:rPr>
              <w:t>社会影响</w:t>
            </w:r>
          </w:p>
        </w:tc>
        <w:tc>
          <w:tcPr>
            <w:tcW w:w="7629" w:type="dxa"/>
            <w:vMerge w:val="continue"/>
            <w:tcMar>
              <w:top w:w="85" w:type="dxa"/>
              <w:left w:w="108" w:type="dxa"/>
              <w:bottom w:w="85" w:type="dxa"/>
              <w:right w:w="108" w:type="dxa"/>
            </w:tcMar>
            <w:vAlign w:val="center"/>
          </w:tcPr>
          <w:p w14:paraId="151BDF67">
            <w:pPr>
              <w:pStyle w:val="24"/>
              <w:keepNext w:val="0"/>
              <w:keepLines w:val="0"/>
              <w:widowControl w:val="0"/>
              <w:suppressLineNumbers w:val="0"/>
              <w:spacing w:before="0" w:beforeAutospacing="0" w:afterAutospacing="0"/>
              <w:ind w:left="0" w:leftChars="0" w:right="0" w:firstLine="0" w:firstLineChars="0"/>
              <w:jc w:val="both"/>
              <w:rPr>
                <w:rFonts w:hint="default"/>
                <w:color w:val="auto"/>
              </w:rPr>
            </w:pPr>
          </w:p>
        </w:tc>
      </w:tr>
    </w:tbl>
    <w:p w14:paraId="7F08E54F">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bookmarkStart w:id="15" w:name="_Toc24330"/>
    </w:p>
    <w:p w14:paraId="1946C245">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62655687">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8.</w:t>
      </w:r>
      <w:r>
        <w:rPr>
          <w:rFonts w:hint="default" w:ascii="Times New Roman" w:hAnsi="Times New Roman" w:eastAsia="宋体" w:cs="Times New Roman"/>
          <w:b/>
          <w:bCs/>
          <w:color w:val="auto"/>
          <w:spacing w:val="10"/>
          <w:w w:val="95"/>
          <w:sz w:val="32"/>
          <w:szCs w:val="22"/>
          <w:highlight w:val="none"/>
          <w:lang w:val="en-US" w:eastAsia="zh-CN" w:bidi="ar-SA"/>
        </w:rPr>
        <w:t>环境</w:t>
      </w:r>
      <w:r>
        <w:rPr>
          <w:rFonts w:hint="eastAsia" w:ascii="Times New Roman" w:hAnsi="Times New Roman" w:eastAsia="宋体" w:cs="Times New Roman"/>
          <w:b/>
          <w:bCs/>
          <w:color w:val="auto"/>
          <w:spacing w:val="10"/>
          <w:w w:val="95"/>
          <w:sz w:val="32"/>
          <w:szCs w:val="22"/>
          <w:highlight w:val="none"/>
          <w:lang w:val="en-US" w:eastAsia="zh-CN" w:bidi="ar-SA"/>
        </w:rPr>
        <w:t>质量及污染源监测</w:t>
      </w:r>
      <w:bookmarkEnd w:id="15"/>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65"/>
        <w:gridCol w:w="3414"/>
        <w:gridCol w:w="1509"/>
        <w:gridCol w:w="1725"/>
      </w:tblGrid>
      <w:tr w14:paraId="270B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4392FA8">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项目</w:t>
            </w:r>
          </w:p>
        </w:tc>
        <w:tc>
          <w:tcPr>
            <w:tcW w:w="1165" w:type="dxa"/>
            <w:vAlign w:val="center"/>
          </w:tcPr>
          <w:p w14:paraId="6866A6F9">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监测时间</w:t>
            </w:r>
          </w:p>
          <w:p w14:paraId="2556AA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vertAlign w:val="baseline"/>
                <w:lang w:val="en-US" w:eastAsia="zh-CN"/>
              </w:rPr>
              <w:t>监测频次</w:t>
            </w:r>
          </w:p>
        </w:tc>
        <w:tc>
          <w:tcPr>
            <w:tcW w:w="3414" w:type="dxa"/>
            <w:vAlign w:val="center"/>
          </w:tcPr>
          <w:p w14:paraId="7DC1690E">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监测点位</w:t>
            </w:r>
          </w:p>
        </w:tc>
        <w:tc>
          <w:tcPr>
            <w:tcW w:w="1509" w:type="dxa"/>
            <w:vAlign w:val="center"/>
          </w:tcPr>
          <w:p w14:paraId="433525EF">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监测项目</w:t>
            </w:r>
          </w:p>
        </w:tc>
        <w:tc>
          <w:tcPr>
            <w:tcW w:w="1725" w:type="dxa"/>
            <w:vAlign w:val="center"/>
          </w:tcPr>
          <w:p w14:paraId="235E22A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监测结果分析</w:t>
            </w:r>
          </w:p>
        </w:tc>
      </w:tr>
      <w:tr w14:paraId="3FA9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709" w:type="dxa"/>
            <w:vAlign w:val="center"/>
          </w:tcPr>
          <w:p w14:paraId="0C50C907">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环境空气</w:t>
            </w:r>
          </w:p>
        </w:tc>
        <w:tc>
          <w:tcPr>
            <w:tcW w:w="1165" w:type="dxa"/>
            <w:vAlign w:val="center"/>
          </w:tcPr>
          <w:p w14:paraId="3AD77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3414" w:type="dxa"/>
            <w:vAlign w:val="center"/>
          </w:tcPr>
          <w:p w14:paraId="03AD2098">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509" w:type="dxa"/>
            <w:vAlign w:val="center"/>
          </w:tcPr>
          <w:p w14:paraId="06A4B950">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4F962E0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67AF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709" w:type="dxa"/>
            <w:vAlign w:val="center"/>
          </w:tcPr>
          <w:p w14:paraId="5C59695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default"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地下水环境</w:t>
            </w:r>
          </w:p>
        </w:tc>
        <w:tc>
          <w:tcPr>
            <w:tcW w:w="1165" w:type="dxa"/>
            <w:vAlign w:val="center"/>
          </w:tcPr>
          <w:p w14:paraId="5DCF55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3414" w:type="dxa"/>
            <w:vAlign w:val="center"/>
          </w:tcPr>
          <w:p w14:paraId="167E199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509" w:type="dxa"/>
            <w:vAlign w:val="center"/>
          </w:tcPr>
          <w:p w14:paraId="7983737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36889DED">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6F45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709" w:type="dxa"/>
            <w:vAlign w:val="center"/>
          </w:tcPr>
          <w:p w14:paraId="08064674">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声环境</w:t>
            </w:r>
          </w:p>
        </w:tc>
        <w:tc>
          <w:tcPr>
            <w:tcW w:w="1165" w:type="dxa"/>
            <w:vAlign w:val="center"/>
          </w:tcPr>
          <w:p w14:paraId="356BBF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3414" w:type="dxa"/>
            <w:vAlign w:val="center"/>
          </w:tcPr>
          <w:p w14:paraId="647123F5">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509" w:type="dxa"/>
            <w:vAlign w:val="center"/>
          </w:tcPr>
          <w:p w14:paraId="3E3F230E">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552C11E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24BF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709" w:type="dxa"/>
            <w:vAlign w:val="center"/>
          </w:tcPr>
          <w:p w14:paraId="347AEB61">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土壤环境</w:t>
            </w:r>
          </w:p>
        </w:tc>
        <w:tc>
          <w:tcPr>
            <w:tcW w:w="1165" w:type="dxa"/>
            <w:vAlign w:val="center"/>
          </w:tcPr>
          <w:p w14:paraId="4AAEE202">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2025年3月26日；</w:t>
            </w:r>
            <w:r>
              <w:rPr>
                <w:rFonts w:hint="default" w:ascii="Times New Roman" w:hAnsi="Times New Roman" w:eastAsia="宋体" w:cs="Times New Roman"/>
                <w:color w:val="auto"/>
                <w:spacing w:val="10"/>
                <w:sz w:val="21"/>
                <w:szCs w:val="21"/>
                <w:highlight w:val="none"/>
                <w:lang w:val="en-US" w:eastAsia="zh-CN" w:bidi="ar-SA"/>
              </w:rPr>
              <w:t>监测频率：每个点采样1次。</w:t>
            </w:r>
          </w:p>
        </w:tc>
        <w:tc>
          <w:tcPr>
            <w:tcW w:w="3414" w:type="dxa"/>
            <w:vAlign w:val="center"/>
          </w:tcPr>
          <w:p w14:paraId="69085A56">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1）JH2P42</w:t>
            </w:r>
            <w:r>
              <w:rPr>
                <w:rFonts w:hint="eastAsia" w:ascii="Times New Roman" w:hAnsi="Times New Roman" w:eastAsia="宋体" w:cs="Times New Roman"/>
                <w:color w:val="FF0000"/>
                <w:spacing w:val="10"/>
                <w:sz w:val="21"/>
                <w:szCs w:val="21"/>
                <w:highlight w:val="none"/>
                <w:lang w:val="en-US" w:eastAsia="zh-CN" w:bidi="ar-SA"/>
              </w:rPr>
              <w:t>井场泥浆不落地装置区、井场外50m农用地</w:t>
            </w:r>
            <w:r>
              <w:rPr>
                <w:rFonts w:hint="eastAsia" w:ascii="Times New Roman" w:hAnsi="Times New Roman" w:eastAsia="宋体" w:cs="Times New Roman"/>
                <w:color w:val="auto"/>
                <w:spacing w:val="10"/>
                <w:sz w:val="21"/>
                <w:szCs w:val="21"/>
                <w:highlight w:val="none"/>
                <w:lang w:val="en-US" w:eastAsia="zh-CN" w:bidi="ar-SA"/>
              </w:rPr>
              <w:t>：</w:t>
            </w:r>
            <w:r>
              <w:rPr>
                <w:rFonts w:hint="default" w:ascii="Times New Roman" w:hAnsi="Times New Roman" w:eastAsia="宋体" w:cs="Times New Roman"/>
                <w:color w:val="auto"/>
                <w:spacing w:val="10"/>
                <w:sz w:val="21"/>
                <w:szCs w:val="21"/>
                <w:highlight w:val="none"/>
                <w:lang w:val="en-US" w:eastAsia="zh-CN" w:bidi="ar-SA"/>
              </w:rPr>
              <w:t>E108°11′30″，</w:t>
            </w:r>
          </w:p>
          <w:p w14:paraId="60AE6D83">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 35°20′19″</w:t>
            </w:r>
            <w:r>
              <w:rPr>
                <w:rFonts w:hint="eastAsia" w:ascii="Times New Roman" w:hAnsi="Times New Roman" w:eastAsia="宋体" w:cs="Times New Roman"/>
                <w:color w:val="auto"/>
                <w:spacing w:val="10"/>
                <w:sz w:val="21"/>
                <w:szCs w:val="21"/>
                <w:highlight w:val="none"/>
                <w:lang w:val="en-US" w:eastAsia="zh-CN" w:bidi="ar-SA"/>
              </w:rPr>
              <w:t>；</w:t>
            </w:r>
          </w:p>
          <w:p w14:paraId="2E2CB168">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E108°11′30″</w:t>
            </w:r>
          </w:p>
          <w:p w14:paraId="0820C8FE">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 35°20′18″</w:t>
            </w:r>
            <w:r>
              <w:rPr>
                <w:rFonts w:hint="eastAsia" w:ascii="Times New Roman" w:hAnsi="Times New Roman" w:eastAsia="宋体" w:cs="Times New Roman"/>
                <w:color w:val="auto"/>
                <w:spacing w:val="10"/>
                <w:sz w:val="21"/>
                <w:szCs w:val="21"/>
                <w:highlight w:val="none"/>
                <w:lang w:val="en-US" w:eastAsia="zh-CN" w:bidi="ar-SA"/>
              </w:rPr>
              <w:t>。</w:t>
            </w:r>
          </w:p>
          <w:p w14:paraId="4F0FA9C2">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2）JH2P44</w:t>
            </w:r>
            <w:r>
              <w:rPr>
                <w:rFonts w:hint="eastAsia" w:ascii="Times New Roman" w:hAnsi="Times New Roman" w:eastAsia="宋体" w:cs="Times New Roman"/>
                <w:color w:val="FF0000"/>
                <w:spacing w:val="10"/>
                <w:sz w:val="21"/>
                <w:szCs w:val="21"/>
                <w:highlight w:val="none"/>
                <w:lang w:val="en-US" w:eastAsia="zh-CN" w:bidi="ar-SA"/>
              </w:rPr>
              <w:t>井场泥浆不落地装置区、井场外50m农用地</w:t>
            </w:r>
            <w:r>
              <w:rPr>
                <w:rFonts w:hint="eastAsia" w:ascii="Times New Roman" w:hAnsi="Times New Roman" w:eastAsia="宋体" w:cs="Times New Roman"/>
                <w:color w:val="auto"/>
                <w:spacing w:val="10"/>
                <w:sz w:val="21"/>
                <w:szCs w:val="21"/>
                <w:highlight w:val="none"/>
                <w:lang w:val="en-US" w:eastAsia="zh-CN" w:bidi="ar-SA"/>
              </w:rPr>
              <w:t>：</w:t>
            </w:r>
          </w:p>
          <w:p w14:paraId="0EF0AEDD">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E107°57′11″</w:t>
            </w:r>
          </w:p>
          <w:p w14:paraId="48ACF811">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N35°23′33″</w:t>
            </w:r>
            <w:r>
              <w:rPr>
                <w:rFonts w:hint="eastAsia" w:ascii="Times New Roman" w:hAnsi="Times New Roman" w:eastAsia="宋体" w:cs="Times New Roman"/>
                <w:color w:val="auto"/>
                <w:spacing w:val="10"/>
                <w:sz w:val="21"/>
                <w:szCs w:val="21"/>
                <w:highlight w:val="none"/>
                <w:lang w:val="en-US" w:eastAsia="zh-CN" w:bidi="ar-SA"/>
              </w:rPr>
              <w:t>；</w:t>
            </w:r>
          </w:p>
          <w:p w14:paraId="3856D24B">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E107°57′11″</w:t>
            </w:r>
          </w:p>
          <w:p w14:paraId="0C1052FA">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N35°23′34″。</w:t>
            </w:r>
          </w:p>
          <w:p w14:paraId="2631F8F6">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3）良平101H</w:t>
            </w:r>
            <w:r>
              <w:rPr>
                <w:rFonts w:hint="eastAsia" w:ascii="Times New Roman" w:hAnsi="Times New Roman" w:eastAsia="宋体" w:cs="Times New Roman"/>
                <w:color w:val="FF0000"/>
                <w:spacing w:val="10"/>
                <w:sz w:val="21"/>
                <w:szCs w:val="21"/>
                <w:highlight w:val="none"/>
                <w:lang w:val="en-US" w:eastAsia="zh-CN" w:bidi="ar-SA"/>
              </w:rPr>
              <w:t>井场泥浆不落地装置区、井场外50m农用地</w:t>
            </w:r>
            <w:r>
              <w:rPr>
                <w:rFonts w:hint="eastAsia" w:ascii="Times New Roman" w:hAnsi="Times New Roman" w:eastAsia="宋体" w:cs="Times New Roman"/>
                <w:color w:val="auto"/>
                <w:spacing w:val="10"/>
                <w:sz w:val="21"/>
                <w:szCs w:val="21"/>
                <w:highlight w:val="none"/>
                <w:lang w:val="en-US" w:eastAsia="zh-CN" w:bidi="ar-SA"/>
              </w:rPr>
              <w:t>：</w:t>
            </w:r>
          </w:p>
          <w:p w14:paraId="608E4696">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E107°56′59″</w:t>
            </w:r>
          </w:p>
          <w:p w14:paraId="12E8D997">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N35°25′44″</w:t>
            </w:r>
            <w:r>
              <w:rPr>
                <w:rFonts w:hint="eastAsia" w:ascii="Times New Roman" w:hAnsi="Times New Roman" w:eastAsia="宋体" w:cs="Times New Roman"/>
                <w:color w:val="auto"/>
                <w:spacing w:val="10"/>
                <w:sz w:val="21"/>
                <w:szCs w:val="21"/>
                <w:highlight w:val="none"/>
                <w:lang w:val="en-US" w:eastAsia="zh-CN" w:bidi="ar-SA"/>
              </w:rPr>
              <w:t>；</w:t>
            </w:r>
          </w:p>
          <w:p w14:paraId="42CB6D84">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E107°56′57″</w:t>
            </w:r>
          </w:p>
          <w:p w14:paraId="324BA8A9">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N35°25′44</w:t>
            </w:r>
          </w:p>
          <w:p w14:paraId="083A62EE">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4）长探105</w:t>
            </w:r>
            <w:r>
              <w:rPr>
                <w:rFonts w:hint="eastAsia" w:ascii="Times New Roman" w:hAnsi="Times New Roman" w:eastAsia="宋体" w:cs="Times New Roman"/>
                <w:color w:val="FF0000"/>
                <w:spacing w:val="10"/>
                <w:sz w:val="21"/>
                <w:szCs w:val="21"/>
                <w:highlight w:val="none"/>
                <w:lang w:val="en-US" w:eastAsia="zh-CN" w:bidi="ar-SA"/>
              </w:rPr>
              <w:t>井场泥浆不落地装置区、井场外50m农用地</w:t>
            </w:r>
            <w:r>
              <w:rPr>
                <w:rFonts w:hint="eastAsia" w:ascii="Times New Roman" w:hAnsi="Times New Roman" w:eastAsia="宋体" w:cs="Times New Roman"/>
                <w:color w:val="auto"/>
                <w:spacing w:val="10"/>
                <w:sz w:val="21"/>
                <w:szCs w:val="21"/>
                <w:highlight w:val="none"/>
                <w:lang w:val="en-US" w:eastAsia="zh-CN" w:bidi="ar-SA"/>
              </w:rPr>
              <w:t>：</w:t>
            </w:r>
          </w:p>
          <w:p w14:paraId="5B4A6DB4">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E107°51′55″</w:t>
            </w:r>
          </w:p>
          <w:p w14:paraId="012E1AED">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N35°25′45″</w:t>
            </w:r>
            <w:r>
              <w:rPr>
                <w:rFonts w:hint="eastAsia" w:ascii="Times New Roman" w:hAnsi="Times New Roman" w:eastAsia="宋体" w:cs="Times New Roman"/>
                <w:color w:val="auto"/>
                <w:spacing w:val="10"/>
                <w:sz w:val="21"/>
                <w:szCs w:val="21"/>
                <w:highlight w:val="none"/>
                <w:lang w:val="en-US" w:eastAsia="zh-CN" w:bidi="ar-SA"/>
              </w:rPr>
              <w:t>；</w:t>
            </w:r>
          </w:p>
          <w:p w14:paraId="03DC1306">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E107°51′54″</w:t>
            </w:r>
          </w:p>
          <w:p w14:paraId="4E101800">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N35°25′43″</w:t>
            </w:r>
          </w:p>
          <w:p w14:paraId="1A8358F1">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p>
        </w:tc>
        <w:tc>
          <w:tcPr>
            <w:tcW w:w="1509" w:type="dxa"/>
            <w:vAlign w:val="center"/>
          </w:tcPr>
          <w:p w14:paraId="6ACC9573">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1）</w:t>
            </w:r>
            <w:r>
              <w:rPr>
                <w:rFonts w:hint="eastAsia" w:ascii="Times New Roman" w:hAnsi="Times New Roman" w:eastAsia="宋体" w:cs="Times New Roman"/>
                <w:color w:val="FF0000"/>
                <w:spacing w:val="10"/>
                <w:sz w:val="21"/>
                <w:szCs w:val="21"/>
                <w:highlight w:val="none"/>
                <w:lang w:val="en-US" w:eastAsia="zh-CN" w:bidi="ar-SA"/>
              </w:rPr>
              <w:t>井场泥浆不落地装置区</w:t>
            </w:r>
            <w:r>
              <w:rPr>
                <w:rFonts w:hint="eastAsia" w:ascii="Times New Roman" w:hAnsi="Times New Roman" w:eastAsia="宋体" w:cs="Times New Roman"/>
                <w:color w:val="auto"/>
                <w:spacing w:val="10"/>
                <w:sz w:val="21"/>
                <w:szCs w:val="21"/>
                <w:highlight w:val="none"/>
                <w:lang w:val="en-US" w:eastAsia="zh-CN" w:bidi="ar-SA"/>
              </w:rPr>
              <w:t>：铅、铜、铬(六价)、砷、汞、镍、镉、锌、pH、石油烃（C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59C69D2F">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w:t>
            </w:r>
            <w:r>
              <w:rPr>
                <w:rFonts w:hint="eastAsia" w:ascii="Times New Roman" w:hAnsi="Times New Roman" w:eastAsia="宋体" w:cs="Times New Roman"/>
                <w:color w:val="FF0000"/>
                <w:spacing w:val="10"/>
                <w:sz w:val="21"/>
                <w:szCs w:val="21"/>
                <w:highlight w:val="none"/>
                <w:lang w:val="en-US" w:eastAsia="zh-CN" w:bidi="ar-SA"/>
              </w:rPr>
              <w:t>井场外50m农用地</w:t>
            </w:r>
            <w:r>
              <w:rPr>
                <w:rFonts w:hint="eastAsia" w:ascii="Times New Roman" w:hAnsi="Times New Roman" w:eastAsia="宋体" w:cs="Times New Roman"/>
                <w:color w:val="auto"/>
                <w:spacing w:val="10"/>
                <w:sz w:val="21"/>
                <w:szCs w:val="21"/>
                <w:highlight w:val="none"/>
                <w:lang w:val="en-US" w:eastAsia="zh-CN" w:bidi="ar-SA"/>
              </w:rPr>
              <w:t>：镉、汞、砷、铅、铬、铜、镍、锌、pH、石油烃（C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75AD56EB">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p>
        </w:tc>
        <w:tc>
          <w:tcPr>
            <w:tcW w:w="1725" w:type="dxa"/>
            <w:vAlign w:val="center"/>
          </w:tcPr>
          <w:p w14:paraId="5414279A">
            <w:pPr>
              <w:pStyle w:val="20"/>
              <w:keepNext w:val="0"/>
              <w:keepLines w:val="0"/>
              <w:widowControl w:val="0"/>
              <w:numPr>
                <w:ilvl w:val="0"/>
                <w:numId w:val="0"/>
              </w:numPr>
              <w:suppressLineNumbers w:val="0"/>
              <w:spacing w:before="0" w:beforeAutospacing="0" w:afterAutospacing="0"/>
              <w:ind w:left="0" w:leftChars="0" w:right="0" w:rightChars="0" w:firstLine="0" w:firstLineChars="0"/>
              <w:jc w:val="both"/>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FF0000"/>
                <w:spacing w:val="10"/>
                <w:sz w:val="21"/>
                <w:szCs w:val="21"/>
                <w:highlight w:val="none"/>
                <w:lang w:val="en-US" w:eastAsia="zh-CN" w:bidi="ar-SA"/>
              </w:rPr>
              <w:t>井场所在地及周围农用地土壤环境质量执行《土壤环境质量-农用地土壤污染风险管控标准（试行）》（GB15618-2018）中表1筛选值，石油烃执行《农用地土壤环境风险评价技术规定（试行）》中500mg/kg要求</w:t>
            </w:r>
          </w:p>
        </w:tc>
      </w:tr>
      <w:tr w14:paraId="456A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8522" w:type="dxa"/>
            <w:gridSpan w:val="5"/>
            <w:vAlign w:val="center"/>
          </w:tcPr>
          <w:p w14:paraId="3D0E50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bookmarkStart w:id="16" w:name="_Toc3866"/>
            <w:r>
              <w:rPr>
                <w:rFonts w:hint="eastAsia" w:ascii="Times New Roman" w:hAnsi="Times New Roman" w:eastAsia="宋体" w:cs="Times New Roman"/>
                <w:color w:val="auto"/>
                <w:kern w:val="0"/>
                <w:sz w:val="24"/>
                <w:szCs w:val="24"/>
                <w:highlight w:val="none"/>
                <w:lang w:val="en-US" w:eastAsia="zh-CN"/>
              </w:rPr>
              <w:t>因项目为勘探井项目，项目施工期大气污染源及噪声污染源随施工期结束已消失，本次验收未对大气及噪声进行监测。井场实际勘探过程中对井场内的土壤环境有扰动及影响。井场不涉及石油开采，对井场内及周边土壤开展土壤监测。综上，本次验收对项目所在区域土壤环境进行现状调查与监测。</w:t>
            </w:r>
          </w:p>
          <w:p w14:paraId="63B88E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r>
              <w:rPr>
                <w:rFonts w:hint="eastAsia" w:ascii="Times New Roman" w:hAnsi="Times New Roman" w:eastAsia="宋体" w:cs="Times New Roman"/>
                <w:color w:val="auto"/>
                <w:kern w:val="0"/>
                <w:sz w:val="24"/>
                <w:szCs w:val="24"/>
                <w:highlight w:val="none"/>
                <w:lang w:val="en-US" w:eastAsia="zh-CN"/>
              </w:rPr>
              <w:t>土壤</w:t>
            </w:r>
            <w:r>
              <w:rPr>
                <w:rFonts w:hint="default" w:ascii="Times New Roman" w:hAnsi="Times New Roman" w:eastAsia="宋体" w:cs="Times New Roman"/>
                <w:color w:val="auto"/>
                <w:kern w:val="0"/>
                <w:sz w:val="24"/>
                <w:szCs w:val="24"/>
                <w:highlight w:val="none"/>
                <w:lang w:val="en-US" w:eastAsia="zh-CN"/>
              </w:rPr>
              <w:t>监测结果见表</w:t>
            </w:r>
            <w:r>
              <w:rPr>
                <w:rFonts w:hint="eastAsia" w:ascii="Times New Roman" w:hAnsi="Times New Roman" w:eastAsia="宋体" w:cs="Times New Roman"/>
                <w:color w:val="auto"/>
                <w:kern w:val="0"/>
                <w:sz w:val="24"/>
                <w:szCs w:val="24"/>
                <w:highlight w:val="none"/>
                <w:lang w:val="en-US" w:eastAsia="zh-CN"/>
              </w:rPr>
              <w:t>8-1</w:t>
            </w:r>
            <w:r>
              <w:rPr>
                <w:rFonts w:hint="default" w:ascii="Times New Roman" w:hAnsi="Times New Roman" w:eastAsia="宋体" w:cs="Times New Roman"/>
                <w:color w:val="auto"/>
                <w:kern w:val="0"/>
                <w:sz w:val="24"/>
                <w:szCs w:val="24"/>
                <w:highlight w:val="none"/>
                <w:lang w:val="en-US" w:eastAsia="zh-CN"/>
              </w:rPr>
              <w:t>。</w:t>
            </w:r>
          </w:p>
          <w:p w14:paraId="50EBDA15">
            <w:pPr>
              <w:pStyle w:val="31"/>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b w:val="0"/>
                <w:color w:val="auto"/>
                <w:spacing w:val="10"/>
                <w:sz w:val="21"/>
                <w:szCs w:val="21"/>
                <w:highlight w:val="none"/>
                <w:vertAlign w:val="baseline"/>
                <w:lang w:val="en-US" w:eastAsia="zh-CN" w:bidi="ar-SA"/>
              </w:rPr>
            </w:pPr>
            <w:r>
              <w:rPr>
                <w:rFonts w:hint="default" w:ascii="Times New Roman" w:hAnsi="Times New Roman" w:eastAsia="宋体" w:cs="Times New Roman"/>
                <w:b/>
                <w:bCs/>
                <w:color w:val="auto"/>
                <w:spacing w:val="10"/>
                <w:sz w:val="21"/>
                <w:szCs w:val="21"/>
                <w:highlight w:val="none"/>
                <w:lang w:val="en-US" w:eastAsia="zh-CN" w:bidi="ar-SA"/>
              </w:rPr>
              <w:t>表</w:t>
            </w:r>
            <w:r>
              <w:rPr>
                <w:rFonts w:hint="eastAsia" w:ascii="Times New Roman" w:hAnsi="Times New Roman" w:eastAsia="宋体" w:cs="Times New Roman"/>
                <w:b/>
                <w:bCs/>
                <w:color w:val="auto"/>
                <w:spacing w:val="10"/>
                <w:sz w:val="21"/>
                <w:szCs w:val="21"/>
                <w:highlight w:val="none"/>
                <w:lang w:val="en-US" w:eastAsia="zh-CN" w:bidi="ar-SA"/>
              </w:rPr>
              <w:t>8</w:t>
            </w:r>
            <w:r>
              <w:rPr>
                <w:rFonts w:hint="default" w:ascii="Times New Roman" w:hAnsi="Times New Roman" w:eastAsia="宋体" w:cs="Times New Roman"/>
                <w:b/>
                <w:bCs/>
                <w:color w:val="auto"/>
                <w:spacing w:val="10"/>
                <w:sz w:val="21"/>
                <w:szCs w:val="21"/>
                <w:highlight w:val="none"/>
                <w:lang w:val="en-US" w:eastAsia="zh-CN" w:bidi="ar-SA"/>
              </w:rPr>
              <w:t>-</w:t>
            </w:r>
            <w:r>
              <w:rPr>
                <w:rFonts w:hint="eastAsia" w:cs="Times New Roman"/>
                <w:b/>
                <w:bCs/>
                <w:color w:val="auto"/>
                <w:spacing w:val="10"/>
                <w:sz w:val="21"/>
                <w:szCs w:val="21"/>
                <w:highlight w:val="none"/>
                <w:lang w:val="en-US" w:eastAsia="zh-CN" w:bidi="ar-SA"/>
              </w:rPr>
              <w:t>1</w:t>
            </w:r>
            <w:r>
              <w:rPr>
                <w:rFonts w:hint="default" w:ascii="Times New Roman" w:hAnsi="Times New Roman" w:eastAsia="宋体" w:cs="Times New Roman"/>
                <w:b/>
                <w:bCs/>
                <w:color w:val="auto"/>
                <w:spacing w:val="10"/>
                <w:sz w:val="21"/>
                <w:szCs w:val="21"/>
                <w:highlight w:val="none"/>
                <w:lang w:val="en-US" w:eastAsia="zh-CN" w:bidi="ar-SA"/>
              </w:rPr>
              <w:t xml:space="preserve">   土壤监测结果</w:t>
            </w:r>
          </w:p>
          <w:tbl>
            <w:tblPr>
              <w:tblStyle w:val="25"/>
              <w:tblW w:w="827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9"/>
              <w:gridCol w:w="1213"/>
              <w:gridCol w:w="648"/>
              <w:gridCol w:w="775"/>
              <w:gridCol w:w="704"/>
              <w:gridCol w:w="791"/>
              <w:gridCol w:w="709"/>
              <w:gridCol w:w="614"/>
              <w:gridCol w:w="668"/>
              <w:gridCol w:w="573"/>
              <w:gridCol w:w="600"/>
              <w:gridCol w:w="749"/>
            </w:tblGrid>
            <w:tr w14:paraId="0879E7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38" w:type="pct"/>
                  <w:vMerge w:val="restart"/>
                  <w:tcBorders>
                    <w:tl2br w:val="nil"/>
                    <w:tr2bl w:val="nil"/>
                  </w:tcBorders>
                  <w:noWrap w:val="0"/>
                  <w:tcMar>
                    <w:top w:w="0" w:type="dxa"/>
                    <w:left w:w="0" w:type="dxa"/>
                    <w:bottom w:w="0" w:type="dxa"/>
                    <w:right w:w="0" w:type="dxa"/>
                  </w:tcMar>
                  <w:vAlign w:val="center"/>
                </w:tcPr>
                <w:p w14:paraId="243917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序号</w:t>
                  </w:r>
                </w:p>
              </w:tc>
              <w:tc>
                <w:tcPr>
                  <w:tcW w:w="733" w:type="pct"/>
                  <w:vMerge w:val="restart"/>
                  <w:tcBorders>
                    <w:tl2br w:val="nil"/>
                    <w:tr2bl w:val="nil"/>
                  </w:tcBorders>
                  <w:noWrap w:val="0"/>
                  <w:tcMar>
                    <w:top w:w="0" w:type="dxa"/>
                    <w:left w:w="0" w:type="dxa"/>
                    <w:bottom w:w="0" w:type="dxa"/>
                    <w:right w:w="0" w:type="dxa"/>
                  </w:tcMar>
                  <w:vAlign w:val="center"/>
                </w:tcPr>
                <w:p w14:paraId="3CB421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检测项目</w:t>
                  </w:r>
                </w:p>
              </w:tc>
              <w:tc>
                <w:tcPr>
                  <w:tcW w:w="3313" w:type="pct"/>
                  <w:gridSpan w:val="8"/>
                  <w:tcBorders>
                    <w:tl2br w:val="nil"/>
                    <w:tr2bl w:val="nil"/>
                  </w:tcBorders>
                  <w:noWrap w:val="0"/>
                  <w:tcMar>
                    <w:top w:w="0" w:type="dxa"/>
                    <w:left w:w="0" w:type="dxa"/>
                    <w:bottom w:w="0" w:type="dxa"/>
                    <w:right w:w="0" w:type="dxa"/>
                  </w:tcMar>
                  <w:vAlign w:val="center"/>
                </w:tcPr>
                <w:p w14:paraId="36E323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检测结果及日期(2025年3月26日)</w:t>
                  </w:r>
                </w:p>
              </w:tc>
              <w:tc>
                <w:tcPr>
                  <w:tcW w:w="815" w:type="pct"/>
                  <w:gridSpan w:val="2"/>
                  <w:vMerge w:val="restart"/>
                  <w:tcBorders>
                    <w:tl2br w:val="nil"/>
                    <w:tr2bl w:val="nil"/>
                  </w:tcBorders>
                  <w:noWrap w:val="0"/>
                  <w:tcMar>
                    <w:top w:w="0" w:type="dxa"/>
                    <w:left w:w="0" w:type="dxa"/>
                    <w:bottom w:w="0" w:type="dxa"/>
                    <w:right w:w="0" w:type="dxa"/>
                  </w:tcMar>
                  <w:vAlign w:val="center"/>
                </w:tcPr>
                <w:p w14:paraId="5EE5E1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标准限值</w:t>
                  </w:r>
                </w:p>
              </w:tc>
            </w:tr>
            <w:tr w14:paraId="16F05A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38" w:type="pct"/>
                  <w:vMerge w:val="continue"/>
                  <w:tcBorders>
                    <w:tl2br w:val="nil"/>
                    <w:tr2bl w:val="nil"/>
                  </w:tcBorders>
                  <w:noWrap w:val="0"/>
                  <w:tcMar>
                    <w:top w:w="0" w:type="dxa"/>
                    <w:left w:w="0" w:type="dxa"/>
                    <w:bottom w:w="0" w:type="dxa"/>
                    <w:right w:w="0" w:type="dxa"/>
                  </w:tcMar>
                  <w:vAlign w:val="center"/>
                </w:tcPr>
                <w:p w14:paraId="18B2DB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p>
              </w:tc>
              <w:tc>
                <w:tcPr>
                  <w:tcW w:w="733" w:type="pct"/>
                  <w:vMerge w:val="continue"/>
                  <w:tcBorders>
                    <w:tl2br w:val="nil"/>
                    <w:tr2bl w:val="nil"/>
                  </w:tcBorders>
                  <w:noWrap w:val="0"/>
                  <w:tcMar>
                    <w:top w:w="0" w:type="dxa"/>
                    <w:left w:w="0" w:type="dxa"/>
                    <w:bottom w:w="0" w:type="dxa"/>
                    <w:right w:w="0" w:type="dxa"/>
                  </w:tcMar>
                  <w:vAlign w:val="center"/>
                </w:tcPr>
                <w:p w14:paraId="08F70B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p>
              </w:tc>
              <w:tc>
                <w:tcPr>
                  <w:tcW w:w="391" w:type="pct"/>
                  <w:tcBorders>
                    <w:tl2br w:val="nil"/>
                    <w:tr2bl w:val="nil"/>
                  </w:tcBorders>
                  <w:shd w:val="clear" w:color="auto" w:fill="auto"/>
                  <w:noWrap w:val="0"/>
                  <w:tcMar>
                    <w:top w:w="0" w:type="dxa"/>
                    <w:left w:w="0" w:type="dxa"/>
                    <w:bottom w:w="0" w:type="dxa"/>
                    <w:right w:w="0" w:type="dxa"/>
                  </w:tcMar>
                  <w:vAlign w:val="center"/>
                </w:tcPr>
                <w:p w14:paraId="3B77D1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JH2P42井场内(</w:t>
                  </w:r>
                  <w:r>
                    <w:rPr>
                      <w:rFonts w:hint="eastAsia" w:ascii="Times New Roman" w:hAnsi="Times New Roman" w:eastAsia="宋体" w:cs="Times New Roman"/>
                      <w:b w:val="0"/>
                      <w:bCs w:val="0"/>
                      <w:color w:val="auto"/>
                      <w:sz w:val="18"/>
                      <w:szCs w:val="18"/>
                      <w:u w:val="none"/>
                      <w:vertAlign w:val="baseline"/>
                      <w:lang w:val="en-US" w:eastAsia="zh-CN"/>
                    </w:rPr>
                    <w:t>0~0.2m</w:t>
                  </w:r>
                  <w:r>
                    <w:rPr>
                      <w:rFonts w:hint="default" w:ascii="Times New Roman" w:hAnsi="Times New Roman" w:eastAsia="宋体" w:cs="Times New Roman"/>
                      <w:b w:val="0"/>
                      <w:bCs w:val="0"/>
                      <w:color w:val="auto"/>
                      <w:sz w:val="18"/>
                      <w:szCs w:val="18"/>
                      <w:u w:val="none"/>
                      <w:vertAlign w:val="baseline"/>
                      <w:lang w:val="en-US" w:eastAsia="zh-CN"/>
                    </w:rPr>
                    <w:t>)</w:t>
                  </w:r>
                </w:p>
              </w:tc>
              <w:tc>
                <w:tcPr>
                  <w:tcW w:w="468" w:type="pct"/>
                  <w:tcBorders>
                    <w:tl2br w:val="nil"/>
                    <w:tr2bl w:val="nil"/>
                  </w:tcBorders>
                  <w:shd w:val="clear" w:color="auto" w:fill="auto"/>
                  <w:noWrap w:val="0"/>
                  <w:tcMar>
                    <w:top w:w="0" w:type="dxa"/>
                    <w:left w:w="0" w:type="dxa"/>
                    <w:bottom w:w="0" w:type="dxa"/>
                    <w:right w:w="0" w:type="dxa"/>
                  </w:tcMar>
                  <w:vAlign w:val="center"/>
                </w:tcPr>
                <w:p w14:paraId="49F49A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JH2P42井场外</w:t>
                  </w:r>
                </w:p>
                <w:p w14:paraId="230300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w:t>
                  </w:r>
                  <w:r>
                    <w:rPr>
                      <w:rFonts w:hint="eastAsia" w:ascii="Times New Roman" w:hAnsi="Times New Roman" w:eastAsia="宋体" w:cs="Times New Roman"/>
                      <w:b w:val="0"/>
                      <w:bCs w:val="0"/>
                      <w:color w:val="auto"/>
                      <w:sz w:val="18"/>
                      <w:szCs w:val="18"/>
                      <w:u w:val="none"/>
                      <w:vertAlign w:val="baseline"/>
                      <w:lang w:val="en-US" w:eastAsia="zh-CN"/>
                    </w:rPr>
                    <w:t>0~0.2m</w:t>
                  </w:r>
                  <w:r>
                    <w:rPr>
                      <w:rFonts w:hint="default" w:ascii="Times New Roman" w:hAnsi="Times New Roman" w:eastAsia="宋体" w:cs="Times New Roman"/>
                      <w:b w:val="0"/>
                      <w:bCs w:val="0"/>
                      <w:color w:val="auto"/>
                      <w:sz w:val="18"/>
                      <w:szCs w:val="18"/>
                      <w:u w:val="none"/>
                      <w:vertAlign w:val="baseline"/>
                      <w:lang w:val="en-US" w:eastAsia="zh-CN"/>
                    </w:rPr>
                    <w:t>)</w:t>
                  </w:r>
                </w:p>
              </w:tc>
              <w:tc>
                <w:tcPr>
                  <w:tcW w:w="425" w:type="pct"/>
                  <w:tcBorders>
                    <w:tl2br w:val="nil"/>
                    <w:tr2bl w:val="nil"/>
                  </w:tcBorders>
                  <w:shd w:val="clear" w:color="auto" w:fill="auto"/>
                  <w:noWrap w:val="0"/>
                  <w:tcMar>
                    <w:top w:w="0" w:type="dxa"/>
                    <w:left w:w="0" w:type="dxa"/>
                    <w:bottom w:w="0" w:type="dxa"/>
                    <w:right w:w="0" w:type="dxa"/>
                  </w:tcMar>
                  <w:vAlign w:val="center"/>
                </w:tcPr>
                <w:p w14:paraId="35E089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JH2P44井场内(</w:t>
                  </w:r>
                  <w:r>
                    <w:rPr>
                      <w:rFonts w:hint="eastAsia" w:ascii="Times New Roman" w:hAnsi="Times New Roman" w:eastAsia="宋体" w:cs="Times New Roman"/>
                      <w:b w:val="0"/>
                      <w:bCs w:val="0"/>
                      <w:color w:val="auto"/>
                      <w:sz w:val="18"/>
                      <w:szCs w:val="18"/>
                      <w:u w:val="none"/>
                      <w:vertAlign w:val="baseline"/>
                      <w:lang w:val="en-US" w:eastAsia="zh-CN"/>
                    </w:rPr>
                    <w:t>0~0.2m</w:t>
                  </w:r>
                  <w:r>
                    <w:rPr>
                      <w:rFonts w:hint="default" w:ascii="Times New Roman" w:hAnsi="Times New Roman" w:eastAsia="宋体" w:cs="Times New Roman"/>
                      <w:b w:val="0"/>
                      <w:bCs w:val="0"/>
                      <w:color w:val="auto"/>
                      <w:sz w:val="18"/>
                      <w:szCs w:val="18"/>
                      <w:u w:val="none"/>
                      <w:vertAlign w:val="baseline"/>
                      <w:lang w:val="en-US" w:eastAsia="zh-CN"/>
                    </w:rPr>
                    <w:t>)</w:t>
                  </w:r>
                </w:p>
              </w:tc>
              <w:tc>
                <w:tcPr>
                  <w:tcW w:w="478" w:type="pct"/>
                  <w:tcBorders>
                    <w:tl2br w:val="nil"/>
                    <w:tr2bl w:val="nil"/>
                  </w:tcBorders>
                  <w:shd w:val="clear" w:color="auto" w:fill="auto"/>
                  <w:noWrap w:val="0"/>
                  <w:tcMar>
                    <w:top w:w="0" w:type="dxa"/>
                    <w:left w:w="0" w:type="dxa"/>
                    <w:bottom w:w="0" w:type="dxa"/>
                    <w:right w:w="0" w:type="dxa"/>
                  </w:tcMar>
                  <w:vAlign w:val="center"/>
                </w:tcPr>
                <w:p w14:paraId="08790C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JH2P44井场外(</w:t>
                  </w:r>
                  <w:r>
                    <w:rPr>
                      <w:rFonts w:hint="eastAsia" w:ascii="Times New Roman" w:hAnsi="Times New Roman" w:eastAsia="宋体" w:cs="Times New Roman"/>
                      <w:b w:val="0"/>
                      <w:bCs w:val="0"/>
                      <w:color w:val="auto"/>
                      <w:sz w:val="18"/>
                      <w:szCs w:val="18"/>
                      <w:u w:val="none"/>
                      <w:vertAlign w:val="baseline"/>
                      <w:lang w:val="en-US" w:eastAsia="zh-CN"/>
                    </w:rPr>
                    <w:t>0~0.2m</w:t>
                  </w:r>
                  <w:r>
                    <w:rPr>
                      <w:rFonts w:hint="default" w:ascii="Times New Roman" w:hAnsi="Times New Roman" w:eastAsia="宋体" w:cs="Times New Roman"/>
                      <w:b w:val="0"/>
                      <w:bCs w:val="0"/>
                      <w:color w:val="auto"/>
                      <w:sz w:val="18"/>
                      <w:szCs w:val="18"/>
                      <w:u w:val="none"/>
                      <w:vertAlign w:val="baseline"/>
                      <w:lang w:val="en-US" w:eastAsia="zh-CN"/>
                    </w:rPr>
                    <w:t>)</w:t>
                  </w:r>
                </w:p>
              </w:tc>
              <w:tc>
                <w:tcPr>
                  <w:tcW w:w="428" w:type="pct"/>
                  <w:tcBorders>
                    <w:tl2br w:val="nil"/>
                    <w:tr2bl w:val="nil"/>
                  </w:tcBorders>
                  <w:shd w:val="clear" w:color="auto" w:fill="auto"/>
                  <w:noWrap w:val="0"/>
                  <w:tcMar>
                    <w:top w:w="0" w:type="dxa"/>
                    <w:left w:w="0" w:type="dxa"/>
                    <w:bottom w:w="0" w:type="dxa"/>
                    <w:right w:w="0" w:type="dxa"/>
                  </w:tcMar>
                  <w:vAlign w:val="center"/>
                </w:tcPr>
                <w:p w14:paraId="58DE91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长探105井场内(</w:t>
                  </w:r>
                  <w:r>
                    <w:rPr>
                      <w:rFonts w:hint="eastAsia" w:ascii="Times New Roman" w:hAnsi="Times New Roman" w:eastAsia="宋体" w:cs="Times New Roman"/>
                      <w:b w:val="0"/>
                      <w:bCs w:val="0"/>
                      <w:color w:val="auto"/>
                      <w:sz w:val="18"/>
                      <w:szCs w:val="18"/>
                      <w:u w:val="none"/>
                      <w:vertAlign w:val="baseline"/>
                      <w:lang w:val="en-US" w:eastAsia="zh-CN"/>
                    </w:rPr>
                    <w:t>0~0.2m</w:t>
                  </w:r>
                  <w:r>
                    <w:rPr>
                      <w:rFonts w:hint="default" w:ascii="Times New Roman" w:hAnsi="Times New Roman" w:eastAsia="宋体" w:cs="Times New Roman"/>
                      <w:b w:val="0"/>
                      <w:bCs w:val="0"/>
                      <w:color w:val="auto"/>
                      <w:sz w:val="18"/>
                      <w:szCs w:val="18"/>
                      <w:u w:val="none"/>
                      <w:vertAlign w:val="baseline"/>
                      <w:lang w:val="en-US" w:eastAsia="zh-CN"/>
                    </w:rPr>
                    <w:t>)</w:t>
                  </w:r>
                </w:p>
              </w:tc>
              <w:tc>
                <w:tcPr>
                  <w:tcW w:w="371" w:type="pct"/>
                  <w:tcBorders>
                    <w:tl2br w:val="nil"/>
                    <w:tr2bl w:val="nil"/>
                  </w:tcBorders>
                  <w:shd w:val="clear" w:color="auto" w:fill="auto"/>
                  <w:noWrap w:val="0"/>
                  <w:tcMar>
                    <w:top w:w="0" w:type="dxa"/>
                    <w:left w:w="0" w:type="dxa"/>
                    <w:bottom w:w="0" w:type="dxa"/>
                    <w:right w:w="0" w:type="dxa"/>
                  </w:tcMar>
                  <w:vAlign w:val="center"/>
                </w:tcPr>
                <w:p w14:paraId="1DED8B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长探105井场外</w:t>
                  </w:r>
                </w:p>
                <w:p w14:paraId="3BA6CF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w:t>
                  </w:r>
                  <w:r>
                    <w:rPr>
                      <w:rFonts w:hint="eastAsia" w:ascii="Times New Roman" w:hAnsi="Times New Roman" w:eastAsia="宋体" w:cs="Times New Roman"/>
                      <w:b w:val="0"/>
                      <w:bCs w:val="0"/>
                      <w:color w:val="auto"/>
                      <w:sz w:val="18"/>
                      <w:szCs w:val="18"/>
                      <w:u w:val="none"/>
                      <w:vertAlign w:val="baseline"/>
                      <w:lang w:val="en-US" w:eastAsia="zh-CN"/>
                    </w:rPr>
                    <w:t>0~0.2m</w:t>
                  </w:r>
                  <w:r>
                    <w:rPr>
                      <w:rFonts w:hint="default" w:ascii="Times New Roman" w:hAnsi="Times New Roman" w:eastAsia="宋体" w:cs="Times New Roman"/>
                      <w:b w:val="0"/>
                      <w:bCs w:val="0"/>
                      <w:color w:val="auto"/>
                      <w:sz w:val="18"/>
                      <w:szCs w:val="18"/>
                      <w:u w:val="none"/>
                      <w:vertAlign w:val="baseline"/>
                      <w:lang w:val="en-US" w:eastAsia="zh-CN"/>
                    </w:rPr>
                    <w:t>)</w:t>
                  </w:r>
                </w:p>
                <w:p w14:paraId="1881AE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p>
              </w:tc>
              <w:tc>
                <w:tcPr>
                  <w:tcW w:w="403" w:type="pct"/>
                  <w:tcBorders>
                    <w:tl2br w:val="nil"/>
                    <w:tr2bl w:val="nil"/>
                  </w:tcBorders>
                  <w:shd w:val="clear" w:color="auto" w:fill="auto"/>
                  <w:noWrap w:val="0"/>
                  <w:tcMar>
                    <w:top w:w="0" w:type="dxa"/>
                    <w:left w:w="0" w:type="dxa"/>
                    <w:bottom w:w="0" w:type="dxa"/>
                    <w:right w:w="0" w:type="dxa"/>
                  </w:tcMar>
                  <w:vAlign w:val="center"/>
                </w:tcPr>
                <w:p w14:paraId="111044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良平101H井场</w:t>
                  </w:r>
                  <w:r>
                    <w:rPr>
                      <w:rFonts w:hint="eastAsia" w:ascii="Times New Roman" w:hAnsi="Times New Roman" w:eastAsia="宋体" w:cs="Times New Roman"/>
                      <w:b w:val="0"/>
                      <w:bCs w:val="0"/>
                      <w:color w:val="auto"/>
                      <w:sz w:val="18"/>
                      <w:szCs w:val="18"/>
                      <w:u w:val="none"/>
                      <w:vertAlign w:val="baseline"/>
                      <w:lang w:val="en-US" w:eastAsia="zh-CN"/>
                    </w:rPr>
                    <w:t>内</w:t>
                  </w:r>
                </w:p>
                <w:p w14:paraId="78A010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w:t>
                  </w:r>
                  <w:r>
                    <w:rPr>
                      <w:rFonts w:hint="eastAsia" w:ascii="Times New Roman" w:hAnsi="Times New Roman" w:eastAsia="宋体" w:cs="Times New Roman"/>
                      <w:b w:val="0"/>
                      <w:bCs w:val="0"/>
                      <w:color w:val="auto"/>
                      <w:sz w:val="18"/>
                      <w:szCs w:val="18"/>
                      <w:u w:val="none"/>
                      <w:vertAlign w:val="baseline"/>
                      <w:lang w:val="en-US" w:eastAsia="zh-CN"/>
                    </w:rPr>
                    <w:t>0~0.2m</w:t>
                  </w:r>
                  <w:r>
                    <w:rPr>
                      <w:rFonts w:hint="default" w:ascii="Times New Roman" w:hAnsi="Times New Roman" w:eastAsia="宋体" w:cs="Times New Roman"/>
                      <w:b w:val="0"/>
                      <w:bCs w:val="0"/>
                      <w:color w:val="auto"/>
                      <w:sz w:val="18"/>
                      <w:szCs w:val="18"/>
                      <w:u w:val="none"/>
                      <w:vertAlign w:val="baseline"/>
                      <w:lang w:val="en-US" w:eastAsia="zh-CN"/>
                    </w:rPr>
                    <w:t>)</w:t>
                  </w:r>
                </w:p>
              </w:tc>
              <w:tc>
                <w:tcPr>
                  <w:tcW w:w="346" w:type="pct"/>
                  <w:tcBorders>
                    <w:tl2br w:val="nil"/>
                    <w:tr2bl w:val="nil"/>
                  </w:tcBorders>
                  <w:shd w:val="clear" w:color="auto" w:fill="auto"/>
                  <w:noWrap w:val="0"/>
                  <w:tcMar>
                    <w:top w:w="0" w:type="dxa"/>
                    <w:left w:w="0" w:type="dxa"/>
                    <w:bottom w:w="0" w:type="dxa"/>
                    <w:right w:w="0" w:type="dxa"/>
                  </w:tcMar>
                  <w:vAlign w:val="center"/>
                </w:tcPr>
                <w:p w14:paraId="62F56C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良平101H井场外</w:t>
                  </w:r>
                </w:p>
                <w:p w14:paraId="63570B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w:t>
                  </w:r>
                  <w:r>
                    <w:rPr>
                      <w:rFonts w:hint="eastAsia" w:ascii="Times New Roman" w:hAnsi="Times New Roman" w:eastAsia="宋体" w:cs="Times New Roman"/>
                      <w:b w:val="0"/>
                      <w:bCs w:val="0"/>
                      <w:color w:val="auto"/>
                      <w:sz w:val="18"/>
                      <w:szCs w:val="18"/>
                      <w:u w:val="none"/>
                      <w:vertAlign w:val="baseline"/>
                      <w:lang w:val="en-US" w:eastAsia="zh-CN"/>
                    </w:rPr>
                    <w:t>0~0.2m</w:t>
                  </w:r>
                  <w:r>
                    <w:rPr>
                      <w:rFonts w:hint="default" w:ascii="Times New Roman" w:hAnsi="Times New Roman" w:eastAsia="宋体" w:cs="Times New Roman"/>
                      <w:b w:val="0"/>
                      <w:bCs w:val="0"/>
                      <w:color w:val="auto"/>
                      <w:sz w:val="18"/>
                      <w:szCs w:val="18"/>
                      <w:u w:val="none"/>
                      <w:vertAlign w:val="baseline"/>
                      <w:lang w:val="en-US" w:eastAsia="zh-CN"/>
                    </w:rPr>
                    <w:t>)</w:t>
                  </w:r>
                </w:p>
              </w:tc>
              <w:tc>
                <w:tcPr>
                  <w:tcW w:w="815" w:type="pct"/>
                  <w:gridSpan w:val="2"/>
                  <w:vMerge w:val="continue"/>
                  <w:tcBorders>
                    <w:tl2br w:val="nil"/>
                    <w:tr2bl w:val="nil"/>
                  </w:tcBorders>
                  <w:noWrap w:val="0"/>
                  <w:tcMar>
                    <w:top w:w="0" w:type="dxa"/>
                    <w:left w:w="0" w:type="dxa"/>
                    <w:bottom w:w="0" w:type="dxa"/>
                    <w:right w:w="0" w:type="dxa"/>
                  </w:tcMar>
                  <w:vAlign w:val="center"/>
                </w:tcPr>
                <w:p w14:paraId="188F9C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p>
              </w:tc>
            </w:tr>
            <w:tr w14:paraId="73C475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38" w:type="pct"/>
                  <w:tcBorders>
                    <w:tl2br w:val="nil"/>
                    <w:tr2bl w:val="nil"/>
                  </w:tcBorders>
                  <w:noWrap w:val="0"/>
                  <w:tcMar>
                    <w:top w:w="0" w:type="dxa"/>
                    <w:left w:w="0" w:type="dxa"/>
                    <w:bottom w:w="0" w:type="dxa"/>
                    <w:right w:w="0" w:type="dxa"/>
                  </w:tcMar>
                  <w:vAlign w:val="center"/>
                </w:tcPr>
                <w:p w14:paraId="61746F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bookmarkStart w:id="17" w:name="OLE_LINK25" w:colFirst="1" w:colLast="1"/>
                  <w:r>
                    <w:rPr>
                      <w:rFonts w:hint="default" w:ascii="Times New Roman" w:hAnsi="Times New Roman" w:eastAsia="宋体" w:cs="Times New Roman"/>
                      <w:b w:val="0"/>
                      <w:bCs w:val="0"/>
                      <w:color w:val="auto"/>
                      <w:sz w:val="18"/>
                      <w:szCs w:val="18"/>
                      <w:u w:val="none"/>
                      <w:vertAlign w:val="baseline"/>
                      <w:lang w:val="en-US" w:eastAsia="zh-CN"/>
                    </w:rPr>
                    <w:t>1</w:t>
                  </w:r>
                </w:p>
              </w:tc>
              <w:tc>
                <w:tcPr>
                  <w:tcW w:w="733" w:type="pct"/>
                  <w:tcBorders>
                    <w:tl2br w:val="nil"/>
                    <w:tr2bl w:val="nil"/>
                  </w:tcBorders>
                  <w:shd w:val="clear" w:color="auto" w:fill="auto"/>
                  <w:noWrap w:val="0"/>
                  <w:tcMar>
                    <w:top w:w="0" w:type="dxa"/>
                    <w:left w:w="0" w:type="dxa"/>
                    <w:bottom w:w="0" w:type="dxa"/>
                    <w:right w:w="0" w:type="dxa"/>
                  </w:tcMar>
                  <w:vAlign w:val="center"/>
                </w:tcPr>
                <w:p w14:paraId="775C7B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pH（无量纲）</w:t>
                  </w:r>
                </w:p>
              </w:tc>
              <w:tc>
                <w:tcPr>
                  <w:tcW w:w="391" w:type="pct"/>
                  <w:tcBorders>
                    <w:tl2br w:val="nil"/>
                    <w:tr2bl w:val="nil"/>
                  </w:tcBorders>
                  <w:shd w:val="clear" w:color="auto" w:fill="auto"/>
                  <w:noWrap w:val="0"/>
                  <w:tcMar>
                    <w:top w:w="0" w:type="dxa"/>
                    <w:left w:w="0" w:type="dxa"/>
                    <w:bottom w:w="0" w:type="dxa"/>
                    <w:right w:w="0" w:type="dxa"/>
                  </w:tcMar>
                  <w:vAlign w:val="center"/>
                </w:tcPr>
                <w:p w14:paraId="080AC9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7.48</w:t>
                  </w:r>
                </w:p>
              </w:tc>
              <w:tc>
                <w:tcPr>
                  <w:tcW w:w="468" w:type="pct"/>
                  <w:tcBorders>
                    <w:tl2br w:val="nil"/>
                    <w:tr2bl w:val="nil"/>
                  </w:tcBorders>
                  <w:shd w:val="clear" w:color="auto" w:fill="auto"/>
                  <w:noWrap w:val="0"/>
                  <w:tcMar>
                    <w:top w:w="0" w:type="dxa"/>
                    <w:left w:w="0" w:type="dxa"/>
                    <w:bottom w:w="0" w:type="dxa"/>
                    <w:right w:w="0" w:type="dxa"/>
                  </w:tcMar>
                  <w:vAlign w:val="center"/>
                </w:tcPr>
                <w:p w14:paraId="148E48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 xml:space="preserve">7.31 </w:t>
                  </w:r>
                </w:p>
              </w:tc>
              <w:tc>
                <w:tcPr>
                  <w:tcW w:w="425" w:type="pct"/>
                  <w:tcBorders>
                    <w:tl2br w:val="nil"/>
                    <w:tr2bl w:val="nil"/>
                  </w:tcBorders>
                  <w:shd w:val="clear" w:color="auto" w:fill="auto"/>
                  <w:noWrap w:val="0"/>
                  <w:tcMar>
                    <w:top w:w="0" w:type="dxa"/>
                    <w:left w:w="0" w:type="dxa"/>
                    <w:bottom w:w="0" w:type="dxa"/>
                    <w:right w:w="0" w:type="dxa"/>
                  </w:tcMar>
                  <w:vAlign w:val="center"/>
                </w:tcPr>
                <w:p w14:paraId="21C272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bCs/>
                      <w:color w:val="auto"/>
                      <w:sz w:val="18"/>
                      <w:szCs w:val="18"/>
                      <w:u w:val="none"/>
                      <w:vertAlign w:val="baseline"/>
                      <w:lang w:val="en-US" w:eastAsia="zh-CN"/>
                    </w:rPr>
                    <w:t>7.53</w:t>
                  </w:r>
                  <w:r>
                    <w:rPr>
                      <w:rFonts w:hint="default" w:ascii="Times New Roman" w:hAnsi="Times New Roman" w:eastAsia="宋体" w:cs="Times New Roman"/>
                      <w:b w:val="0"/>
                      <w:bCs w:val="0"/>
                      <w:color w:val="auto"/>
                      <w:sz w:val="18"/>
                      <w:szCs w:val="18"/>
                      <w:u w:val="none"/>
                      <w:vertAlign w:val="baseline"/>
                      <w:lang w:val="en-US" w:eastAsia="zh-CN"/>
                    </w:rPr>
                    <w:t xml:space="preserve"> </w:t>
                  </w:r>
                </w:p>
              </w:tc>
              <w:tc>
                <w:tcPr>
                  <w:tcW w:w="478" w:type="pct"/>
                  <w:tcBorders>
                    <w:tl2br w:val="nil"/>
                    <w:tr2bl w:val="nil"/>
                  </w:tcBorders>
                  <w:shd w:val="clear" w:color="auto" w:fill="auto"/>
                  <w:noWrap w:val="0"/>
                  <w:tcMar>
                    <w:top w:w="0" w:type="dxa"/>
                    <w:left w:w="0" w:type="dxa"/>
                    <w:bottom w:w="0" w:type="dxa"/>
                    <w:right w:w="0" w:type="dxa"/>
                  </w:tcMar>
                  <w:vAlign w:val="center"/>
                </w:tcPr>
                <w:p w14:paraId="7AD3DC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 xml:space="preserve">7.17 </w:t>
                  </w:r>
                </w:p>
              </w:tc>
              <w:tc>
                <w:tcPr>
                  <w:tcW w:w="428" w:type="pct"/>
                  <w:tcBorders>
                    <w:tl2br w:val="nil"/>
                    <w:tr2bl w:val="nil"/>
                  </w:tcBorders>
                  <w:shd w:val="clear" w:color="auto" w:fill="auto"/>
                  <w:noWrap w:val="0"/>
                  <w:tcMar>
                    <w:top w:w="0" w:type="dxa"/>
                    <w:left w:w="0" w:type="dxa"/>
                    <w:bottom w:w="0" w:type="dxa"/>
                    <w:right w:w="0" w:type="dxa"/>
                  </w:tcMar>
                  <w:vAlign w:val="center"/>
                </w:tcPr>
                <w:p w14:paraId="51951B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bCs/>
                      <w:color w:val="auto"/>
                      <w:sz w:val="18"/>
                      <w:szCs w:val="18"/>
                      <w:u w:val="none"/>
                      <w:vertAlign w:val="baseline"/>
                      <w:lang w:val="en-US" w:eastAsia="zh-CN"/>
                    </w:rPr>
                    <w:t>7.6</w:t>
                  </w:r>
                  <w:r>
                    <w:rPr>
                      <w:rFonts w:hint="eastAsia" w:ascii="Times New Roman" w:hAnsi="Times New Roman" w:eastAsia="宋体" w:cs="Times New Roman"/>
                      <w:b/>
                      <w:bCs/>
                      <w:color w:val="auto"/>
                      <w:sz w:val="18"/>
                      <w:szCs w:val="18"/>
                      <w:u w:val="none"/>
                      <w:vertAlign w:val="baseline"/>
                      <w:lang w:val="en-US" w:eastAsia="zh-CN"/>
                    </w:rPr>
                    <w:t>2</w:t>
                  </w:r>
                </w:p>
              </w:tc>
              <w:tc>
                <w:tcPr>
                  <w:tcW w:w="371" w:type="pct"/>
                  <w:tcBorders>
                    <w:tl2br w:val="nil"/>
                    <w:tr2bl w:val="nil"/>
                  </w:tcBorders>
                  <w:shd w:val="clear" w:color="auto" w:fill="auto"/>
                  <w:noWrap w:val="0"/>
                  <w:tcMar>
                    <w:top w:w="0" w:type="dxa"/>
                    <w:left w:w="0" w:type="dxa"/>
                    <w:bottom w:w="0" w:type="dxa"/>
                    <w:right w:w="0" w:type="dxa"/>
                  </w:tcMar>
                  <w:vAlign w:val="center"/>
                </w:tcPr>
                <w:p w14:paraId="49797E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 xml:space="preserve">7.34 </w:t>
                  </w:r>
                </w:p>
              </w:tc>
              <w:tc>
                <w:tcPr>
                  <w:tcW w:w="403" w:type="pct"/>
                  <w:tcBorders>
                    <w:tl2br w:val="nil"/>
                    <w:tr2bl w:val="nil"/>
                  </w:tcBorders>
                  <w:shd w:val="clear" w:color="auto" w:fill="auto"/>
                  <w:noWrap w:val="0"/>
                  <w:tcMar>
                    <w:top w:w="0" w:type="dxa"/>
                    <w:left w:w="0" w:type="dxa"/>
                    <w:bottom w:w="0" w:type="dxa"/>
                    <w:right w:w="0" w:type="dxa"/>
                  </w:tcMar>
                  <w:vAlign w:val="center"/>
                </w:tcPr>
                <w:p w14:paraId="0BC44A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 xml:space="preserve">7.28 </w:t>
                  </w:r>
                </w:p>
              </w:tc>
              <w:tc>
                <w:tcPr>
                  <w:tcW w:w="346" w:type="pct"/>
                  <w:tcBorders>
                    <w:tl2br w:val="nil"/>
                    <w:tr2bl w:val="nil"/>
                  </w:tcBorders>
                  <w:shd w:val="clear" w:color="auto" w:fill="auto"/>
                  <w:noWrap w:val="0"/>
                  <w:tcMar>
                    <w:top w:w="0" w:type="dxa"/>
                    <w:left w:w="0" w:type="dxa"/>
                    <w:bottom w:w="0" w:type="dxa"/>
                    <w:right w:w="0" w:type="dxa"/>
                  </w:tcMar>
                  <w:vAlign w:val="center"/>
                </w:tcPr>
                <w:p w14:paraId="6FCFBA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 xml:space="preserve">7.21 </w:t>
                  </w:r>
                </w:p>
              </w:tc>
              <w:tc>
                <w:tcPr>
                  <w:tcW w:w="362" w:type="pct"/>
                  <w:tcBorders>
                    <w:tl2br w:val="nil"/>
                    <w:tr2bl w:val="nil"/>
                  </w:tcBorders>
                  <w:shd w:val="clear" w:color="auto" w:fill="auto"/>
                  <w:noWrap w:val="0"/>
                  <w:tcMar>
                    <w:top w:w="0" w:type="dxa"/>
                    <w:left w:w="0" w:type="dxa"/>
                    <w:bottom w:w="0" w:type="dxa"/>
                    <w:right w:w="0" w:type="dxa"/>
                  </w:tcMar>
                  <w:vAlign w:val="center"/>
                </w:tcPr>
                <w:p w14:paraId="62FDBE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FF0000"/>
                      <w:sz w:val="18"/>
                      <w:szCs w:val="18"/>
                      <w:u w:val="none"/>
                      <w:vertAlign w:val="baseline"/>
                      <w:lang w:val="en-US" w:eastAsia="zh-CN"/>
                    </w:rPr>
                  </w:pPr>
                  <w:r>
                    <w:rPr>
                      <w:rFonts w:hint="default" w:ascii="Times New Roman" w:hAnsi="Times New Roman" w:eastAsia="宋体" w:cs="Times New Roman"/>
                      <w:b/>
                      <w:bCs/>
                      <w:color w:val="FF0000"/>
                      <w:sz w:val="18"/>
                      <w:szCs w:val="18"/>
                      <w:u w:val="none"/>
                      <w:vertAlign w:val="baseline"/>
                      <w:lang w:val="en-US" w:eastAsia="zh-CN"/>
                    </w:rPr>
                    <w:t>pH＞7.5</w:t>
                  </w:r>
                </w:p>
              </w:tc>
              <w:tc>
                <w:tcPr>
                  <w:tcW w:w="452" w:type="pct"/>
                  <w:tcBorders>
                    <w:tl2br w:val="nil"/>
                    <w:tr2bl w:val="nil"/>
                  </w:tcBorders>
                  <w:shd w:val="clear" w:color="auto" w:fill="auto"/>
                  <w:noWrap w:val="0"/>
                  <w:tcMar>
                    <w:top w:w="0" w:type="dxa"/>
                    <w:left w:w="0" w:type="dxa"/>
                    <w:bottom w:w="0" w:type="dxa"/>
                    <w:right w:w="0" w:type="dxa"/>
                  </w:tcMar>
                  <w:vAlign w:val="center"/>
                </w:tcPr>
                <w:p w14:paraId="271DCD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6.5＜pH≤7.5</w:t>
                  </w:r>
                </w:p>
              </w:tc>
            </w:tr>
            <w:tr w14:paraId="41381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38" w:type="pct"/>
                  <w:tcBorders>
                    <w:tl2br w:val="nil"/>
                    <w:tr2bl w:val="nil"/>
                  </w:tcBorders>
                  <w:noWrap w:val="0"/>
                  <w:tcMar>
                    <w:top w:w="0" w:type="dxa"/>
                    <w:left w:w="0" w:type="dxa"/>
                    <w:bottom w:w="0" w:type="dxa"/>
                    <w:right w:w="0" w:type="dxa"/>
                  </w:tcMar>
                  <w:vAlign w:val="center"/>
                </w:tcPr>
                <w:p w14:paraId="5DA94F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2</w:t>
                  </w:r>
                </w:p>
              </w:tc>
              <w:tc>
                <w:tcPr>
                  <w:tcW w:w="733" w:type="pct"/>
                  <w:tcBorders>
                    <w:tl2br w:val="nil"/>
                    <w:tr2bl w:val="nil"/>
                  </w:tcBorders>
                  <w:shd w:val="clear" w:color="auto" w:fill="auto"/>
                  <w:noWrap w:val="0"/>
                  <w:tcMar>
                    <w:top w:w="0" w:type="dxa"/>
                    <w:left w:w="0" w:type="dxa"/>
                    <w:bottom w:w="0" w:type="dxa"/>
                    <w:right w:w="0" w:type="dxa"/>
                  </w:tcMar>
                  <w:vAlign w:val="center"/>
                </w:tcPr>
                <w:p w14:paraId="4BBA23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zh-CN" w:eastAsia="zh-CN"/>
                    </w:rPr>
                  </w:pPr>
                  <w:r>
                    <w:rPr>
                      <w:rFonts w:hint="default" w:ascii="Times New Roman" w:hAnsi="Times New Roman" w:eastAsia="宋体" w:cs="Times New Roman"/>
                      <w:b w:val="0"/>
                      <w:bCs w:val="0"/>
                      <w:color w:val="auto"/>
                      <w:sz w:val="18"/>
                      <w:szCs w:val="18"/>
                      <w:u w:val="none"/>
                      <w:vertAlign w:val="baseline"/>
                      <w:lang w:val="en-US" w:eastAsia="zh-CN"/>
                    </w:rPr>
                    <w:t>镉(mg/kg)</w:t>
                  </w:r>
                </w:p>
              </w:tc>
              <w:tc>
                <w:tcPr>
                  <w:tcW w:w="391" w:type="pct"/>
                  <w:tcBorders>
                    <w:tl2br w:val="nil"/>
                    <w:tr2bl w:val="nil"/>
                  </w:tcBorders>
                  <w:shd w:val="clear" w:color="auto" w:fill="auto"/>
                  <w:noWrap w:val="0"/>
                  <w:tcMar>
                    <w:top w:w="0" w:type="dxa"/>
                    <w:left w:w="0" w:type="dxa"/>
                    <w:bottom w:w="0" w:type="dxa"/>
                    <w:right w:w="0" w:type="dxa"/>
                  </w:tcMar>
                  <w:vAlign w:val="center"/>
                </w:tcPr>
                <w:p w14:paraId="20D405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0.23</w:t>
                  </w:r>
                </w:p>
              </w:tc>
              <w:tc>
                <w:tcPr>
                  <w:tcW w:w="468" w:type="pct"/>
                  <w:tcBorders>
                    <w:tl2br w:val="nil"/>
                    <w:tr2bl w:val="nil"/>
                  </w:tcBorders>
                  <w:shd w:val="clear" w:color="auto" w:fill="auto"/>
                  <w:noWrap w:val="0"/>
                  <w:tcMar>
                    <w:top w:w="0" w:type="dxa"/>
                    <w:left w:w="0" w:type="dxa"/>
                    <w:bottom w:w="0" w:type="dxa"/>
                    <w:right w:w="0" w:type="dxa"/>
                  </w:tcMar>
                  <w:vAlign w:val="center"/>
                </w:tcPr>
                <w:p w14:paraId="0EB8B7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0.27</w:t>
                  </w:r>
                </w:p>
              </w:tc>
              <w:tc>
                <w:tcPr>
                  <w:tcW w:w="425" w:type="pct"/>
                  <w:tcBorders>
                    <w:tl2br w:val="nil"/>
                    <w:tr2bl w:val="nil"/>
                  </w:tcBorders>
                  <w:shd w:val="clear" w:color="auto" w:fill="auto"/>
                  <w:noWrap w:val="0"/>
                  <w:tcMar>
                    <w:top w:w="0" w:type="dxa"/>
                    <w:left w:w="0" w:type="dxa"/>
                    <w:bottom w:w="0" w:type="dxa"/>
                    <w:right w:w="0" w:type="dxa"/>
                  </w:tcMar>
                  <w:vAlign w:val="center"/>
                </w:tcPr>
                <w:p w14:paraId="252924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0.32</w:t>
                  </w:r>
                </w:p>
              </w:tc>
              <w:tc>
                <w:tcPr>
                  <w:tcW w:w="478" w:type="pct"/>
                  <w:tcBorders>
                    <w:tl2br w:val="nil"/>
                    <w:tr2bl w:val="nil"/>
                  </w:tcBorders>
                  <w:shd w:val="clear" w:color="auto" w:fill="auto"/>
                  <w:noWrap w:val="0"/>
                  <w:tcMar>
                    <w:top w:w="0" w:type="dxa"/>
                    <w:left w:w="0" w:type="dxa"/>
                    <w:bottom w:w="0" w:type="dxa"/>
                    <w:right w:w="0" w:type="dxa"/>
                  </w:tcMar>
                  <w:vAlign w:val="center"/>
                </w:tcPr>
                <w:p w14:paraId="5B5317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FF0000"/>
                      <w:sz w:val="18"/>
                      <w:szCs w:val="18"/>
                      <w:u w:val="none"/>
                      <w:vertAlign w:val="baseline"/>
                      <w:lang w:val="en-US" w:eastAsia="zh-CN"/>
                    </w:rPr>
                    <w:t>0.27</w:t>
                  </w:r>
                </w:p>
              </w:tc>
              <w:tc>
                <w:tcPr>
                  <w:tcW w:w="428" w:type="pct"/>
                  <w:tcBorders>
                    <w:tl2br w:val="nil"/>
                    <w:tr2bl w:val="nil"/>
                  </w:tcBorders>
                  <w:shd w:val="clear" w:color="auto" w:fill="auto"/>
                  <w:noWrap w:val="0"/>
                  <w:tcMar>
                    <w:top w:w="0" w:type="dxa"/>
                    <w:left w:w="0" w:type="dxa"/>
                    <w:bottom w:w="0" w:type="dxa"/>
                    <w:right w:w="0" w:type="dxa"/>
                  </w:tcMar>
                  <w:vAlign w:val="center"/>
                </w:tcPr>
                <w:p w14:paraId="5220D6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0.28</w:t>
                  </w:r>
                </w:p>
              </w:tc>
              <w:tc>
                <w:tcPr>
                  <w:tcW w:w="371" w:type="pct"/>
                  <w:tcBorders>
                    <w:tl2br w:val="nil"/>
                    <w:tr2bl w:val="nil"/>
                  </w:tcBorders>
                  <w:shd w:val="clear" w:color="auto" w:fill="auto"/>
                  <w:noWrap w:val="0"/>
                  <w:tcMar>
                    <w:top w:w="0" w:type="dxa"/>
                    <w:left w:w="0" w:type="dxa"/>
                    <w:bottom w:w="0" w:type="dxa"/>
                    <w:right w:w="0" w:type="dxa"/>
                  </w:tcMar>
                  <w:vAlign w:val="center"/>
                </w:tcPr>
                <w:p w14:paraId="5E2C19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FF0000"/>
                      <w:sz w:val="18"/>
                      <w:szCs w:val="18"/>
                      <w:u w:val="none"/>
                      <w:vertAlign w:val="baseline"/>
                      <w:lang w:val="en-US" w:eastAsia="zh-CN"/>
                    </w:rPr>
                    <w:t>0.26</w:t>
                  </w:r>
                </w:p>
              </w:tc>
              <w:tc>
                <w:tcPr>
                  <w:tcW w:w="403" w:type="pct"/>
                  <w:tcBorders>
                    <w:tl2br w:val="nil"/>
                    <w:tr2bl w:val="nil"/>
                  </w:tcBorders>
                  <w:shd w:val="clear" w:color="auto" w:fill="auto"/>
                  <w:noWrap w:val="0"/>
                  <w:tcMar>
                    <w:top w:w="0" w:type="dxa"/>
                    <w:left w:w="0" w:type="dxa"/>
                    <w:bottom w:w="0" w:type="dxa"/>
                    <w:right w:w="0" w:type="dxa"/>
                  </w:tcMar>
                  <w:vAlign w:val="center"/>
                </w:tcPr>
                <w:p w14:paraId="086C65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0.23</w:t>
                  </w:r>
                </w:p>
              </w:tc>
              <w:tc>
                <w:tcPr>
                  <w:tcW w:w="346" w:type="pct"/>
                  <w:tcBorders>
                    <w:tl2br w:val="nil"/>
                    <w:tr2bl w:val="nil"/>
                  </w:tcBorders>
                  <w:shd w:val="clear" w:color="auto" w:fill="auto"/>
                  <w:noWrap w:val="0"/>
                  <w:tcMar>
                    <w:top w:w="0" w:type="dxa"/>
                    <w:left w:w="0" w:type="dxa"/>
                    <w:bottom w:w="0" w:type="dxa"/>
                    <w:right w:w="0" w:type="dxa"/>
                  </w:tcMar>
                  <w:vAlign w:val="center"/>
                </w:tcPr>
                <w:p w14:paraId="4E0AD5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FF0000"/>
                      <w:sz w:val="18"/>
                      <w:szCs w:val="18"/>
                      <w:u w:val="none"/>
                      <w:vertAlign w:val="baseline"/>
                      <w:lang w:val="en-US" w:eastAsia="zh-CN"/>
                    </w:rPr>
                  </w:pPr>
                  <w:r>
                    <w:rPr>
                      <w:rFonts w:hint="default" w:ascii="Times New Roman" w:hAnsi="Times New Roman" w:eastAsia="宋体" w:cs="Times New Roman"/>
                      <w:b w:val="0"/>
                      <w:bCs w:val="0"/>
                      <w:color w:val="FF0000"/>
                      <w:sz w:val="18"/>
                      <w:szCs w:val="18"/>
                      <w:u w:val="none"/>
                      <w:vertAlign w:val="baseline"/>
                      <w:lang w:val="en-US" w:eastAsia="zh-CN"/>
                    </w:rPr>
                    <w:t>0.25</w:t>
                  </w:r>
                </w:p>
              </w:tc>
              <w:tc>
                <w:tcPr>
                  <w:tcW w:w="362" w:type="pct"/>
                  <w:tcBorders>
                    <w:tl2br w:val="nil"/>
                    <w:tr2bl w:val="nil"/>
                  </w:tcBorders>
                  <w:shd w:val="clear" w:color="auto" w:fill="auto"/>
                  <w:noWrap w:val="0"/>
                  <w:tcMar>
                    <w:top w:w="0" w:type="dxa"/>
                    <w:left w:w="0" w:type="dxa"/>
                    <w:bottom w:w="0" w:type="dxa"/>
                    <w:right w:w="0" w:type="dxa"/>
                  </w:tcMar>
                  <w:vAlign w:val="center"/>
                </w:tcPr>
                <w:p w14:paraId="54032B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FF0000"/>
                      <w:sz w:val="18"/>
                      <w:szCs w:val="18"/>
                      <w:u w:val="none"/>
                      <w:vertAlign w:val="baseline"/>
                      <w:lang w:val="en-US" w:eastAsia="zh-CN"/>
                    </w:rPr>
                  </w:pPr>
                  <w:r>
                    <w:rPr>
                      <w:rFonts w:hint="eastAsia" w:ascii="Times New Roman" w:hAnsi="Times New Roman" w:eastAsia="宋体" w:cs="Times New Roman"/>
                      <w:b w:val="0"/>
                      <w:bCs w:val="0"/>
                      <w:color w:val="FF0000"/>
                      <w:sz w:val="18"/>
                      <w:szCs w:val="18"/>
                      <w:u w:val="none"/>
                      <w:vertAlign w:val="baseline"/>
                      <w:lang w:val="en-US" w:eastAsia="zh-CN"/>
                    </w:rPr>
                    <w:t>0.6</w:t>
                  </w:r>
                </w:p>
              </w:tc>
              <w:tc>
                <w:tcPr>
                  <w:tcW w:w="452" w:type="pct"/>
                  <w:tcBorders>
                    <w:tl2br w:val="nil"/>
                    <w:tr2bl w:val="nil"/>
                  </w:tcBorders>
                  <w:shd w:val="clear" w:color="auto" w:fill="auto"/>
                  <w:noWrap w:val="0"/>
                  <w:tcMar>
                    <w:top w:w="0" w:type="dxa"/>
                    <w:left w:w="0" w:type="dxa"/>
                    <w:bottom w:w="0" w:type="dxa"/>
                    <w:right w:w="0" w:type="dxa"/>
                  </w:tcMar>
                  <w:vAlign w:val="center"/>
                </w:tcPr>
                <w:p w14:paraId="224EEB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0.3</w:t>
                  </w:r>
                </w:p>
              </w:tc>
            </w:tr>
            <w:bookmarkEnd w:id="17"/>
            <w:tr w14:paraId="0C761C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38" w:type="pct"/>
                  <w:tcBorders>
                    <w:tl2br w:val="nil"/>
                    <w:tr2bl w:val="nil"/>
                  </w:tcBorders>
                  <w:noWrap w:val="0"/>
                  <w:tcMar>
                    <w:top w:w="0" w:type="dxa"/>
                    <w:left w:w="0" w:type="dxa"/>
                    <w:bottom w:w="0" w:type="dxa"/>
                    <w:right w:w="0" w:type="dxa"/>
                  </w:tcMar>
                  <w:vAlign w:val="center"/>
                </w:tcPr>
                <w:p w14:paraId="3708CC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3</w:t>
                  </w:r>
                </w:p>
              </w:tc>
              <w:tc>
                <w:tcPr>
                  <w:tcW w:w="733" w:type="pct"/>
                  <w:tcBorders>
                    <w:tl2br w:val="nil"/>
                    <w:tr2bl w:val="nil"/>
                  </w:tcBorders>
                  <w:shd w:val="clear" w:color="auto" w:fill="auto"/>
                  <w:noWrap w:val="0"/>
                  <w:tcMar>
                    <w:top w:w="0" w:type="dxa"/>
                    <w:left w:w="0" w:type="dxa"/>
                    <w:bottom w:w="0" w:type="dxa"/>
                    <w:right w:w="0" w:type="dxa"/>
                  </w:tcMar>
                  <w:vAlign w:val="center"/>
                </w:tcPr>
                <w:p w14:paraId="7CD2B2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zh-CN" w:eastAsia="zh-CN"/>
                    </w:rPr>
                  </w:pPr>
                  <w:r>
                    <w:rPr>
                      <w:rFonts w:hint="default" w:ascii="Times New Roman" w:hAnsi="Times New Roman" w:eastAsia="宋体" w:cs="Times New Roman"/>
                      <w:b w:val="0"/>
                      <w:bCs w:val="0"/>
                      <w:color w:val="auto"/>
                      <w:sz w:val="18"/>
                      <w:szCs w:val="18"/>
                      <w:u w:val="none"/>
                      <w:vertAlign w:val="baseline"/>
                      <w:lang w:val="en-US" w:eastAsia="zh-CN"/>
                    </w:rPr>
                    <w:t>铬（六价）(mg/kg)</w:t>
                  </w:r>
                </w:p>
              </w:tc>
              <w:tc>
                <w:tcPr>
                  <w:tcW w:w="391" w:type="pct"/>
                  <w:tcBorders>
                    <w:tl2br w:val="nil"/>
                    <w:tr2bl w:val="nil"/>
                  </w:tcBorders>
                  <w:shd w:val="clear" w:color="auto" w:fill="auto"/>
                  <w:noWrap w:val="0"/>
                  <w:tcMar>
                    <w:top w:w="0" w:type="dxa"/>
                    <w:left w:w="0" w:type="dxa"/>
                    <w:bottom w:w="0" w:type="dxa"/>
                    <w:right w:w="0" w:type="dxa"/>
                  </w:tcMar>
                  <w:vAlign w:val="center"/>
                </w:tcPr>
                <w:p w14:paraId="5E29F9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ND</w:t>
                  </w:r>
                </w:p>
              </w:tc>
              <w:tc>
                <w:tcPr>
                  <w:tcW w:w="468" w:type="pct"/>
                  <w:tcBorders>
                    <w:tl2br w:val="nil"/>
                    <w:tr2bl w:val="nil"/>
                  </w:tcBorders>
                  <w:shd w:val="clear" w:color="auto" w:fill="auto"/>
                  <w:noWrap w:val="0"/>
                  <w:tcMar>
                    <w:top w:w="0" w:type="dxa"/>
                    <w:left w:w="0" w:type="dxa"/>
                    <w:bottom w:w="0" w:type="dxa"/>
                    <w:right w:w="0" w:type="dxa"/>
                  </w:tcMar>
                  <w:vAlign w:val="center"/>
                </w:tcPr>
                <w:p w14:paraId="129C3E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35</w:t>
                  </w:r>
                </w:p>
              </w:tc>
              <w:tc>
                <w:tcPr>
                  <w:tcW w:w="425" w:type="pct"/>
                  <w:tcBorders>
                    <w:tl2br w:val="nil"/>
                    <w:tr2bl w:val="nil"/>
                  </w:tcBorders>
                  <w:shd w:val="clear" w:color="auto" w:fill="auto"/>
                  <w:noWrap w:val="0"/>
                  <w:tcMar>
                    <w:top w:w="0" w:type="dxa"/>
                    <w:left w:w="0" w:type="dxa"/>
                    <w:bottom w:w="0" w:type="dxa"/>
                    <w:right w:w="0" w:type="dxa"/>
                  </w:tcMar>
                  <w:vAlign w:val="center"/>
                </w:tcPr>
                <w:p w14:paraId="0F92ED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ND</w:t>
                  </w:r>
                </w:p>
              </w:tc>
              <w:tc>
                <w:tcPr>
                  <w:tcW w:w="478" w:type="pct"/>
                  <w:tcBorders>
                    <w:tl2br w:val="nil"/>
                    <w:tr2bl w:val="nil"/>
                  </w:tcBorders>
                  <w:shd w:val="clear" w:color="auto" w:fill="auto"/>
                  <w:noWrap w:val="0"/>
                  <w:tcMar>
                    <w:top w:w="0" w:type="dxa"/>
                    <w:left w:w="0" w:type="dxa"/>
                    <w:bottom w:w="0" w:type="dxa"/>
                    <w:right w:w="0" w:type="dxa"/>
                  </w:tcMar>
                  <w:vAlign w:val="center"/>
                </w:tcPr>
                <w:p w14:paraId="04DAB9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36</w:t>
                  </w:r>
                </w:p>
              </w:tc>
              <w:tc>
                <w:tcPr>
                  <w:tcW w:w="428" w:type="pct"/>
                  <w:tcBorders>
                    <w:tl2br w:val="nil"/>
                    <w:tr2bl w:val="nil"/>
                  </w:tcBorders>
                  <w:shd w:val="clear" w:color="auto" w:fill="auto"/>
                  <w:noWrap w:val="0"/>
                  <w:tcMar>
                    <w:top w:w="0" w:type="dxa"/>
                    <w:left w:w="0" w:type="dxa"/>
                    <w:bottom w:w="0" w:type="dxa"/>
                    <w:right w:w="0" w:type="dxa"/>
                  </w:tcMar>
                  <w:vAlign w:val="center"/>
                </w:tcPr>
                <w:p w14:paraId="4C94A3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ND</w:t>
                  </w:r>
                </w:p>
              </w:tc>
              <w:tc>
                <w:tcPr>
                  <w:tcW w:w="371" w:type="pct"/>
                  <w:tcBorders>
                    <w:tl2br w:val="nil"/>
                    <w:tr2bl w:val="nil"/>
                  </w:tcBorders>
                  <w:shd w:val="clear" w:color="auto" w:fill="auto"/>
                  <w:noWrap w:val="0"/>
                  <w:tcMar>
                    <w:top w:w="0" w:type="dxa"/>
                    <w:left w:w="0" w:type="dxa"/>
                    <w:bottom w:w="0" w:type="dxa"/>
                    <w:right w:w="0" w:type="dxa"/>
                  </w:tcMar>
                  <w:vAlign w:val="center"/>
                </w:tcPr>
                <w:p w14:paraId="4268B0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37</w:t>
                  </w:r>
                </w:p>
              </w:tc>
              <w:tc>
                <w:tcPr>
                  <w:tcW w:w="403" w:type="pct"/>
                  <w:tcBorders>
                    <w:tl2br w:val="nil"/>
                    <w:tr2bl w:val="nil"/>
                  </w:tcBorders>
                  <w:shd w:val="clear" w:color="auto" w:fill="auto"/>
                  <w:noWrap w:val="0"/>
                  <w:tcMar>
                    <w:top w:w="0" w:type="dxa"/>
                    <w:left w:w="0" w:type="dxa"/>
                    <w:bottom w:w="0" w:type="dxa"/>
                    <w:right w:w="0" w:type="dxa"/>
                  </w:tcMar>
                  <w:vAlign w:val="center"/>
                </w:tcPr>
                <w:p w14:paraId="0E38B5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ND</w:t>
                  </w:r>
                </w:p>
              </w:tc>
              <w:tc>
                <w:tcPr>
                  <w:tcW w:w="346" w:type="pct"/>
                  <w:tcBorders>
                    <w:tl2br w:val="nil"/>
                    <w:tr2bl w:val="nil"/>
                  </w:tcBorders>
                  <w:shd w:val="clear" w:color="auto" w:fill="auto"/>
                  <w:noWrap w:val="0"/>
                  <w:tcMar>
                    <w:top w:w="0" w:type="dxa"/>
                    <w:left w:w="0" w:type="dxa"/>
                    <w:bottom w:w="0" w:type="dxa"/>
                    <w:right w:w="0" w:type="dxa"/>
                  </w:tcMar>
                  <w:vAlign w:val="center"/>
                </w:tcPr>
                <w:p w14:paraId="09F71A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44</w:t>
                  </w:r>
                </w:p>
              </w:tc>
              <w:tc>
                <w:tcPr>
                  <w:tcW w:w="362" w:type="pct"/>
                  <w:tcBorders>
                    <w:tl2br w:val="nil"/>
                    <w:tr2bl w:val="nil"/>
                  </w:tcBorders>
                  <w:shd w:val="clear" w:color="auto" w:fill="auto"/>
                  <w:noWrap w:val="0"/>
                  <w:tcMar>
                    <w:top w:w="0" w:type="dxa"/>
                    <w:left w:w="0" w:type="dxa"/>
                    <w:bottom w:w="0" w:type="dxa"/>
                    <w:right w:w="0" w:type="dxa"/>
                  </w:tcMar>
                  <w:vAlign w:val="center"/>
                </w:tcPr>
                <w:p w14:paraId="465A8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FF0000"/>
                      <w:sz w:val="18"/>
                      <w:szCs w:val="18"/>
                      <w:u w:val="none"/>
                      <w:vertAlign w:val="baseline"/>
                      <w:lang w:val="en-US" w:eastAsia="zh-CN"/>
                    </w:rPr>
                  </w:pPr>
                  <w:r>
                    <w:rPr>
                      <w:rFonts w:hint="eastAsia" w:ascii="Times New Roman" w:hAnsi="Times New Roman" w:eastAsia="宋体" w:cs="Times New Roman"/>
                      <w:b w:val="0"/>
                      <w:bCs w:val="0"/>
                      <w:color w:val="FF0000"/>
                      <w:sz w:val="18"/>
                      <w:szCs w:val="18"/>
                      <w:u w:val="none"/>
                      <w:vertAlign w:val="baseline"/>
                      <w:lang w:val="en-US" w:eastAsia="zh-CN"/>
                    </w:rPr>
                    <w:t>250</w:t>
                  </w:r>
                </w:p>
              </w:tc>
              <w:tc>
                <w:tcPr>
                  <w:tcW w:w="452" w:type="pct"/>
                  <w:tcBorders>
                    <w:tl2br w:val="nil"/>
                    <w:tr2bl w:val="nil"/>
                  </w:tcBorders>
                  <w:shd w:val="clear" w:color="auto" w:fill="auto"/>
                  <w:noWrap w:val="0"/>
                  <w:tcMar>
                    <w:top w:w="0" w:type="dxa"/>
                    <w:left w:w="0" w:type="dxa"/>
                    <w:bottom w:w="0" w:type="dxa"/>
                    <w:right w:w="0" w:type="dxa"/>
                  </w:tcMar>
                  <w:vAlign w:val="center"/>
                </w:tcPr>
                <w:p w14:paraId="0C2F7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200</w:t>
                  </w:r>
                </w:p>
              </w:tc>
            </w:tr>
            <w:tr w14:paraId="2523E3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5" w:hRule="atLeast"/>
              </w:trPr>
              <w:tc>
                <w:tcPr>
                  <w:tcW w:w="138" w:type="pct"/>
                  <w:tcBorders>
                    <w:tl2br w:val="nil"/>
                    <w:tr2bl w:val="nil"/>
                  </w:tcBorders>
                  <w:noWrap w:val="0"/>
                  <w:tcMar>
                    <w:top w:w="0" w:type="dxa"/>
                    <w:left w:w="0" w:type="dxa"/>
                    <w:bottom w:w="0" w:type="dxa"/>
                    <w:right w:w="0" w:type="dxa"/>
                  </w:tcMar>
                  <w:vAlign w:val="center"/>
                </w:tcPr>
                <w:p w14:paraId="672D7C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4</w:t>
                  </w:r>
                </w:p>
              </w:tc>
              <w:tc>
                <w:tcPr>
                  <w:tcW w:w="733" w:type="pct"/>
                  <w:tcBorders>
                    <w:tl2br w:val="nil"/>
                    <w:tr2bl w:val="nil"/>
                  </w:tcBorders>
                  <w:shd w:val="clear" w:color="auto" w:fill="auto"/>
                  <w:noWrap w:val="0"/>
                  <w:tcMar>
                    <w:top w:w="0" w:type="dxa"/>
                    <w:left w:w="0" w:type="dxa"/>
                    <w:bottom w:w="0" w:type="dxa"/>
                    <w:right w:w="0" w:type="dxa"/>
                  </w:tcMar>
                  <w:vAlign w:val="center"/>
                </w:tcPr>
                <w:p w14:paraId="1FD7E9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zh-CN" w:eastAsia="zh-CN"/>
                    </w:rPr>
                  </w:pPr>
                  <w:r>
                    <w:rPr>
                      <w:rFonts w:hint="default" w:ascii="Times New Roman" w:hAnsi="Times New Roman" w:eastAsia="宋体" w:cs="Times New Roman"/>
                      <w:b w:val="0"/>
                      <w:bCs w:val="0"/>
                      <w:color w:val="auto"/>
                      <w:sz w:val="18"/>
                      <w:szCs w:val="18"/>
                      <w:u w:val="none"/>
                      <w:vertAlign w:val="baseline"/>
                      <w:lang w:val="en-US" w:eastAsia="zh-CN"/>
                    </w:rPr>
                    <w:t>铜(mg/kg)</w:t>
                  </w:r>
                </w:p>
              </w:tc>
              <w:tc>
                <w:tcPr>
                  <w:tcW w:w="391" w:type="pct"/>
                  <w:tcBorders>
                    <w:tl2br w:val="nil"/>
                    <w:tr2bl w:val="nil"/>
                  </w:tcBorders>
                  <w:shd w:val="clear" w:color="auto" w:fill="auto"/>
                  <w:noWrap w:val="0"/>
                  <w:tcMar>
                    <w:top w:w="0" w:type="dxa"/>
                    <w:left w:w="0" w:type="dxa"/>
                    <w:bottom w:w="0" w:type="dxa"/>
                    <w:right w:w="0" w:type="dxa"/>
                  </w:tcMar>
                  <w:vAlign w:val="center"/>
                </w:tcPr>
                <w:p w14:paraId="505FDB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53</w:t>
                  </w:r>
                </w:p>
              </w:tc>
              <w:tc>
                <w:tcPr>
                  <w:tcW w:w="468" w:type="pct"/>
                  <w:tcBorders>
                    <w:tl2br w:val="nil"/>
                    <w:tr2bl w:val="nil"/>
                  </w:tcBorders>
                  <w:shd w:val="clear" w:color="auto" w:fill="auto"/>
                  <w:noWrap w:val="0"/>
                  <w:tcMar>
                    <w:top w:w="0" w:type="dxa"/>
                    <w:left w:w="0" w:type="dxa"/>
                    <w:bottom w:w="0" w:type="dxa"/>
                    <w:right w:w="0" w:type="dxa"/>
                  </w:tcMar>
                  <w:vAlign w:val="center"/>
                </w:tcPr>
                <w:p w14:paraId="080E29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50</w:t>
                  </w:r>
                </w:p>
              </w:tc>
              <w:tc>
                <w:tcPr>
                  <w:tcW w:w="425" w:type="pct"/>
                  <w:tcBorders>
                    <w:tl2br w:val="nil"/>
                    <w:tr2bl w:val="nil"/>
                  </w:tcBorders>
                  <w:shd w:val="clear" w:color="auto" w:fill="auto"/>
                  <w:noWrap w:val="0"/>
                  <w:tcMar>
                    <w:top w:w="0" w:type="dxa"/>
                    <w:left w:w="0" w:type="dxa"/>
                    <w:bottom w:w="0" w:type="dxa"/>
                    <w:right w:w="0" w:type="dxa"/>
                  </w:tcMar>
                  <w:vAlign w:val="center"/>
                </w:tcPr>
                <w:p w14:paraId="2B4E33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56</w:t>
                  </w:r>
                </w:p>
              </w:tc>
              <w:tc>
                <w:tcPr>
                  <w:tcW w:w="478" w:type="pct"/>
                  <w:tcBorders>
                    <w:tl2br w:val="nil"/>
                    <w:tr2bl w:val="nil"/>
                  </w:tcBorders>
                  <w:shd w:val="clear" w:color="auto" w:fill="auto"/>
                  <w:noWrap w:val="0"/>
                  <w:tcMar>
                    <w:top w:w="0" w:type="dxa"/>
                    <w:left w:w="0" w:type="dxa"/>
                    <w:bottom w:w="0" w:type="dxa"/>
                    <w:right w:w="0" w:type="dxa"/>
                  </w:tcMar>
                  <w:vAlign w:val="center"/>
                </w:tcPr>
                <w:p w14:paraId="6FA7AD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54</w:t>
                  </w:r>
                </w:p>
              </w:tc>
              <w:tc>
                <w:tcPr>
                  <w:tcW w:w="428" w:type="pct"/>
                  <w:tcBorders>
                    <w:tl2br w:val="nil"/>
                    <w:tr2bl w:val="nil"/>
                  </w:tcBorders>
                  <w:shd w:val="clear" w:color="auto" w:fill="auto"/>
                  <w:noWrap w:val="0"/>
                  <w:tcMar>
                    <w:top w:w="0" w:type="dxa"/>
                    <w:left w:w="0" w:type="dxa"/>
                    <w:bottom w:w="0" w:type="dxa"/>
                    <w:right w:w="0" w:type="dxa"/>
                  </w:tcMar>
                  <w:vAlign w:val="center"/>
                </w:tcPr>
                <w:p w14:paraId="32DC97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59</w:t>
                  </w:r>
                </w:p>
              </w:tc>
              <w:tc>
                <w:tcPr>
                  <w:tcW w:w="371" w:type="pct"/>
                  <w:tcBorders>
                    <w:tl2br w:val="nil"/>
                    <w:tr2bl w:val="nil"/>
                  </w:tcBorders>
                  <w:shd w:val="clear" w:color="auto" w:fill="auto"/>
                  <w:noWrap w:val="0"/>
                  <w:tcMar>
                    <w:top w:w="0" w:type="dxa"/>
                    <w:left w:w="0" w:type="dxa"/>
                    <w:bottom w:w="0" w:type="dxa"/>
                    <w:right w:w="0" w:type="dxa"/>
                  </w:tcMar>
                  <w:vAlign w:val="center"/>
                </w:tcPr>
                <w:p w14:paraId="2655C9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36</w:t>
                  </w:r>
                </w:p>
              </w:tc>
              <w:tc>
                <w:tcPr>
                  <w:tcW w:w="403" w:type="pct"/>
                  <w:tcBorders>
                    <w:tl2br w:val="nil"/>
                    <w:tr2bl w:val="nil"/>
                  </w:tcBorders>
                  <w:shd w:val="clear" w:color="auto" w:fill="auto"/>
                  <w:noWrap w:val="0"/>
                  <w:tcMar>
                    <w:top w:w="0" w:type="dxa"/>
                    <w:left w:w="0" w:type="dxa"/>
                    <w:bottom w:w="0" w:type="dxa"/>
                    <w:right w:w="0" w:type="dxa"/>
                  </w:tcMar>
                  <w:vAlign w:val="center"/>
                </w:tcPr>
                <w:p w14:paraId="32C597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45</w:t>
                  </w:r>
                </w:p>
              </w:tc>
              <w:tc>
                <w:tcPr>
                  <w:tcW w:w="346" w:type="pct"/>
                  <w:tcBorders>
                    <w:tl2br w:val="nil"/>
                    <w:tr2bl w:val="nil"/>
                  </w:tcBorders>
                  <w:shd w:val="clear" w:color="auto" w:fill="auto"/>
                  <w:noWrap w:val="0"/>
                  <w:tcMar>
                    <w:top w:w="0" w:type="dxa"/>
                    <w:left w:w="0" w:type="dxa"/>
                    <w:bottom w:w="0" w:type="dxa"/>
                    <w:right w:w="0" w:type="dxa"/>
                  </w:tcMar>
                  <w:vAlign w:val="center"/>
                </w:tcPr>
                <w:p w14:paraId="55DC7F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40</w:t>
                  </w:r>
                </w:p>
              </w:tc>
              <w:tc>
                <w:tcPr>
                  <w:tcW w:w="362" w:type="pct"/>
                  <w:tcBorders>
                    <w:tl2br w:val="nil"/>
                    <w:tr2bl w:val="nil"/>
                  </w:tcBorders>
                  <w:shd w:val="clear" w:color="auto" w:fill="auto"/>
                  <w:noWrap w:val="0"/>
                  <w:tcMar>
                    <w:top w:w="0" w:type="dxa"/>
                    <w:left w:w="0" w:type="dxa"/>
                    <w:bottom w:w="0" w:type="dxa"/>
                    <w:right w:w="0" w:type="dxa"/>
                  </w:tcMar>
                  <w:vAlign w:val="center"/>
                </w:tcPr>
                <w:p w14:paraId="0B6B6A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FF0000"/>
                      <w:sz w:val="18"/>
                      <w:szCs w:val="18"/>
                      <w:u w:val="none"/>
                      <w:vertAlign w:val="baseline"/>
                      <w:lang w:val="en-US" w:eastAsia="zh-CN"/>
                    </w:rPr>
                  </w:pPr>
                  <w:r>
                    <w:rPr>
                      <w:rFonts w:hint="eastAsia" w:ascii="Times New Roman" w:hAnsi="Times New Roman" w:eastAsia="宋体" w:cs="Times New Roman"/>
                      <w:b w:val="0"/>
                      <w:bCs w:val="0"/>
                      <w:color w:val="FF0000"/>
                      <w:sz w:val="18"/>
                      <w:szCs w:val="18"/>
                      <w:u w:val="none"/>
                      <w:vertAlign w:val="baseline"/>
                      <w:lang w:val="en-US" w:eastAsia="zh-CN"/>
                    </w:rPr>
                    <w:t>100</w:t>
                  </w:r>
                </w:p>
              </w:tc>
              <w:tc>
                <w:tcPr>
                  <w:tcW w:w="452" w:type="pct"/>
                  <w:tcBorders>
                    <w:tl2br w:val="nil"/>
                    <w:tr2bl w:val="nil"/>
                  </w:tcBorders>
                  <w:shd w:val="clear" w:color="auto" w:fill="auto"/>
                  <w:noWrap w:val="0"/>
                  <w:tcMar>
                    <w:top w:w="0" w:type="dxa"/>
                    <w:left w:w="0" w:type="dxa"/>
                    <w:bottom w:w="0" w:type="dxa"/>
                    <w:right w:w="0" w:type="dxa"/>
                  </w:tcMar>
                  <w:vAlign w:val="center"/>
                </w:tcPr>
                <w:p w14:paraId="358EC0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100</w:t>
                  </w:r>
                </w:p>
              </w:tc>
            </w:tr>
            <w:tr w14:paraId="0EB4B6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38" w:type="pct"/>
                  <w:tcBorders>
                    <w:tl2br w:val="nil"/>
                    <w:tr2bl w:val="nil"/>
                  </w:tcBorders>
                  <w:noWrap w:val="0"/>
                  <w:tcMar>
                    <w:top w:w="0" w:type="dxa"/>
                    <w:left w:w="0" w:type="dxa"/>
                    <w:bottom w:w="0" w:type="dxa"/>
                    <w:right w:w="0" w:type="dxa"/>
                  </w:tcMar>
                  <w:vAlign w:val="center"/>
                </w:tcPr>
                <w:p w14:paraId="01416B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5</w:t>
                  </w:r>
                </w:p>
              </w:tc>
              <w:tc>
                <w:tcPr>
                  <w:tcW w:w="733" w:type="pct"/>
                  <w:tcBorders>
                    <w:tl2br w:val="nil"/>
                    <w:tr2bl w:val="nil"/>
                  </w:tcBorders>
                  <w:shd w:val="clear" w:color="auto" w:fill="auto"/>
                  <w:noWrap w:val="0"/>
                  <w:tcMar>
                    <w:top w:w="0" w:type="dxa"/>
                    <w:left w:w="0" w:type="dxa"/>
                    <w:bottom w:w="0" w:type="dxa"/>
                    <w:right w:w="0" w:type="dxa"/>
                  </w:tcMar>
                  <w:vAlign w:val="center"/>
                </w:tcPr>
                <w:p w14:paraId="27BC51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zh-CN" w:eastAsia="zh-CN"/>
                    </w:rPr>
                  </w:pPr>
                  <w:r>
                    <w:rPr>
                      <w:rFonts w:hint="default" w:ascii="Times New Roman" w:hAnsi="Times New Roman" w:eastAsia="宋体" w:cs="Times New Roman"/>
                      <w:b w:val="0"/>
                      <w:bCs w:val="0"/>
                      <w:color w:val="auto"/>
                      <w:sz w:val="18"/>
                      <w:szCs w:val="18"/>
                      <w:u w:val="none"/>
                      <w:vertAlign w:val="baseline"/>
                      <w:lang w:val="en-US" w:eastAsia="zh-CN"/>
                    </w:rPr>
                    <w:t>铅(mg/kg)</w:t>
                  </w:r>
                </w:p>
              </w:tc>
              <w:tc>
                <w:tcPr>
                  <w:tcW w:w="391" w:type="pct"/>
                  <w:tcBorders>
                    <w:tl2br w:val="nil"/>
                    <w:tr2bl w:val="nil"/>
                  </w:tcBorders>
                  <w:shd w:val="clear" w:color="auto" w:fill="auto"/>
                  <w:noWrap w:val="0"/>
                  <w:tcMar>
                    <w:top w:w="0" w:type="dxa"/>
                    <w:left w:w="0" w:type="dxa"/>
                    <w:bottom w:w="0" w:type="dxa"/>
                    <w:right w:w="0" w:type="dxa"/>
                  </w:tcMar>
                  <w:vAlign w:val="center"/>
                </w:tcPr>
                <w:p w14:paraId="5A8430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39</w:t>
                  </w:r>
                </w:p>
              </w:tc>
              <w:tc>
                <w:tcPr>
                  <w:tcW w:w="468" w:type="pct"/>
                  <w:tcBorders>
                    <w:tl2br w:val="nil"/>
                    <w:tr2bl w:val="nil"/>
                  </w:tcBorders>
                  <w:shd w:val="clear" w:color="auto" w:fill="auto"/>
                  <w:noWrap w:val="0"/>
                  <w:tcMar>
                    <w:top w:w="0" w:type="dxa"/>
                    <w:left w:w="0" w:type="dxa"/>
                    <w:bottom w:w="0" w:type="dxa"/>
                    <w:right w:w="0" w:type="dxa"/>
                  </w:tcMar>
                  <w:vAlign w:val="center"/>
                </w:tcPr>
                <w:p w14:paraId="4978E0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41</w:t>
                  </w:r>
                </w:p>
              </w:tc>
              <w:tc>
                <w:tcPr>
                  <w:tcW w:w="425" w:type="pct"/>
                  <w:tcBorders>
                    <w:tl2br w:val="nil"/>
                    <w:tr2bl w:val="nil"/>
                  </w:tcBorders>
                  <w:shd w:val="clear" w:color="auto" w:fill="auto"/>
                  <w:noWrap w:val="0"/>
                  <w:tcMar>
                    <w:top w:w="0" w:type="dxa"/>
                    <w:left w:w="0" w:type="dxa"/>
                    <w:bottom w:w="0" w:type="dxa"/>
                    <w:right w:w="0" w:type="dxa"/>
                  </w:tcMar>
                  <w:vAlign w:val="center"/>
                </w:tcPr>
                <w:p w14:paraId="3F61F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53</w:t>
                  </w:r>
                </w:p>
              </w:tc>
              <w:tc>
                <w:tcPr>
                  <w:tcW w:w="478" w:type="pct"/>
                  <w:tcBorders>
                    <w:tl2br w:val="nil"/>
                    <w:tr2bl w:val="nil"/>
                  </w:tcBorders>
                  <w:shd w:val="clear" w:color="auto" w:fill="auto"/>
                  <w:noWrap w:val="0"/>
                  <w:tcMar>
                    <w:top w:w="0" w:type="dxa"/>
                    <w:left w:w="0" w:type="dxa"/>
                    <w:bottom w:w="0" w:type="dxa"/>
                    <w:right w:w="0" w:type="dxa"/>
                  </w:tcMar>
                  <w:vAlign w:val="center"/>
                </w:tcPr>
                <w:p w14:paraId="4AA8EF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55</w:t>
                  </w:r>
                </w:p>
              </w:tc>
              <w:tc>
                <w:tcPr>
                  <w:tcW w:w="428" w:type="pct"/>
                  <w:tcBorders>
                    <w:tl2br w:val="nil"/>
                    <w:tr2bl w:val="nil"/>
                  </w:tcBorders>
                  <w:shd w:val="clear" w:color="auto" w:fill="auto"/>
                  <w:noWrap w:val="0"/>
                  <w:tcMar>
                    <w:top w:w="0" w:type="dxa"/>
                    <w:left w:w="0" w:type="dxa"/>
                    <w:bottom w:w="0" w:type="dxa"/>
                    <w:right w:w="0" w:type="dxa"/>
                  </w:tcMar>
                  <w:vAlign w:val="center"/>
                </w:tcPr>
                <w:p w14:paraId="70E76A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42</w:t>
                  </w:r>
                </w:p>
              </w:tc>
              <w:tc>
                <w:tcPr>
                  <w:tcW w:w="371" w:type="pct"/>
                  <w:tcBorders>
                    <w:tl2br w:val="nil"/>
                    <w:tr2bl w:val="nil"/>
                  </w:tcBorders>
                  <w:shd w:val="clear" w:color="auto" w:fill="auto"/>
                  <w:noWrap w:val="0"/>
                  <w:tcMar>
                    <w:top w:w="0" w:type="dxa"/>
                    <w:left w:w="0" w:type="dxa"/>
                    <w:bottom w:w="0" w:type="dxa"/>
                    <w:right w:w="0" w:type="dxa"/>
                  </w:tcMar>
                  <w:vAlign w:val="center"/>
                </w:tcPr>
                <w:p w14:paraId="3E540B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53</w:t>
                  </w:r>
                </w:p>
              </w:tc>
              <w:tc>
                <w:tcPr>
                  <w:tcW w:w="403" w:type="pct"/>
                  <w:tcBorders>
                    <w:tl2br w:val="nil"/>
                    <w:tr2bl w:val="nil"/>
                  </w:tcBorders>
                  <w:shd w:val="clear" w:color="auto" w:fill="auto"/>
                  <w:noWrap w:val="0"/>
                  <w:tcMar>
                    <w:top w:w="0" w:type="dxa"/>
                    <w:left w:w="0" w:type="dxa"/>
                    <w:bottom w:w="0" w:type="dxa"/>
                    <w:right w:w="0" w:type="dxa"/>
                  </w:tcMar>
                  <w:vAlign w:val="center"/>
                </w:tcPr>
                <w:p w14:paraId="58FC6D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42</w:t>
                  </w:r>
                </w:p>
              </w:tc>
              <w:tc>
                <w:tcPr>
                  <w:tcW w:w="346" w:type="pct"/>
                  <w:tcBorders>
                    <w:tl2br w:val="nil"/>
                    <w:tr2bl w:val="nil"/>
                  </w:tcBorders>
                  <w:shd w:val="clear" w:color="auto" w:fill="auto"/>
                  <w:noWrap w:val="0"/>
                  <w:tcMar>
                    <w:top w:w="0" w:type="dxa"/>
                    <w:left w:w="0" w:type="dxa"/>
                    <w:bottom w:w="0" w:type="dxa"/>
                    <w:right w:w="0" w:type="dxa"/>
                  </w:tcMar>
                  <w:vAlign w:val="center"/>
                </w:tcPr>
                <w:p w14:paraId="0D44A3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38</w:t>
                  </w:r>
                </w:p>
              </w:tc>
              <w:tc>
                <w:tcPr>
                  <w:tcW w:w="362" w:type="pct"/>
                  <w:tcBorders>
                    <w:tl2br w:val="nil"/>
                    <w:tr2bl w:val="nil"/>
                  </w:tcBorders>
                  <w:shd w:val="clear" w:color="auto" w:fill="auto"/>
                  <w:noWrap w:val="0"/>
                  <w:tcMar>
                    <w:top w:w="0" w:type="dxa"/>
                    <w:left w:w="0" w:type="dxa"/>
                    <w:bottom w:w="0" w:type="dxa"/>
                    <w:right w:w="0" w:type="dxa"/>
                  </w:tcMar>
                  <w:vAlign w:val="center"/>
                </w:tcPr>
                <w:p w14:paraId="0092A4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FF0000"/>
                      <w:sz w:val="18"/>
                      <w:szCs w:val="18"/>
                      <w:u w:val="none"/>
                      <w:vertAlign w:val="baseline"/>
                      <w:lang w:val="en-US" w:eastAsia="zh-CN"/>
                    </w:rPr>
                  </w:pPr>
                  <w:r>
                    <w:rPr>
                      <w:rFonts w:hint="eastAsia" w:ascii="Times New Roman" w:hAnsi="Times New Roman" w:eastAsia="宋体" w:cs="Times New Roman"/>
                      <w:b w:val="0"/>
                      <w:bCs w:val="0"/>
                      <w:color w:val="FF0000"/>
                      <w:sz w:val="18"/>
                      <w:szCs w:val="18"/>
                      <w:u w:val="none"/>
                      <w:vertAlign w:val="baseline"/>
                      <w:lang w:val="en-US" w:eastAsia="zh-CN"/>
                    </w:rPr>
                    <w:t>170</w:t>
                  </w:r>
                </w:p>
              </w:tc>
              <w:tc>
                <w:tcPr>
                  <w:tcW w:w="452" w:type="pct"/>
                  <w:tcBorders>
                    <w:tl2br w:val="nil"/>
                    <w:tr2bl w:val="nil"/>
                  </w:tcBorders>
                  <w:shd w:val="clear" w:color="auto" w:fill="auto"/>
                  <w:noWrap w:val="0"/>
                  <w:tcMar>
                    <w:top w:w="0" w:type="dxa"/>
                    <w:left w:w="0" w:type="dxa"/>
                    <w:bottom w:w="0" w:type="dxa"/>
                    <w:right w:w="0" w:type="dxa"/>
                  </w:tcMar>
                  <w:vAlign w:val="center"/>
                </w:tcPr>
                <w:p w14:paraId="4E99C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120</w:t>
                  </w:r>
                </w:p>
              </w:tc>
            </w:tr>
            <w:tr w14:paraId="261758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38" w:type="pct"/>
                  <w:tcBorders>
                    <w:tl2br w:val="nil"/>
                    <w:tr2bl w:val="nil"/>
                  </w:tcBorders>
                  <w:noWrap w:val="0"/>
                  <w:tcMar>
                    <w:top w:w="0" w:type="dxa"/>
                    <w:left w:w="0" w:type="dxa"/>
                    <w:bottom w:w="0" w:type="dxa"/>
                    <w:right w:w="0" w:type="dxa"/>
                  </w:tcMar>
                  <w:vAlign w:val="center"/>
                </w:tcPr>
                <w:p w14:paraId="372FB3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6</w:t>
                  </w:r>
                </w:p>
              </w:tc>
              <w:tc>
                <w:tcPr>
                  <w:tcW w:w="733" w:type="pct"/>
                  <w:tcBorders>
                    <w:tl2br w:val="nil"/>
                    <w:tr2bl w:val="nil"/>
                  </w:tcBorders>
                  <w:shd w:val="clear" w:color="auto" w:fill="auto"/>
                  <w:noWrap w:val="0"/>
                  <w:tcMar>
                    <w:top w:w="0" w:type="dxa"/>
                    <w:left w:w="0" w:type="dxa"/>
                    <w:bottom w:w="0" w:type="dxa"/>
                    <w:right w:w="0" w:type="dxa"/>
                  </w:tcMar>
                  <w:vAlign w:val="center"/>
                </w:tcPr>
                <w:p w14:paraId="3911AA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zh-CN" w:eastAsia="zh-CN"/>
                    </w:rPr>
                  </w:pPr>
                  <w:r>
                    <w:rPr>
                      <w:rFonts w:hint="default" w:ascii="Times New Roman" w:hAnsi="Times New Roman" w:eastAsia="宋体" w:cs="Times New Roman"/>
                      <w:b w:val="0"/>
                      <w:bCs w:val="0"/>
                      <w:color w:val="auto"/>
                      <w:sz w:val="18"/>
                      <w:szCs w:val="18"/>
                      <w:u w:val="none"/>
                      <w:vertAlign w:val="baseline"/>
                      <w:lang w:val="en-US" w:eastAsia="zh-CN"/>
                    </w:rPr>
                    <w:t>汞(mg/kg)</w:t>
                  </w:r>
                </w:p>
              </w:tc>
              <w:tc>
                <w:tcPr>
                  <w:tcW w:w="391" w:type="pct"/>
                  <w:tcBorders>
                    <w:tl2br w:val="nil"/>
                    <w:tr2bl w:val="nil"/>
                  </w:tcBorders>
                  <w:shd w:val="clear" w:color="auto" w:fill="auto"/>
                  <w:noWrap w:val="0"/>
                  <w:tcMar>
                    <w:top w:w="0" w:type="dxa"/>
                    <w:left w:w="0" w:type="dxa"/>
                    <w:bottom w:w="0" w:type="dxa"/>
                    <w:right w:w="0" w:type="dxa"/>
                  </w:tcMar>
                  <w:vAlign w:val="center"/>
                </w:tcPr>
                <w:p w14:paraId="7BC392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0.038</w:t>
                  </w:r>
                </w:p>
              </w:tc>
              <w:tc>
                <w:tcPr>
                  <w:tcW w:w="468" w:type="pct"/>
                  <w:tcBorders>
                    <w:tl2br w:val="nil"/>
                    <w:tr2bl w:val="nil"/>
                  </w:tcBorders>
                  <w:shd w:val="clear" w:color="auto" w:fill="auto"/>
                  <w:noWrap w:val="0"/>
                  <w:tcMar>
                    <w:top w:w="0" w:type="dxa"/>
                    <w:left w:w="0" w:type="dxa"/>
                    <w:bottom w:w="0" w:type="dxa"/>
                    <w:right w:w="0" w:type="dxa"/>
                  </w:tcMar>
                  <w:vAlign w:val="center"/>
                </w:tcPr>
                <w:p w14:paraId="48B6B0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0.032</w:t>
                  </w:r>
                </w:p>
              </w:tc>
              <w:tc>
                <w:tcPr>
                  <w:tcW w:w="425" w:type="pct"/>
                  <w:tcBorders>
                    <w:tl2br w:val="nil"/>
                    <w:tr2bl w:val="nil"/>
                  </w:tcBorders>
                  <w:shd w:val="clear" w:color="auto" w:fill="auto"/>
                  <w:noWrap w:val="0"/>
                  <w:tcMar>
                    <w:top w:w="0" w:type="dxa"/>
                    <w:left w:w="0" w:type="dxa"/>
                    <w:bottom w:w="0" w:type="dxa"/>
                    <w:right w:w="0" w:type="dxa"/>
                  </w:tcMar>
                  <w:vAlign w:val="center"/>
                </w:tcPr>
                <w:p w14:paraId="481543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0.043</w:t>
                  </w:r>
                </w:p>
              </w:tc>
              <w:tc>
                <w:tcPr>
                  <w:tcW w:w="478" w:type="pct"/>
                  <w:tcBorders>
                    <w:tl2br w:val="nil"/>
                    <w:tr2bl w:val="nil"/>
                  </w:tcBorders>
                  <w:shd w:val="clear" w:color="auto" w:fill="auto"/>
                  <w:noWrap w:val="0"/>
                  <w:tcMar>
                    <w:top w:w="0" w:type="dxa"/>
                    <w:left w:w="0" w:type="dxa"/>
                    <w:bottom w:w="0" w:type="dxa"/>
                    <w:right w:w="0" w:type="dxa"/>
                  </w:tcMar>
                  <w:vAlign w:val="center"/>
                </w:tcPr>
                <w:p w14:paraId="11FD4D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0.034</w:t>
                  </w:r>
                </w:p>
              </w:tc>
              <w:tc>
                <w:tcPr>
                  <w:tcW w:w="428" w:type="pct"/>
                  <w:tcBorders>
                    <w:tl2br w:val="nil"/>
                    <w:tr2bl w:val="nil"/>
                  </w:tcBorders>
                  <w:shd w:val="clear" w:color="auto" w:fill="auto"/>
                  <w:noWrap w:val="0"/>
                  <w:tcMar>
                    <w:top w:w="0" w:type="dxa"/>
                    <w:left w:w="0" w:type="dxa"/>
                    <w:bottom w:w="0" w:type="dxa"/>
                    <w:right w:w="0" w:type="dxa"/>
                  </w:tcMar>
                  <w:vAlign w:val="center"/>
                </w:tcPr>
                <w:p w14:paraId="644DA9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0.043</w:t>
                  </w:r>
                </w:p>
              </w:tc>
              <w:tc>
                <w:tcPr>
                  <w:tcW w:w="371" w:type="pct"/>
                  <w:tcBorders>
                    <w:tl2br w:val="nil"/>
                    <w:tr2bl w:val="nil"/>
                  </w:tcBorders>
                  <w:shd w:val="clear" w:color="auto" w:fill="auto"/>
                  <w:noWrap w:val="0"/>
                  <w:tcMar>
                    <w:top w:w="0" w:type="dxa"/>
                    <w:left w:w="0" w:type="dxa"/>
                    <w:bottom w:w="0" w:type="dxa"/>
                    <w:right w:w="0" w:type="dxa"/>
                  </w:tcMar>
                  <w:vAlign w:val="center"/>
                </w:tcPr>
                <w:p w14:paraId="4CFCBB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0.037</w:t>
                  </w:r>
                </w:p>
              </w:tc>
              <w:tc>
                <w:tcPr>
                  <w:tcW w:w="403" w:type="pct"/>
                  <w:tcBorders>
                    <w:tl2br w:val="nil"/>
                    <w:tr2bl w:val="nil"/>
                  </w:tcBorders>
                  <w:shd w:val="clear" w:color="auto" w:fill="auto"/>
                  <w:noWrap w:val="0"/>
                  <w:tcMar>
                    <w:top w:w="0" w:type="dxa"/>
                    <w:left w:w="0" w:type="dxa"/>
                    <w:bottom w:w="0" w:type="dxa"/>
                    <w:right w:w="0" w:type="dxa"/>
                  </w:tcMar>
                  <w:vAlign w:val="center"/>
                </w:tcPr>
                <w:p w14:paraId="1CDFB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0.043</w:t>
                  </w:r>
                </w:p>
              </w:tc>
              <w:tc>
                <w:tcPr>
                  <w:tcW w:w="346" w:type="pct"/>
                  <w:tcBorders>
                    <w:tl2br w:val="nil"/>
                    <w:tr2bl w:val="nil"/>
                  </w:tcBorders>
                  <w:shd w:val="clear" w:color="auto" w:fill="auto"/>
                  <w:noWrap w:val="0"/>
                  <w:tcMar>
                    <w:top w:w="0" w:type="dxa"/>
                    <w:left w:w="0" w:type="dxa"/>
                    <w:bottom w:w="0" w:type="dxa"/>
                    <w:right w:w="0" w:type="dxa"/>
                  </w:tcMar>
                  <w:vAlign w:val="center"/>
                </w:tcPr>
                <w:p w14:paraId="1F4BDD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0.044</w:t>
                  </w:r>
                </w:p>
              </w:tc>
              <w:tc>
                <w:tcPr>
                  <w:tcW w:w="362" w:type="pct"/>
                  <w:tcBorders>
                    <w:tl2br w:val="nil"/>
                    <w:tr2bl w:val="nil"/>
                  </w:tcBorders>
                  <w:shd w:val="clear" w:color="auto" w:fill="auto"/>
                  <w:noWrap w:val="0"/>
                  <w:tcMar>
                    <w:top w:w="0" w:type="dxa"/>
                    <w:left w:w="0" w:type="dxa"/>
                    <w:bottom w:w="0" w:type="dxa"/>
                    <w:right w:w="0" w:type="dxa"/>
                  </w:tcMar>
                  <w:vAlign w:val="center"/>
                </w:tcPr>
                <w:p w14:paraId="458740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FF0000"/>
                      <w:sz w:val="18"/>
                      <w:szCs w:val="18"/>
                      <w:u w:val="none"/>
                      <w:vertAlign w:val="baseline"/>
                      <w:lang w:val="en-US" w:eastAsia="zh-CN"/>
                    </w:rPr>
                  </w:pPr>
                  <w:r>
                    <w:rPr>
                      <w:rFonts w:hint="eastAsia" w:ascii="Times New Roman" w:hAnsi="Times New Roman" w:eastAsia="宋体" w:cs="Times New Roman"/>
                      <w:b w:val="0"/>
                      <w:bCs w:val="0"/>
                      <w:color w:val="FF0000"/>
                      <w:sz w:val="18"/>
                      <w:szCs w:val="18"/>
                      <w:u w:val="none"/>
                      <w:vertAlign w:val="baseline"/>
                      <w:lang w:val="en-US" w:eastAsia="zh-CN"/>
                    </w:rPr>
                    <w:t>3.4</w:t>
                  </w:r>
                </w:p>
              </w:tc>
              <w:tc>
                <w:tcPr>
                  <w:tcW w:w="452" w:type="pct"/>
                  <w:tcBorders>
                    <w:tl2br w:val="nil"/>
                    <w:tr2bl w:val="nil"/>
                  </w:tcBorders>
                  <w:shd w:val="clear" w:color="auto" w:fill="auto"/>
                  <w:noWrap w:val="0"/>
                  <w:tcMar>
                    <w:top w:w="0" w:type="dxa"/>
                    <w:left w:w="0" w:type="dxa"/>
                    <w:bottom w:w="0" w:type="dxa"/>
                    <w:right w:w="0" w:type="dxa"/>
                  </w:tcMar>
                  <w:vAlign w:val="center"/>
                </w:tcPr>
                <w:p w14:paraId="566D27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2.4</w:t>
                  </w:r>
                </w:p>
              </w:tc>
            </w:tr>
            <w:tr w14:paraId="4AF154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38" w:type="pct"/>
                  <w:tcBorders>
                    <w:tl2br w:val="nil"/>
                    <w:tr2bl w:val="nil"/>
                  </w:tcBorders>
                  <w:noWrap w:val="0"/>
                  <w:tcMar>
                    <w:top w:w="0" w:type="dxa"/>
                    <w:left w:w="0" w:type="dxa"/>
                    <w:bottom w:w="0" w:type="dxa"/>
                    <w:right w:w="0" w:type="dxa"/>
                  </w:tcMar>
                  <w:vAlign w:val="center"/>
                </w:tcPr>
                <w:p w14:paraId="3BBC07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7</w:t>
                  </w:r>
                </w:p>
              </w:tc>
              <w:tc>
                <w:tcPr>
                  <w:tcW w:w="733" w:type="pct"/>
                  <w:tcBorders>
                    <w:tl2br w:val="nil"/>
                    <w:tr2bl w:val="nil"/>
                  </w:tcBorders>
                  <w:shd w:val="clear" w:color="auto" w:fill="auto"/>
                  <w:noWrap w:val="0"/>
                  <w:tcMar>
                    <w:top w:w="0" w:type="dxa"/>
                    <w:left w:w="0" w:type="dxa"/>
                    <w:bottom w:w="0" w:type="dxa"/>
                    <w:right w:w="0" w:type="dxa"/>
                  </w:tcMar>
                  <w:vAlign w:val="center"/>
                </w:tcPr>
                <w:p w14:paraId="0CB095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zh-CN" w:eastAsia="zh-CN"/>
                    </w:rPr>
                  </w:pPr>
                  <w:r>
                    <w:rPr>
                      <w:rFonts w:hint="default" w:ascii="Times New Roman" w:hAnsi="Times New Roman" w:eastAsia="宋体" w:cs="Times New Roman"/>
                      <w:b w:val="0"/>
                      <w:bCs w:val="0"/>
                      <w:color w:val="auto"/>
                      <w:sz w:val="18"/>
                      <w:szCs w:val="18"/>
                      <w:u w:val="none"/>
                      <w:vertAlign w:val="baseline"/>
                      <w:lang w:val="en-US" w:eastAsia="zh-CN"/>
                    </w:rPr>
                    <w:t>镍(mg/kg)</w:t>
                  </w:r>
                </w:p>
              </w:tc>
              <w:tc>
                <w:tcPr>
                  <w:tcW w:w="391" w:type="pct"/>
                  <w:tcBorders>
                    <w:tl2br w:val="nil"/>
                    <w:tr2bl w:val="nil"/>
                  </w:tcBorders>
                  <w:shd w:val="clear" w:color="auto" w:fill="auto"/>
                  <w:noWrap w:val="0"/>
                  <w:tcMar>
                    <w:top w:w="0" w:type="dxa"/>
                    <w:left w:w="0" w:type="dxa"/>
                    <w:bottom w:w="0" w:type="dxa"/>
                    <w:right w:w="0" w:type="dxa"/>
                  </w:tcMar>
                  <w:vAlign w:val="center"/>
                </w:tcPr>
                <w:p w14:paraId="0B231E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39</w:t>
                  </w:r>
                </w:p>
              </w:tc>
              <w:tc>
                <w:tcPr>
                  <w:tcW w:w="468" w:type="pct"/>
                  <w:tcBorders>
                    <w:tl2br w:val="nil"/>
                    <w:tr2bl w:val="nil"/>
                  </w:tcBorders>
                  <w:shd w:val="clear" w:color="auto" w:fill="auto"/>
                  <w:noWrap w:val="0"/>
                  <w:tcMar>
                    <w:top w:w="0" w:type="dxa"/>
                    <w:left w:w="0" w:type="dxa"/>
                    <w:bottom w:w="0" w:type="dxa"/>
                    <w:right w:w="0" w:type="dxa"/>
                  </w:tcMar>
                  <w:vAlign w:val="center"/>
                </w:tcPr>
                <w:p w14:paraId="263573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53</w:t>
                  </w:r>
                </w:p>
              </w:tc>
              <w:tc>
                <w:tcPr>
                  <w:tcW w:w="425" w:type="pct"/>
                  <w:tcBorders>
                    <w:tl2br w:val="nil"/>
                    <w:tr2bl w:val="nil"/>
                  </w:tcBorders>
                  <w:shd w:val="clear" w:color="auto" w:fill="auto"/>
                  <w:noWrap w:val="0"/>
                  <w:tcMar>
                    <w:top w:w="0" w:type="dxa"/>
                    <w:left w:w="0" w:type="dxa"/>
                    <w:bottom w:w="0" w:type="dxa"/>
                    <w:right w:w="0" w:type="dxa"/>
                  </w:tcMar>
                  <w:vAlign w:val="center"/>
                </w:tcPr>
                <w:p w14:paraId="6A306F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58</w:t>
                  </w:r>
                </w:p>
              </w:tc>
              <w:tc>
                <w:tcPr>
                  <w:tcW w:w="478" w:type="pct"/>
                  <w:tcBorders>
                    <w:tl2br w:val="nil"/>
                    <w:tr2bl w:val="nil"/>
                  </w:tcBorders>
                  <w:shd w:val="clear" w:color="auto" w:fill="auto"/>
                  <w:noWrap w:val="0"/>
                  <w:tcMar>
                    <w:top w:w="0" w:type="dxa"/>
                    <w:left w:w="0" w:type="dxa"/>
                    <w:bottom w:w="0" w:type="dxa"/>
                    <w:right w:w="0" w:type="dxa"/>
                  </w:tcMar>
                  <w:vAlign w:val="center"/>
                </w:tcPr>
                <w:p w14:paraId="42565F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54</w:t>
                  </w:r>
                </w:p>
              </w:tc>
              <w:tc>
                <w:tcPr>
                  <w:tcW w:w="428" w:type="pct"/>
                  <w:tcBorders>
                    <w:tl2br w:val="nil"/>
                    <w:tr2bl w:val="nil"/>
                  </w:tcBorders>
                  <w:shd w:val="clear" w:color="auto" w:fill="auto"/>
                  <w:noWrap w:val="0"/>
                  <w:tcMar>
                    <w:top w:w="0" w:type="dxa"/>
                    <w:left w:w="0" w:type="dxa"/>
                    <w:bottom w:w="0" w:type="dxa"/>
                    <w:right w:w="0" w:type="dxa"/>
                  </w:tcMar>
                  <w:vAlign w:val="center"/>
                </w:tcPr>
                <w:p w14:paraId="29D467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63</w:t>
                  </w:r>
                </w:p>
              </w:tc>
              <w:tc>
                <w:tcPr>
                  <w:tcW w:w="371" w:type="pct"/>
                  <w:tcBorders>
                    <w:tl2br w:val="nil"/>
                    <w:tr2bl w:val="nil"/>
                  </w:tcBorders>
                  <w:shd w:val="clear" w:color="auto" w:fill="auto"/>
                  <w:noWrap w:val="0"/>
                  <w:tcMar>
                    <w:top w:w="0" w:type="dxa"/>
                    <w:left w:w="0" w:type="dxa"/>
                    <w:bottom w:w="0" w:type="dxa"/>
                    <w:right w:w="0" w:type="dxa"/>
                  </w:tcMar>
                  <w:vAlign w:val="center"/>
                </w:tcPr>
                <w:p w14:paraId="03C94A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48</w:t>
                  </w:r>
                </w:p>
              </w:tc>
              <w:tc>
                <w:tcPr>
                  <w:tcW w:w="403" w:type="pct"/>
                  <w:tcBorders>
                    <w:tl2br w:val="nil"/>
                    <w:tr2bl w:val="nil"/>
                  </w:tcBorders>
                  <w:shd w:val="clear" w:color="auto" w:fill="auto"/>
                  <w:noWrap w:val="0"/>
                  <w:tcMar>
                    <w:top w:w="0" w:type="dxa"/>
                    <w:left w:w="0" w:type="dxa"/>
                    <w:bottom w:w="0" w:type="dxa"/>
                    <w:right w:w="0" w:type="dxa"/>
                  </w:tcMar>
                  <w:vAlign w:val="center"/>
                </w:tcPr>
                <w:p w14:paraId="0BF4F3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64</w:t>
                  </w:r>
                </w:p>
              </w:tc>
              <w:tc>
                <w:tcPr>
                  <w:tcW w:w="346" w:type="pct"/>
                  <w:tcBorders>
                    <w:tl2br w:val="nil"/>
                    <w:tr2bl w:val="nil"/>
                  </w:tcBorders>
                  <w:shd w:val="clear" w:color="auto" w:fill="auto"/>
                  <w:noWrap w:val="0"/>
                  <w:tcMar>
                    <w:top w:w="0" w:type="dxa"/>
                    <w:left w:w="0" w:type="dxa"/>
                    <w:bottom w:w="0" w:type="dxa"/>
                    <w:right w:w="0" w:type="dxa"/>
                  </w:tcMar>
                  <w:vAlign w:val="center"/>
                </w:tcPr>
                <w:p w14:paraId="37173C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53</w:t>
                  </w:r>
                </w:p>
              </w:tc>
              <w:tc>
                <w:tcPr>
                  <w:tcW w:w="362" w:type="pct"/>
                  <w:tcBorders>
                    <w:tl2br w:val="nil"/>
                    <w:tr2bl w:val="nil"/>
                  </w:tcBorders>
                  <w:shd w:val="clear" w:color="auto" w:fill="auto"/>
                  <w:noWrap w:val="0"/>
                  <w:tcMar>
                    <w:top w:w="0" w:type="dxa"/>
                    <w:left w:w="0" w:type="dxa"/>
                    <w:bottom w:w="0" w:type="dxa"/>
                    <w:right w:w="0" w:type="dxa"/>
                  </w:tcMar>
                  <w:vAlign w:val="center"/>
                </w:tcPr>
                <w:p w14:paraId="2FACCB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FF0000"/>
                      <w:sz w:val="18"/>
                      <w:szCs w:val="18"/>
                      <w:u w:val="none"/>
                      <w:vertAlign w:val="baseline"/>
                      <w:lang w:val="en-US" w:eastAsia="zh-CN"/>
                    </w:rPr>
                  </w:pPr>
                  <w:r>
                    <w:rPr>
                      <w:rFonts w:hint="eastAsia" w:ascii="Times New Roman" w:hAnsi="Times New Roman" w:eastAsia="宋体" w:cs="Times New Roman"/>
                      <w:b w:val="0"/>
                      <w:bCs w:val="0"/>
                      <w:color w:val="FF0000"/>
                      <w:sz w:val="18"/>
                      <w:szCs w:val="18"/>
                      <w:u w:val="none"/>
                      <w:vertAlign w:val="baseline"/>
                      <w:lang w:val="en-US" w:eastAsia="zh-CN"/>
                    </w:rPr>
                    <w:t>190</w:t>
                  </w:r>
                </w:p>
              </w:tc>
              <w:tc>
                <w:tcPr>
                  <w:tcW w:w="452" w:type="pct"/>
                  <w:tcBorders>
                    <w:tl2br w:val="nil"/>
                    <w:tr2bl w:val="nil"/>
                  </w:tcBorders>
                  <w:shd w:val="clear" w:color="auto" w:fill="auto"/>
                  <w:noWrap w:val="0"/>
                  <w:tcMar>
                    <w:top w:w="0" w:type="dxa"/>
                    <w:left w:w="0" w:type="dxa"/>
                    <w:bottom w:w="0" w:type="dxa"/>
                    <w:right w:w="0" w:type="dxa"/>
                  </w:tcMar>
                  <w:vAlign w:val="center"/>
                </w:tcPr>
                <w:p w14:paraId="7EBCC2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100</w:t>
                  </w:r>
                </w:p>
              </w:tc>
            </w:tr>
            <w:tr w14:paraId="5AF8F2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38" w:type="pct"/>
                  <w:tcBorders>
                    <w:tl2br w:val="nil"/>
                    <w:tr2bl w:val="nil"/>
                  </w:tcBorders>
                  <w:noWrap w:val="0"/>
                  <w:tcMar>
                    <w:top w:w="0" w:type="dxa"/>
                    <w:left w:w="0" w:type="dxa"/>
                    <w:bottom w:w="0" w:type="dxa"/>
                    <w:right w:w="0" w:type="dxa"/>
                  </w:tcMar>
                  <w:vAlign w:val="center"/>
                </w:tcPr>
                <w:p w14:paraId="5DDF82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8</w:t>
                  </w:r>
                </w:p>
              </w:tc>
              <w:tc>
                <w:tcPr>
                  <w:tcW w:w="733" w:type="pct"/>
                  <w:tcBorders>
                    <w:tl2br w:val="nil"/>
                    <w:tr2bl w:val="nil"/>
                  </w:tcBorders>
                  <w:shd w:val="clear" w:color="auto" w:fill="auto"/>
                  <w:noWrap w:val="0"/>
                  <w:tcMar>
                    <w:top w:w="0" w:type="dxa"/>
                    <w:left w:w="0" w:type="dxa"/>
                    <w:bottom w:w="0" w:type="dxa"/>
                    <w:right w:w="0" w:type="dxa"/>
                  </w:tcMar>
                  <w:vAlign w:val="center"/>
                </w:tcPr>
                <w:p w14:paraId="702D97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zh-CN" w:eastAsia="zh-CN"/>
                    </w:rPr>
                  </w:pPr>
                  <w:r>
                    <w:rPr>
                      <w:rFonts w:hint="default" w:ascii="Times New Roman" w:hAnsi="Times New Roman" w:eastAsia="宋体" w:cs="Times New Roman"/>
                      <w:b w:val="0"/>
                      <w:bCs w:val="0"/>
                      <w:color w:val="auto"/>
                      <w:sz w:val="18"/>
                      <w:szCs w:val="18"/>
                      <w:u w:val="none"/>
                      <w:vertAlign w:val="baseline"/>
                      <w:lang w:val="en-US" w:eastAsia="zh-CN"/>
                    </w:rPr>
                    <w:t xml:space="preserve">砷(mg/kg) </w:t>
                  </w:r>
                </w:p>
              </w:tc>
              <w:tc>
                <w:tcPr>
                  <w:tcW w:w="391" w:type="pct"/>
                  <w:tcBorders>
                    <w:tl2br w:val="nil"/>
                    <w:tr2bl w:val="nil"/>
                  </w:tcBorders>
                  <w:shd w:val="clear" w:color="auto" w:fill="auto"/>
                  <w:noWrap w:val="0"/>
                  <w:tcMar>
                    <w:top w:w="0" w:type="dxa"/>
                    <w:left w:w="0" w:type="dxa"/>
                    <w:bottom w:w="0" w:type="dxa"/>
                    <w:right w:w="0" w:type="dxa"/>
                  </w:tcMar>
                  <w:vAlign w:val="center"/>
                </w:tcPr>
                <w:p w14:paraId="33DF27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9.36</w:t>
                  </w:r>
                </w:p>
              </w:tc>
              <w:tc>
                <w:tcPr>
                  <w:tcW w:w="468" w:type="pct"/>
                  <w:tcBorders>
                    <w:tl2br w:val="nil"/>
                    <w:tr2bl w:val="nil"/>
                  </w:tcBorders>
                  <w:shd w:val="clear" w:color="auto" w:fill="auto"/>
                  <w:noWrap w:val="0"/>
                  <w:tcMar>
                    <w:top w:w="0" w:type="dxa"/>
                    <w:left w:w="0" w:type="dxa"/>
                    <w:bottom w:w="0" w:type="dxa"/>
                    <w:right w:w="0" w:type="dxa"/>
                  </w:tcMar>
                  <w:vAlign w:val="center"/>
                </w:tcPr>
                <w:p w14:paraId="51C769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8.96</w:t>
                  </w:r>
                </w:p>
              </w:tc>
              <w:tc>
                <w:tcPr>
                  <w:tcW w:w="425" w:type="pct"/>
                  <w:tcBorders>
                    <w:tl2br w:val="nil"/>
                    <w:tr2bl w:val="nil"/>
                  </w:tcBorders>
                  <w:shd w:val="clear" w:color="auto" w:fill="auto"/>
                  <w:noWrap w:val="0"/>
                  <w:tcMar>
                    <w:top w:w="0" w:type="dxa"/>
                    <w:left w:w="0" w:type="dxa"/>
                    <w:bottom w:w="0" w:type="dxa"/>
                    <w:right w:w="0" w:type="dxa"/>
                  </w:tcMar>
                  <w:vAlign w:val="center"/>
                </w:tcPr>
                <w:p w14:paraId="493DDD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10.8</w:t>
                  </w:r>
                </w:p>
              </w:tc>
              <w:tc>
                <w:tcPr>
                  <w:tcW w:w="478" w:type="pct"/>
                  <w:tcBorders>
                    <w:tl2br w:val="nil"/>
                    <w:tr2bl w:val="nil"/>
                  </w:tcBorders>
                  <w:shd w:val="clear" w:color="auto" w:fill="auto"/>
                  <w:noWrap w:val="0"/>
                  <w:tcMar>
                    <w:top w:w="0" w:type="dxa"/>
                    <w:left w:w="0" w:type="dxa"/>
                    <w:bottom w:w="0" w:type="dxa"/>
                    <w:right w:w="0" w:type="dxa"/>
                  </w:tcMar>
                  <w:vAlign w:val="center"/>
                </w:tcPr>
                <w:p w14:paraId="094221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9.72</w:t>
                  </w:r>
                </w:p>
              </w:tc>
              <w:tc>
                <w:tcPr>
                  <w:tcW w:w="428" w:type="pct"/>
                  <w:tcBorders>
                    <w:tl2br w:val="nil"/>
                    <w:tr2bl w:val="nil"/>
                  </w:tcBorders>
                  <w:shd w:val="clear" w:color="auto" w:fill="auto"/>
                  <w:noWrap w:val="0"/>
                  <w:tcMar>
                    <w:top w:w="0" w:type="dxa"/>
                    <w:left w:w="0" w:type="dxa"/>
                    <w:bottom w:w="0" w:type="dxa"/>
                    <w:right w:w="0" w:type="dxa"/>
                  </w:tcMar>
                  <w:vAlign w:val="center"/>
                </w:tcPr>
                <w:p w14:paraId="36D678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10.25</w:t>
                  </w:r>
                </w:p>
              </w:tc>
              <w:tc>
                <w:tcPr>
                  <w:tcW w:w="371" w:type="pct"/>
                  <w:tcBorders>
                    <w:tl2br w:val="nil"/>
                    <w:tr2bl w:val="nil"/>
                  </w:tcBorders>
                  <w:shd w:val="clear" w:color="auto" w:fill="auto"/>
                  <w:noWrap w:val="0"/>
                  <w:tcMar>
                    <w:top w:w="0" w:type="dxa"/>
                    <w:left w:w="0" w:type="dxa"/>
                    <w:bottom w:w="0" w:type="dxa"/>
                    <w:right w:w="0" w:type="dxa"/>
                  </w:tcMar>
                  <w:vAlign w:val="center"/>
                </w:tcPr>
                <w:p w14:paraId="16C2AE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9.51</w:t>
                  </w:r>
                </w:p>
              </w:tc>
              <w:tc>
                <w:tcPr>
                  <w:tcW w:w="403" w:type="pct"/>
                  <w:tcBorders>
                    <w:tl2br w:val="nil"/>
                    <w:tr2bl w:val="nil"/>
                  </w:tcBorders>
                  <w:shd w:val="clear" w:color="auto" w:fill="auto"/>
                  <w:noWrap w:val="0"/>
                  <w:tcMar>
                    <w:top w:w="0" w:type="dxa"/>
                    <w:left w:w="0" w:type="dxa"/>
                    <w:bottom w:w="0" w:type="dxa"/>
                    <w:right w:w="0" w:type="dxa"/>
                  </w:tcMar>
                  <w:vAlign w:val="center"/>
                </w:tcPr>
                <w:p w14:paraId="7CBD85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9.19</w:t>
                  </w:r>
                </w:p>
              </w:tc>
              <w:tc>
                <w:tcPr>
                  <w:tcW w:w="346" w:type="pct"/>
                  <w:tcBorders>
                    <w:tl2br w:val="nil"/>
                    <w:tr2bl w:val="nil"/>
                  </w:tcBorders>
                  <w:shd w:val="clear" w:color="auto" w:fill="auto"/>
                  <w:noWrap w:val="0"/>
                  <w:tcMar>
                    <w:top w:w="0" w:type="dxa"/>
                    <w:left w:w="0" w:type="dxa"/>
                    <w:bottom w:w="0" w:type="dxa"/>
                    <w:right w:w="0" w:type="dxa"/>
                  </w:tcMar>
                  <w:vAlign w:val="center"/>
                </w:tcPr>
                <w:p w14:paraId="32DD96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9.26</w:t>
                  </w:r>
                </w:p>
              </w:tc>
              <w:tc>
                <w:tcPr>
                  <w:tcW w:w="362" w:type="pct"/>
                  <w:tcBorders>
                    <w:tl2br w:val="nil"/>
                    <w:tr2bl w:val="nil"/>
                  </w:tcBorders>
                  <w:shd w:val="clear" w:color="auto" w:fill="auto"/>
                  <w:noWrap w:val="0"/>
                  <w:tcMar>
                    <w:top w:w="0" w:type="dxa"/>
                    <w:left w:w="0" w:type="dxa"/>
                    <w:bottom w:w="0" w:type="dxa"/>
                    <w:right w:w="0" w:type="dxa"/>
                  </w:tcMar>
                  <w:vAlign w:val="center"/>
                </w:tcPr>
                <w:p w14:paraId="0550F7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FF0000"/>
                      <w:sz w:val="18"/>
                      <w:szCs w:val="18"/>
                      <w:u w:val="none"/>
                      <w:vertAlign w:val="baseline"/>
                      <w:lang w:val="en-US" w:eastAsia="zh-CN"/>
                    </w:rPr>
                  </w:pPr>
                  <w:r>
                    <w:rPr>
                      <w:rFonts w:hint="eastAsia" w:ascii="Times New Roman" w:hAnsi="Times New Roman" w:eastAsia="宋体" w:cs="Times New Roman"/>
                      <w:b w:val="0"/>
                      <w:bCs w:val="0"/>
                      <w:color w:val="FF0000"/>
                      <w:sz w:val="18"/>
                      <w:szCs w:val="18"/>
                      <w:u w:val="none"/>
                      <w:vertAlign w:val="baseline"/>
                      <w:lang w:val="en-US" w:eastAsia="zh-CN"/>
                    </w:rPr>
                    <w:t>25</w:t>
                  </w:r>
                </w:p>
              </w:tc>
              <w:tc>
                <w:tcPr>
                  <w:tcW w:w="452" w:type="pct"/>
                  <w:tcBorders>
                    <w:tl2br w:val="nil"/>
                    <w:tr2bl w:val="nil"/>
                  </w:tcBorders>
                  <w:shd w:val="clear" w:color="auto" w:fill="auto"/>
                  <w:noWrap w:val="0"/>
                  <w:tcMar>
                    <w:top w:w="0" w:type="dxa"/>
                    <w:left w:w="0" w:type="dxa"/>
                    <w:bottom w:w="0" w:type="dxa"/>
                    <w:right w:w="0" w:type="dxa"/>
                  </w:tcMar>
                  <w:vAlign w:val="center"/>
                </w:tcPr>
                <w:p w14:paraId="445E9A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30</w:t>
                  </w:r>
                </w:p>
              </w:tc>
            </w:tr>
            <w:tr w14:paraId="27ECF6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38" w:type="pct"/>
                  <w:tcBorders>
                    <w:tl2br w:val="nil"/>
                    <w:tr2bl w:val="nil"/>
                  </w:tcBorders>
                  <w:noWrap w:val="0"/>
                  <w:tcMar>
                    <w:top w:w="0" w:type="dxa"/>
                    <w:left w:w="0" w:type="dxa"/>
                    <w:bottom w:w="0" w:type="dxa"/>
                    <w:right w:w="0" w:type="dxa"/>
                  </w:tcMar>
                  <w:vAlign w:val="center"/>
                </w:tcPr>
                <w:p w14:paraId="4E968D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bookmarkStart w:id="18" w:name="OLE_LINK10" w:colFirst="0" w:colLast="0"/>
                  <w:r>
                    <w:rPr>
                      <w:rFonts w:hint="eastAsia" w:ascii="Times New Roman" w:hAnsi="Times New Roman" w:eastAsia="宋体" w:cs="Times New Roman"/>
                      <w:b w:val="0"/>
                      <w:bCs w:val="0"/>
                      <w:color w:val="auto"/>
                      <w:sz w:val="18"/>
                      <w:szCs w:val="18"/>
                      <w:u w:val="none"/>
                      <w:vertAlign w:val="baseline"/>
                      <w:lang w:val="en-US" w:eastAsia="zh-CN"/>
                    </w:rPr>
                    <w:t>9</w:t>
                  </w:r>
                </w:p>
              </w:tc>
              <w:tc>
                <w:tcPr>
                  <w:tcW w:w="733" w:type="pct"/>
                  <w:tcBorders>
                    <w:tl2br w:val="nil"/>
                    <w:tr2bl w:val="nil"/>
                  </w:tcBorders>
                  <w:shd w:val="clear" w:color="auto" w:fill="auto"/>
                  <w:noWrap w:val="0"/>
                  <w:tcMar>
                    <w:top w:w="0" w:type="dxa"/>
                    <w:left w:w="0" w:type="dxa"/>
                    <w:bottom w:w="0" w:type="dxa"/>
                    <w:right w:w="0" w:type="dxa"/>
                  </w:tcMar>
                  <w:vAlign w:val="center"/>
                </w:tcPr>
                <w:p w14:paraId="4CF1BE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锌</w:t>
                  </w:r>
                  <w:r>
                    <w:rPr>
                      <w:rFonts w:hint="default" w:ascii="Times New Roman" w:hAnsi="Times New Roman" w:eastAsia="宋体" w:cs="Times New Roman"/>
                      <w:b w:val="0"/>
                      <w:bCs w:val="0"/>
                      <w:color w:val="auto"/>
                      <w:sz w:val="18"/>
                      <w:szCs w:val="18"/>
                      <w:u w:val="none"/>
                      <w:vertAlign w:val="baseline"/>
                      <w:lang w:val="en-US" w:eastAsia="zh-CN"/>
                    </w:rPr>
                    <w:t xml:space="preserve">(mg/kg) </w:t>
                  </w:r>
                </w:p>
              </w:tc>
              <w:tc>
                <w:tcPr>
                  <w:tcW w:w="391" w:type="pct"/>
                  <w:tcBorders>
                    <w:tl2br w:val="nil"/>
                    <w:tr2bl w:val="nil"/>
                  </w:tcBorders>
                  <w:shd w:val="clear" w:color="auto" w:fill="auto"/>
                  <w:noWrap w:val="0"/>
                  <w:tcMar>
                    <w:top w:w="0" w:type="dxa"/>
                    <w:left w:w="0" w:type="dxa"/>
                    <w:bottom w:w="0" w:type="dxa"/>
                    <w:right w:w="0" w:type="dxa"/>
                  </w:tcMar>
                  <w:vAlign w:val="center"/>
                </w:tcPr>
                <w:p w14:paraId="38E1E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68</w:t>
                  </w:r>
                </w:p>
              </w:tc>
              <w:tc>
                <w:tcPr>
                  <w:tcW w:w="468" w:type="pct"/>
                  <w:tcBorders>
                    <w:tl2br w:val="nil"/>
                    <w:tr2bl w:val="nil"/>
                  </w:tcBorders>
                  <w:shd w:val="clear" w:color="auto" w:fill="auto"/>
                  <w:noWrap w:val="0"/>
                  <w:tcMar>
                    <w:top w:w="0" w:type="dxa"/>
                    <w:left w:w="0" w:type="dxa"/>
                    <w:bottom w:w="0" w:type="dxa"/>
                    <w:right w:w="0" w:type="dxa"/>
                  </w:tcMar>
                  <w:vAlign w:val="center"/>
                </w:tcPr>
                <w:p w14:paraId="32C729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59</w:t>
                  </w:r>
                </w:p>
              </w:tc>
              <w:tc>
                <w:tcPr>
                  <w:tcW w:w="425" w:type="pct"/>
                  <w:tcBorders>
                    <w:tl2br w:val="nil"/>
                    <w:tr2bl w:val="nil"/>
                  </w:tcBorders>
                  <w:shd w:val="clear" w:color="auto" w:fill="auto"/>
                  <w:noWrap w:val="0"/>
                  <w:tcMar>
                    <w:top w:w="0" w:type="dxa"/>
                    <w:left w:w="0" w:type="dxa"/>
                    <w:bottom w:w="0" w:type="dxa"/>
                    <w:right w:w="0" w:type="dxa"/>
                  </w:tcMar>
                  <w:vAlign w:val="center"/>
                </w:tcPr>
                <w:p w14:paraId="3E49B8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53</w:t>
                  </w:r>
                </w:p>
              </w:tc>
              <w:tc>
                <w:tcPr>
                  <w:tcW w:w="478" w:type="pct"/>
                  <w:tcBorders>
                    <w:tl2br w:val="nil"/>
                    <w:tr2bl w:val="nil"/>
                  </w:tcBorders>
                  <w:shd w:val="clear" w:color="auto" w:fill="auto"/>
                  <w:noWrap w:val="0"/>
                  <w:tcMar>
                    <w:top w:w="0" w:type="dxa"/>
                    <w:left w:w="0" w:type="dxa"/>
                    <w:bottom w:w="0" w:type="dxa"/>
                    <w:right w:w="0" w:type="dxa"/>
                  </w:tcMar>
                  <w:vAlign w:val="center"/>
                </w:tcPr>
                <w:p w14:paraId="3AAD37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44</w:t>
                  </w:r>
                </w:p>
              </w:tc>
              <w:tc>
                <w:tcPr>
                  <w:tcW w:w="428" w:type="pct"/>
                  <w:tcBorders>
                    <w:tl2br w:val="nil"/>
                    <w:tr2bl w:val="nil"/>
                  </w:tcBorders>
                  <w:shd w:val="clear" w:color="auto" w:fill="auto"/>
                  <w:noWrap w:val="0"/>
                  <w:tcMar>
                    <w:top w:w="0" w:type="dxa"/>
                    <w:left w:w="0" w:type="dxa"/>
                    <w:bottom w:w="0" w:type="dxa"/>
                    <w:right w:w="0" w:type="dxa"/>
                  </w:tcMar>
                  <w:vAlign w:val="center"/>
                </w:tcPr>
                <w:p w14:paraId="311C3A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69</w:t>
                  </w:r>
                </w:p>
              </w:tc>
              <w:tc>
                <w:tcPr>
                  <w:tcW w:w="371" w:type="pct"/>
                  <w:tcBorders>
                    <w:tl2br w:val="nil"/>
                    <w:tr2bl w:val="nil"/>
                  </w:tcBorders>
                  <w:shd w:val="clear" w:color="auto" w:fill="auto"/>
                  <w:noWrap w:val="0"/>
                  <w:tcMar>
                    <w:top w:w="0" w:type="dxa"/>
                    <w:left w:w="0" w:type="dxa"/>
                    <w:bottom w:w="0" w:type="dxa"/>
                    <w:right w:w="0" w:type="dxa"/>
                  </w:tcMar>
                  <w:vAlign w:val="center"/>
                </w:tcPr>
                <w:p w14:paraId="2870D7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48</w:t>
                  </w:r>
                </w:p>
              </w:tc>
              <w:tc>
                <w:tcPr>
                  <w:tcW w:w="403" w:type="pct"/>
                  <w:tcBorders>
                    <w:tl2br w:val="nil"/>
                    <w:tr2bl w:val="nil"/>
                  </w:tcBorders>
                  <w:shd w:val="clear" w:color="auto" w:fill="auto"/>
                  <w:noWrap w:val="0"/>
                  <w:tcMar>
                    <w:top w:w="0" w:type="dxa"/>
                    <w:left w:w="0" w:type="dxa"/>
                    <w:bottom w:w="0" w:type="dxa"/>
                    <w:right w:w="0" w:type="dxa"/>
                  </w:tcMar>
                  <w:vAlign w:val="center"/>
                </w:tcPr>
                <w:p w14:paraId="79B313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70</w:t>
                  </w:r>
                </w:p>
              </w:tc>
              <w:tc>
                <w:tcPr>
                  <w:tcW w:w="346" w:type="pct"/>
                  <w:tcBorders>
                    <w:tl2br w:val="nil"/>
                    <w:tr2bl w:val="nil"/>
                  </w:tcBorders>
                  <w:shd w:val="clear" w:color="auto" w:fill="auto"/>
                  <w:noWrap w:val="0"/>
                  <w:tcMar>
                    <w:top w:w="0" w:type="dxa"/>
                    <w:left w:w="0" w:type="dxa"/>
                    <w:bottom w:w="0" w:type="dxa"/>
                    <w:right w:w="0" w:type="dxa"/>
                  </w:tcMar>
                  <w:vAlign w:val="center"/>
                </w:tcPr>
                <w:p w14:paraId="3ADF3B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50</w:t>
                  </w:r>
                </w:p>
              </w:tc>
              <w:tc>
                <w:tcPr>
                  <w:tcW w:w="362" w:type="pct"/>
                  <w:tcBorders>
                    <w:tl2br w:val="nil"/>
                    <w:tr2bl w:val="nil"/>
                  </w:tcBorders>
                  <w:shd w:val="clear" w:color="auto" w:fill="auto"/>
                  <w:noWrap w:val="0"/>
                  <w:tcMar>
                    <w:top w:w="0" w:type="dxa"/>
                    <w:left w:w="0" w:type="dxa"/>
                    <w:bottom w:w="0" w:type="dxa"/>
                    <w:right w:w="0" w:type="dxa"/>
                  </w:tcMar>
                  <w:vAlign w:val="center"/>
                </w:tcPr>
                <w:p w14:paraId="097A40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FF0000"/>
                      <w:sz w:val="18"/>
                      <w:szCs w:val="18"/>
                      <w:u w:val="none"/>
                      <w:vertAlign w:val="baseline"/>
                      <w:lang w:val="en-US" w:eastAsia="zh-CN"/>
                    </w:rPr>
                  </w:pPr>
                  <w:r>
                    <w:rPr>
                      <w:rFonts w:hint="default" w:ascii="Times New Roman" w:hAnsi="Times New Roman" w:eastAsia="宋体" w:cs="Times New Roman"/>
                      <w:b w:val="0"/>
                      <w:bCs w:val="0"/>
                      <w:color w:val="FF0000"/>
                      <w:sz w:val="18"/>
                      <w:szCs w:val="18"/>
                      <w:u w:val="none"/>
                      <w:vertAlign w:val="baseline"/>
                      <w:lang w:val="en-US" w:eastAsia="zh-CN"/>
                    </w:rPr>
                    <w:t>300</w:t>
                  </w:r>
                </w:p>
              </w:tc>
              <w:tc>
                <w:tcPr>
                  <w:tcW w:w="452" w:type="pct"/>
                  <w:tcBorders>
                    <w:tl2br w:val="nil"/>
                    <w:tr2bl w:val="nil"/>
                  </w:tcBorders>
                  <w:shd w:val="clear" w:color="auto" w:fill="auto"/>
                  <w:noWrap w:val="0"/>
                  <w:tcMar>
                    <w:top w:w="0" w:type="dxa"/>
                    <w:left w:w="0" w:type="dxa"/>
                    <w:bottom w:w="0" w:type="dxa"/>
                    <w:right w:w="0" w:type="dxa"/>
                  </w:tcMar>
                  <w:vAlign w:val="center"/>
                </w:tcPr>
                <w:p w14:paraId="45DEB0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250</w:t>
                  </w:r>
                </w:p>
              </w:tc>
            </w:tr>
            <w:tr w14:paraId="559268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38" w:type="pct"/>
                  <w:tcBorders>
                    <w:tl2br w:val="nil"/>
                    <w:tr2bl w:val="nil"/>
                  </w:tcBorders>
                  <w:noWrap w:val="0"/>
                  <w:tcMar>
                    <w:top w:w="0" w:type="dxa"/>
                    <w:left w:w="0" w:type="dxa"/>
                    <w:bottom w:w="0" w:type="dxa"/>
                    <w:right w:w="0" w:type="dxa"/>
                  </w:tcMar>
                  <w:vAlign w:val="center"/>
                </w:tcPr>
                <w:p w14:paraId="3F69D4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10</w:t>
                  </w:r>
                </w:p>
              </w:tc>
              <w:tc>
                <w:tcPr>
                  <w:tcW w:w="733" w:type="pct"/>
                  <w:tcBorders>
                    <w:tl2br w:val="nil"/>
                    <w:tr2bl w:val="nil"/>
                  </w:tcBorders>
                  <w:shd w:val="clear" w:color="auto" w:fill="auto"/>
                  <w:noWrap w:val="0"/>
                  <w:tcMar>
                    <w:top w:w="0" w:type="dxa"/>
                    <w:left w:w="0" w:type="dxa"/>
                    <w:bottom w:w="0" w:type="dxa"/>
                    <w:right w:w="0" w:type="dxa"/>
                  </w:tcMar>
                  <w:vAlign w:val="center"/>
                </w:tcPr>
                <w:p w14:paraId="3984E3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石油烃（</w:t>
                  </w:r>
                  <w:r>
                    <w:rPr>
                      <w:rFonts w:hint="eastAsia" w:ascii="Times New Roman" w:hAnsi="Times New Roman" w:eastAsia="宋体" w:cs="Times New Roman"/>
                      <w:color w:val="auto"/>
                      <w:spacing w:val="10"/>
                      <w:sz w:val="18"/>
                      <w:szCs w:val="18"/>
                      <w:highlight w:val="none"/>
                      <w:lang w:val="en-US" w:eastAsia="zh-CN" w:bidi="ar-SA"/>
                    </w:rPr>
                    <w:t>C</w:t>
                  </w:r>
                  <w:r>
                    <w:rPr>
                      <w:rFonts w:hint="eastAsia" w:ascii="Times New Roman" w:hAnsi="Times New Roman" w:eastAsia="宋体" w:cs="Times New Roman"/>
                      <w:color w:val="auto"/>
                      <w:spacing w:val="10"/>
                      <w:sz w:val="18"/>
                      <w:szCs w:val="18"/>
                      <w:highlight w:val="none"/>
                      <w:vertAlign w:val="subscript"/>
                      <w:lang w:val="en-US" w:eastAsia="zh-CN" w:bidi="ar-SA"/>
                    </w:rPr>
                    <w:t>6</w:t>
                  </w:r>
                  <w:r>
                    <w:rPr>
                      <w:rFonts w:hint="eastAsia" w:ascii="Times New Roman" w:hAnsi="Times New Roman" w:eastAsia="宋体" w:cs="Times New Roman"/>
                      <w:color w:val="auto"/>
                      <w:spacing w:val="10"/>
                      <w:sz w:val="18"/>
                      <w:szCs w:val="18"/>
                      <w:highlight w:val="none"/>
                      <w:lang w:val="en-US" w:eastAsia="zh-CN" w:bidi="ar-SA"/>
                    </w:rPr>
                    <w:t>-C</w:t>
                  </w:r>
                  <w:r>
                    <w:rPr>
                      <w:rFonts w:hint="eastAsia" w:ascii="Times New Roman" w:hAnsi="Times New Roman" w:eastAsia="宋体" w:cs="Times New Roman"/>
                      <w:color w:val="auto"/>
                      <w:spacing w:val="10"/>
                      <w:sz w:val="18"/>
                      <w:szCs w:val="18"/>
                      <w:highlight w:val="none"/>
                      <w:vertAlign w:val="subscript"/>
                      <w:lang w:val="en-US" w:eastAsia="zh-CN" w:bidi="ar-SA"/>
                    </w:rPr>
                    <w:t>9</w:t>
                  </w:r>
                  <w:r>
                    <w:rPr>
                      <w:rFonts w:hint="eastAsia" w:ascii="Times New Roman" w:hAnsi="Times New Roman" w:eastAsia="宋体" w:cs="Times New Roman"/>
                      <w:b w:val="0"/>
                      <w:bCs w:val="0"/>
                      <w:color w:val="auto"/>
                      <w:sz w:val="18"/>
                      <w:szCs w:val="18"/>
                      <w:u w:val="none"/>
                      <w:vertAlign w:val="baseline"/>
                      <w:lang w:val="en-US" w:eastAsia="zh-CN"/>
                    </w:rPr>
                    <w:t>）</w:t>
                  </w:r>
                  <w:r>
                    <w:rPr>
                      <w:rFonts w:hint="default" w:ascii="Times New Roman" w:hAnsi="Times New Roman" w:eastAsia="宋体" w:cs="Times New Roman"/>
                      <w:b w:val="0"/>
                      <w:bCs w:val="0"/>
                      <w:color w:val="auto"/>
                      <w:sz w:val="18"/>
                      <w:szCs w:val="18"/>
                      <w:u w:val="none"/>
                      <w:vertAlign w:val="baseline"/>
                      <w:lang w:val="en-US" w:eastAsia="zh-CN"/>
                    </w:rPr>
                    <w:t>(mg/kg)</w:t>
                  </w:r>
                </w:p>
              </w:tc>
              <w:tc>
                <w:tcPr>
                  <w:tcW w:w="391" w:type="pct"/>
                  <w:tcBorders>
                    <w:tl2br w:val="nil"/>
                    <w:tr2bl w:val="nil"/>
                  </w:tcBorders>
                  <w:shd w:val="clear" w:color="auto" w:fill="auto"/>
                  <w:noWrap w:val="0"/>
                  <w:tcMar>
                    <w:top w:w="0" w:type="dxa"/>
                    <w:left w:w="0" w:type="dxa"/>
                    <w:bottom w:w="0" w:type="dxa"/>
                    <w:right w:w="0" w:type="dxa"/>
                  </w:tcMar>
                  <w:vAlign w:val="center"/>
                </w:tcPr>
                <w:p w14:paraId="2B9BB1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9</w:t>
                  </w:r>
                </w:p>
              </w:tc>
              <w:tc>
                <w:tcPr>
                  <w:tcW w:w="468" w:type="pct"/>
                  <w:tcBorders>
                    <w:tl2br w:val="nil"/>
                    <w:tr2bl w:val="nil"/>
                  </w:tcBorders>
                  <w:shd w:val="clear" w:color="auto" w:fill="auto"/>
                  <w:noWrap w:val="0"/>
                  <w:tcMar>
                    <w:top w:w="0" w:type="dxa"/>
                    <w:left w:w="0" w:type="dxa"/>
                    <w:bottom w:w="0" w:type="dxa"/>
                    <w:right w:w="0" w:type="dxa"/>
                  </w:tcMar>
                  <w:vAlign w:val="center"/>
                </w:tcPr>
                <w:p w14:paraId="1715EB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9</w:t>
                  </w:r>
                </w:p>
              </w:tc>
              <w:tc>
                <w:tcPr>
                  <w:tcW w:w="425" w:type="pct"/>
                  <w:tcBorders>
                    <w:tl2br w:val="nil"/>
                    <w:tr2bl w:val="nil"/>
                  </w:tcBorders>
                  <w:shd w:val="clear" w:color="auto" w:fill="auto"/>
                  <w:noWrap w:val="0"/>
                  <w:tcMar>
                    <w:top w:w="0" w:type="dxa"/>
                    <w:left w:w="0" w:type="dxa"/>
                    <w:bottom w:w="0" w:type="dxa"/>
                    <w:right w:w="0" w:type="dxa"/>
                  </w:tcMar>
                  <w:vAlign w:val="center"/>
                </w:tcPr>
                <w:p w14:paraId="30347F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8</w:t>
                  </w:r>
                </w:p>
              </w:tc>
              <w:tc>
                <w:tcPr>
                  <w:tcW w:w="478" w:type="pct"/>
                  <w:tcBorders>
                    <w:tl2br w:val="nil"/>
                    <w:tr2bl w:val="nil"/>
                  </w:tcBorders>
                  <w:shd w:val="clear" w:color="auto" w:fill="auto"/>
                  <w:noWrap w:val="0"/>
                  <w:tcMar>
                    <w:top w:w="0" w:type="dxa"/>
                    <w:left w:w="0" w:type="dxa"/>
                    <w:bottom w:w="0" w:type="dxa"/>
                    <w:right w:w="0" w:type="dxa"/>
                  </w:tcMar>
                  <w:vAlign w:val="center"/>
                </w:tcPr>
                <w:p w14:paraId="79949F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6</w:t>
                  </w:r>
                </w:p>
              </w:tc>
              <w:tc>
                <w:tcPr>
                  <w:tcW w:w="428" w:type="pct"/>
                  <w:tcBorders>
                    <w:tl2br w:val="nil"/>
                    <w:tr2bl w:val="nil"/>
                  </w:tcBorders>
                  <w:shd w:val="clear" w:color="auto" w:fill="auto"/>
                  <w:noWrap w:val="0"/>
                  <w:tcMar>
                    <w:top w:w="0" w:type="dxa"/>
                    <w:left w:w="0" w:type="dxa"/>
                    <w:bottom w:w="0" w:type="dxa"/>
                    <w:right w:w="0" w:type="dxa"/>
                  </w:tcMar>
                  <w:vAlign w:val="center"/>
                </w:tcPr>
                <w:p w14:paraId="65AF70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6</w:t>
                  </w:r>
                </w:p>
              </w:tc>
              <w:tc>
                <w:tcPr>
                  <w:tcW w:w="371" w:type="pct"/>
                  <w:tcBorders>
                    <w:tl2br w:val="nil"/>
                    <w:tr2bl w:val="nil"/>
                  </w:tcBorders>
                  <w:shd w:val="clear" w:color="auto" w:fill="auto"/>
                  <w:noWrap w:val="0"/>
                  <w:tcMar>
                    <w:top w:w="0" w:type="dxa"/>
                    <w:left w:w="0" w:type="dxa"/>
                    <w:bottom w:w="0" w:type="dxa"/>
                    <w:right w:w="0" w:type="dxa"/>
                  </w:tcMar>
                  <w:vAlign w:val="center"/>
                </w:tcPr>
                <w:p w14:paraId="79933C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7</w:t>
                  </w:r>
                </w:p>
              </w:tc>
              <w:tc>
                <w:tcPr>
                  <w:tcW w:w="403" w:type="pct"/>
                  <w:tcBorders>
                    <w:tl2br w:val="nil"/>
                    <w:tr2bl w:val="nil"/>
                  </w:tcBorders>
                  <w:shd w:val="clear" w:color="auto" w:fill="auto"/>
                  <w:noWrap w:val="0"/>
                  <w:tcMar>
                    <w:top w:w="0" w:type="dxa"/>
                    <w:left w:w="0" w:type="dxa"/>
                    <w:bottom w:w="0" w:type="dxa"/>
                    <w:right w:w="0" w:type="dxa"/>
                  </w:tcMar>
                  <w:vAlign w:val="center"/>
                </w:tcPr>
                <w:p w14:paraId="2FAA5D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9</w:t>
                  </w:r>
                </w:p>
              </w:tc>
              <w:tc>
                <w:tcPr>
                  <w:tcW w:w="346" w:type="pct"/>
                  <w:tcBorders>
                    <w:tl2br w:val="nil"/>
                    <w:tr2bl w:val="nil"/>
                  </w:tcBorders>
                  <w:shd w:val="clear" w:color="auto" w:fill="auto"/>
                  <w:noWrap w:val="0"/>
                  <w:tcMar>
                    <w:top w:w="0" w:type="dxa"/>
                    <w:left w:w="0" w:type="dxa"/>
                    <w:bottom w:w="0" w:type="dxa"/>
                    <w:right w:w="0" w:type="dxa"/>
                  </w:tcMar>
                  <w:vAlign w:val="center"/>
                </w:tcPr>
                <w:p w14:paraId="67C0B2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w:t>
                  </w:r>
                </w:p>
              </w:tc>
              <w:tc>
                <w:tcPr>
                  <w:tcW w:w="362" w:type="pct"/>
                  <w:tcBorders>
                    <w:tl2br w:val="nil"/>
                    <w:tr2bl w:val="nil"/>
                  </w:tcBorders>
                  <w:shd w:val="clear" w:color="auto" w:fill="auto"/>
                  <w:noWrap w:val="0"/>
                  <w:tcMar>
                    <w:top w:w="0" w:type="dxa"/>
                    <w:left w:w="0" w:type="dxa"/>
                    <w:bottom w:w="0" w:type="dxa"/>
                    <w:right w:w="0" w:type="dxa"/>
                  </w:tcMar>
                  <w:vAlign w:val="center"/>
                </w:tcPr>
                <w:p w14:paraId="21550F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FF0000"/>
                      <w:sz w:val="18"/>
                      <w:szCs w:val="18"/>
                      <w:u w:val="none"/>
                      <w:vertAlign w:val="baseline"/>
                      <w:lang w:val="en-US" w:eastAsia="zh-CN"/>
                    </w:rPr>
                  </w:pPr>
                  <w:r>
                    <w:rPr>
                      <w:rFonts w:hint="eastAsia" w:ascii="Times New Roman" w:hAnsi="Times New Roman" w:eastAsia="宋体" w:cs="Times New Roman"/>
                      <w:b w:val="0"/>
                      <w:bCs w:val="0"/>
                      <w:color w:val="FF0000"/>
                      <w:sz w:val="18"/>
                      <w:szCs w:val="18"/>
                      <w:u w:val="none"/>
                      <w:vertAlign w:val="baseline"/>
                      <w:lang w:val="en-US" w:eastAsia="zh-CN"/>
                    </w:rPr>
                    <w:t>/</w:t>
                  </w:r>
                </w:p>
              </w:tc>
              <w:tc>
                <w:tcPr>
                  <w:tcW w:w="452" w:type="pct"/>
                  <w:tcBorders>
                    <w:tl2br w:val="nil"/>
                    <w:tr2bl w:val="nil"/>
                  </w:tcBorders>
                  <w:shd w:val="clear" w:color="auto" w:fill="auto"/>
                  <w:noWrap w:val="0"/>
                  <w:tcMar>
                    <w:top w:w="0" w:type="dxa"/>
                    <w:left w:w="0" w:type="dxa"/>
                    <w:bottom w:w="0" w:type="dxa"/>
                    <w:right w:w="0" w:type="dxa"/>
                  </w:tcMar>
                  <w:vAlign w:val="center"/>
                </w:tcPr>
                <w:p w14:paraId="36CE3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w:t>
                  </w:r>
                </w:p>
              </w:tc>
            </w:tr>
            <w:tr w14:paraId="6C651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38" w:type="pct"/>
                  <w:tcBorders>
                    <w:tl2br w:val="nil"/>
                    <w:tr2bl w:val="nil"/>
                  </w:tcBorders>
                  <w:noWrap w:val="0"/>
                  <w:tcMar>
                    <w:top w:w="0" w:type="dxa"/>
                    <w:left w:w="0" w:type="dxa"/>
                    <w:bottom w:w="0" w:type="dxa"/>
                    <w:right w:w="0" w:type="dxa"/>
                  </w:tcMar>
                  <w:vAlign w:val="center"/>
                </w:tcPr>
                <w:p w14:paraId="617F23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1</w:t>
                  </w:r>
                  <w:r>
                    <w:rPr>
                      <w:rFonts w:hint="eastAsia" w:ascii="Times New Roman" w:hAnsi="Times New Roman" w:eastAsia="宋体" w:cs="Times New Roman"/>
                      <w:b w:val="0"/>
                      <w:bCs w:val="0"/>
                      <w:color w:val="auto"/>
                      <w:sz w:val="18"/>
                      <w:szCs w:val="18"/>
                      <w:u w:val="none"/>
                      <w:vertAlign w:val="baseline"/>
                      <w:lang w:val="en-US" w:eastAsia="zh-CN"/>
                    </w:rPr>
                    <w:t>1</w:t>
                  </w:r>
                </w:p>
              </w:tc>
              <w:tc>
                <w:tcPr>
                  <w:tcW w:w="733" w:type="pct"/>
                  <w:tcBorders>
                    <w:tl2br w:val="nil"/>
                    <w:tr2bl w:val="nil"/>
                  </w:tcBorders>
                  <w:shd w:val="clear" w:color="auto" w:fill="auto"/>
                  <w:noWrap w:val="0"/>
                  <w:tcMar>
                    <w:top w:w="0" w:type="dxa"/>
                    <w:left w:w="0" w:type="dxa"/>
                    <w:bottom w:w="0" w:type="dxa"/>
                    <w:right w:w="0" w:type="dxa"/>
                  </w:tcMar>
                  <w:vAlign w:val="center"/>
                </w:tcPr>
                <w:p w14:paraId="62BE40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zh-CN" w:eastAsia="zh-CN"/>
                    </w:rPr>
                  </w:pPr>
                  <w:r>
                    <w:rPr>
                      <w:rFonts w:hint="eastAsia" w:ascii="Times New Roman" w:hAnsi="Times New Roman" w:eastAsia="宋体" w:cs="Times New Roman"/>
                      <w:b w:val="0"/>
                      <w:bCs w:val="0"/>
                      <w:color w:val="auto"/>
                      <w:sz w:val="18"/>
                      <w:szCs w:val="18"/>
                      <w:u w:val="none"/>
                      <w:vertAlign w:val="baseline"/>
                      <w:lang w:val="en-US" w:eastAsia="zh-CN"/>
                    </w:rPr>
                    <w:t>石油烃（</w:t>
                  </w:r>
                  <w:r>
                    <w:rPr>
                      <w:rFonts w:hint="eastAsia" w:ascii="Times New Roman" w:hAnsi="Times New Roman" w:eastAsia="宋体" w:cs="Times New Roman"/>
                      <w:color w:val="auto"/>
                      <w:spacing w:val="10"/>
                      <w:sz w:val="18"/>
                      <w:szCs w:val="18"/>
                      <w:highlight w:val="none"/>
                      <w:lang w:val="en-US" w:eastAsia="zh-CN" w:bidi="ar-SA"/>
                    </w:rPr>
                    <w:t>C</w:t>
                  </w:r>
                  <w:r>
                    <w:rPr>
                      <w:rFonts w:hint="eastAsia" w:ascii="Times New Roman" w:hAnsi="Times New Roman" w:eastAsia="宋体" w:cs="Times New Roman"/>
                      <w:color w:val="auto"/>
                      <w:spacing w:val="10"/>
                      <w:sz w:val="18"/>
                      <w:szCs w:val="18"/>
                      <w:highlight w:val="none"/>
                      <w:vertAlign w:val="subscript"/>
                      <w:lang w:val="en-US" w:eastAsia="zh-CN" w:bidi="ar-SA"/>
                    </w:rPr>
                    <w:t>10</w:t>
                  </w:r>
                  <w:r>
                    <w:rPr>
                      <w:rFonts w:hint="eastAsia" w:ascii="Times New Roman" w:hAnsi="Times New Roman" w:eastAsia="宋体" w:cs="Times New Roman"/>
                      <w:color w:val="auto"/>
                      <w:spacing w:val="10"/>
                      <w:sz w:val="18"/>
                      <w:szCs w:val="18"/>
                      <w:highlight w:val="none"/>
                      <w:lang w:val="en-US" w:eastAsia="zh-CN" w:bidi="ar-SA"/>
                    </w:rPr>
                    <w:t>-C</w:t>
                  </w:r>
                  <w:r>
                    <w:rPr>
                      <w:rFonts w:hint="eastAsia" w:ascii="Times New Roman" w:hAnsi="Times New Roman" w:eastAsia="宋体" w:cs="Times New Roman"/>
                      <w:color w:val="auto"/>
                      <w:spacing w:val="10"/>
                      <w:sz w:val="18"/>
                      <w:szCs w:val="18"/>
                      <w:highlight w:val="none"/>
                      <w:vertAlign w:val="subscript"/>
                      <w:lang w:val="en-US" w:eastAsia="zh-CN" w:bidi="ar-SA"/>
                    </w:rPr>
                    <w:t>40</w:t>
                  </w:r>
                  <w:r>
                    <w:rPr>
                      <w:rFonts w:hint="eastAsia" w:ascii="Times New Roman" w:hAnsi="Times New Roman" w:eastAsia="宋体" w:cs="Times New Roman"/>
                      <w:b w:val="0"/>
                      <w:bCs w:val="0"/>
                      <w:color w:val="auto"/>
                      <w:sz w:val="18"/>
                      <w:szCs w:val="18"/>
                      <w:u w:val="none"/>
                      <w:vertAlign w:val="baseline"/>
                      <w:lang w:val="en-US" w:eastAsia="zh-CN"/>
                    </w:rPr>
                    <w:t>）</w:t>
                  </w:r>
                  <w:r>
                    <w:rPr>
                      <w:rFonts w:hint="default" w:ascii="Times New Roman" w:hAnsi="Times New Roman" w:eastAsia="宋体" w:cs="Times New Roman"/>
                      <w:b w:val="0"/>
                      <w:bCs w:val="0"/>
                      <w:color w:val="auto"/>
                      <w:sz w:val="18"/>
                      <w:szCs w:val="18"/>
                      <w:u w:val="none"/>
                      <w:vertAlign w:val="baseline"/>
                      <w:lang w:val="en-US" w:eastAsia="zh-CN"/>
                    </w:rPr>
                    <w:t>(mg/kg)</w:t>
                  </w:r>
                </w:p>
              </w:tc>
              <w:tc>
                <w:tcPr>
                  <w:tcW w:w="391" w:type="pct"/>
                  <w:tcBorders>
                    <w:tl2br w:val="nil"/>
                    <w:tr2bl w:val="nil"/>
                  </w:tcBorders>
                  <w:shd w:val="clear" w:color="auto" w:fill="auto"/>
                  <w:noWrap w:val="0"/>
                  <w:tcMar>
                    <w:top w:w="0" w:type="dxa"/>
                    <w:left w:w="0" w:type="dxa"/>
                    <w:bottom w:w="0" w:type="dxa"/>
                    <w:right w:w="0" w:type="dxa"/>
                  </w:tcMar>
                  <w:vAlign w:val="center"/>
                </w:tcPr>
                <w:p w14:paraId="2333D1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26</w:t>
                  </w:r>
                </w:p>
              </w:tc>
              <w:tc>
                <w:tcPr>
                  <w:tcW w:w="468" w:type="pct"/>
                  <w:tcBorders>
                    <w:tl2br w:val="nil"/>
                    <w:tr2bl w:val="nil"/>
                  </w:tcBorders>
                  <w:shd w:val="clear" w:color="auto" w:fill="auto"/>
                  <w:noWrap w:val="0"/>
                  <w:tcMar>
                    <w:top w:w="0" w:type="dxa"/>
                    <w:left w:w="0" w:type="dxa"/>
                    <w:bottom w:w="0" w:type="dxa"/>
                    <w:right w:w="0" w:type="dxa"/>
                  </w:tcMar>
                  <w:vAlign w:val="center"/>
                </w:tcPr>
                <w:p w14:paraId="167386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34</w:t>
                  </w:r>
                </w:p>
              </w:tc>
              <w:tc>
                <w:tcPr>
                  <w:tcW w:w="425" w:type="pct"/>
                  <w:tcBorders>
                    <w:tl2br w:val="nil"/>
                    <w:tr2bl w:val="nil"/>
                  </w:tcBorders>
                  <w:shd w:val="clear" w:color="auto" w:fill="auto"/>
                  <w:noWrap w:val="0"/>
                  <w:tcMar>
                    <w:top w:w="0" w:type="dxa"/>
                    <w:left w:w="0" w:type="dxa"/>
                    <w:bottom w:w="0" w:type="dxa"/>
                    <w:right w:w="0" w:type="dxa"/>
                  </w:tcMar>
                  <w:vAlign w:val="center"/>
                </w:tcPr>
                <w:p w14:paraId="4AC4BF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37</w:t>
                  </w:r>
                </w:p>
              </w:tc>
              <w:tc>
                <w:tcPr>
                  <w:tcW w:w="478" w:type="pct"/>
                  <w:tcBorders>
                    <w:tl2br w:val="nil"/>
                    <w:tr2bl w:val="nil"/>
                  </w:tcBorders>
                  <w:shd w:val="clear" w:color="auto" w:fill="auto"/>
                  <w:noWrap w:val="0"/>
                  <w:tcMar>
                    <w:top w:w="0" w:type="dxa"/>
                    <w:left w:w="0" w:type="dxa"/>
                    <w:bottom w:w="0" w:type="dxa"/>
                    <w:right w:w="0" w:type="dxa"/>
                  </w:tcMar>
                  <w:vAlign w:val="center"/>
                </w:tcPr>
                <w:p w14:paraId="19A82E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13</w:t>
                  </w:r>
                </w:p>
              </w:tc>
              <w:tc>
                <w:tcPr>
                  <w:tcW w:w="428" w:type="pct"/>
                  <w:tcBorders>
                    <w:tl2br w:val="nil"/>
                    <w:tr2bl w:val="nil"/>
                  </w:tcBorders>
                  <w:shd w:val="clear" w:color="auto" w:fill="auto"/>
                  <w:noWrap w:val="0"/>
                  <w:tcMar>
                    <w:top w:w="0" w:type="dxa"/>
                    <w:left w:w="0" w:type="dxa"/>
                    <w:bottom w:w="0" w:type="dxa"/>
                    <w:right w:w="0" w:type="dxa"/>
                  </w:tcMar>
                  <w:vAlign w:val="center"/>
                </w:tcPr>
                <w:p w14:paraId="5C6364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50</w:t>
                  </w:r>
                </w:p>
              </w:tc>
              <w:tc>
                <w:tcPr>
                  <w:tcW w:w="371" w:type="pct"/>
                  <w:tcBorders>
                    <w:tl2br w:val="nil"/>
                    <w:tr2bl w:val="nil"/>
                  </w:tcBorders>
                  <w:shd w:val="clear" w:color="auto" w:fill="auto"/>
                  <w:noWrap w:val="0"/>
                  <w:tcMar>
                    <w:top w:w="0" w:type="dxa"/>
                    <w:left w:w="0" w:type="dxa"/>
                    <w:bottom w:w="0" w:type="dxa"/>
                    <w:right w:w="0" w:type="dxa"/>
                  </w:tcMar>
                  <w:vAlign w:val="center"/>
                </w:tcPr>
                <w:p w14:paraId="76AA19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13</w:t>
                  </w:r>
                </w:p>
              </w:tc>
              <w:tc>
                <w:tcPr>
                  <w:tcW w:w="403" w:type="pct"/>
                  <w:tcBorders>
                    <w:tl2br w:val="nil"/>
                    <w:tr2bl w:val="nil"/>
                  </w:tcBorders>
                  <w:shd w:val="clear" w:color="auto" w:fill="auto"/>
                  <w:noWrap w:val="0"/>
                  <w:tcMar>
                    <w:top w:w="0" w:type="dxa"/>
                    <w:left w:w="0" w:type="dxa"/>
                    <w:bottom w:w="0" w:type="dxa"/>
                    <w:right w:w="0" w:type="dxa"/>
                  </w:tcMar>
                  <w:vAlign w:val="center"/>
                </w:tcPr>
                <w:p w14:paraId="0BE234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49</w:t>
                  </w:r>
                </w:p>
              </w:tc>
              <w:tc>
                <w:tcPr>
                  <w:tcW w:w="346" w:type="pct"/>
                  <w:tcBorders>
                    <w:tl2br w:val="nil"/>
                    <w:tr2bl w:val="nil"/>
                  </w:tcBorders>
                  <w:shd w:val="clear" w:color="auto" w:fill="auto"/>
                  <w:noWrap w:val="0"/>
                  <w:tcMar>
                    <w:top w:w="0" w:type="dxa"/>
                    <w:left w:w="0" w:type="dxa"/>
                    <w:bottom w:w="0" w:type="dxa"/>
                    <w:right w:w="0" w:type="dxa"/>
                  </w:tcMar>
                  <w:vAlign w:val="center"/>
                </w:tcPr>
                <w:p w14:paraId="2FE4D9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default" w:ascii="Times New Roman" w:hAnsi="Times New Roman" w:eastAsia="宋体" w:cs="Times New Roman"/>
                      <w:b w:val="0"/>
                      <w:bCs w:val="0"/>
                      <w:color w:val="auto"/>
                      <w:sz w:val="18"/>
                      <w:szCs w:val="18"/>
                      <w:u w:val="none"/>
                      <w:vertAlign w:val="baseline"/>
                      <w:lang w:val="en-US" w:eastAsia="zh-CN"/>
                    </w:rPr>
                    <w:t>24</w:t>
                  </w:r>
                </w:p>
              </w:tc>
              <w:tc>
                <w:tcPr>
                  <w:tcW w:w="362" w:type="pct"/>
                  <w:tcBorders>
                    <w:tl2br w:val="nil"/>
                    <w:tr2bl w:val="nil"/>
                  </w:tcBorders>
                  <w:shd w:val="clear" w:color="auto" w:fill="auto"/>
                  <w:noWrap w:val="0"/>
                  <w:tcMar>
                    <w:top w:w="0" w:type="dxa"/>
                    <w:left w:w="0" w:type="dxa"/>
                    <w:bottom w:w="0" w:type="dxa"/>
                    <w:right w:w="0" w:type="dxa"/>
                  </w:tcMar>
                  <w:vAlign w:val="center"/>
                </w:tcPr>
                <w:p w14:paraId="6719F2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FF0000"/>
                      <w:sz w:val="18"/>
                      <w:szCs w:val="18"/>
                      <w:u w:val="none"/>
                      <w:vertAlign w:val="baseline"/>
                      <w:lang w:val="en-US" w:eastAsia="zh-CN"/>
                    </w:rPr>
                  </w:pPr>
                  <w:r>
                    <w:rPr>
                      <w:rFonts w:hint="eastAsia" w:ascii="Times New Roman" w:hAnsi="Times New Roman" w:eastAsia="宋体" w:cs="Times New Roman"/>
                      <w:b w:val="0"/>
                      <w:bCs w:val="0"/>
                      <w:color w:val="FF0000"/>
                      <w:sz w:val="18"/>
                      <w:szCs w:val="18"/>
                      <w:u w:val="none"/>
                      <w:vertAlign w:val="baseline"/>
                      <w:lang w:val="en-US" w:eastAsia="zh-CN"/>
                    </w:rPr>
                    <w:t>500</w:t>
                  </w:r>
                </w:p>
              </w:tc>
              <w:tc>
                <w:tcPr>
                  <w:tcW w:w="452" w:type="pct"/>
                  <w:tcBorders>
                    <w:tl2br w:val="nil"/>
                    <w:tr2bl w:val="nil"/>
                  </w:tcBorders>
                  <w:shd w:val="clear" w:color="auto" w:fill="auto"/>
                  <w:noWrap w:val="0"/>
                  <w:tcMar>
                    <w:top w:w="0" w:type="dxa"/>
                    <w:left w:w="0" w:type="dxa"/>
                    <w:bottom w:w="0" w:type="dxa"/>
                    <w:right w:w="0" w:type="dxa"/>
                  </w:tcMar>
                  <w:vAlign w:val="center"/>
                </w:tcPr>
                <w:p w14:paraId="437053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18"/>
                      <w:szCs w:val="18"/>
                      <w:u w:val="none"/>
                      <w:vertAlign w:val="baseline"/>
                      <w:lang w:val="en-US" w:eastAsia="zh-CN"/>
                    </w:rPr>
                  </w:pPr>
                  <w:r>
                    <w:rPr>
                      <w:rFonts w:hint="eastAsia" w:ascii="Times New Roman" w:hAnsi="Times New Roman" w:eastAsia="宋体" w:cs="Times New Roman"/>
                      <w:b w:val="0"/>
                      <w:bCs w:val="0"/>
                      <w:color w:val="auto"/>
                      <w:sz w:val="18"/>
                      <w:szCs w:val="18"/>
                      <w:u w:val="none"/>
                      <w:vertAlign w:val="baseline"/>
                      <w:lang w:val="en-US" w:eastAsia="zh-CN"/>
                    </w:rPr>
                    <w:t>500</w:t>
                  </w:r>
                </w:p>
              </w:tc>
            </w:tr>
            <w:bookmarkEnd w:id="18"/>
          </w:tbl>
          <w:p w14:paraId="04BFE838">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color w:val="auto"/>
                <w:lang w:val="en-US" w:eastAsia="zh-CN"/>
              </w:rPr>
            </w:pPr>
            <w:r>
              <w:rPr>
                <w:rFonts w:hint="default" w:ascii="Times New Roman" w:hAnsi="Times New Roman" w:eastAsia="宋体" w:cs="Times New Roman"/>
                <w:b w:val="0"/>
                <w:bCs w:val="0"/>
                <w:color w:val="FF0000"/>
                <w:sz w:val="24"/>
                <w:szCs w:val="24"/>
                <w:highlight w:val="none"/>
                <w:lang w:val="en-US" w:eastAsia="zh-CN" w:bidi="ar-SA"/>
              </w:rPr>
              <w:t>由</w:t>
            </w:r>
            <w:r>
              <w:rPr>
                <w:rFonts w:hint="eastAsia" w:ascii="Times New Roman" w:hAnsi="Times New Roman" w:eastAsia="宋体" w:cs="Times New Roman"/>
                <w:b w:val="0"/>
                <w:bCs w:val="0"/>
                <w:color w:val="FF0000"/>
                <w:sz w:val="24"/>
                <w:szCs w:val="24"/>
                <w:highlight w:val="none"/>
                <w:lang w:val="en-US" w:eastAsia="zh-CN" w:bidi="ar-SA"/>
              </w:rPr>
              <w:t>上</w:t>
            </w:r>
            <w:r>
              <w:rPr>
                <w:rFonts w:hint="default" w:ascii="Times New Roman" w:hAnsi="Times New Roman" w:eastAsia="宋体" w:cs="Times New Roman"/>
                <w:b w:val="0"/>
                <w:bCs w:val="0"/>
                <w:color w:val="FF0000"/>
                <w:sz w:val="24"/>
                <w:szCs w:val="24"/>
                <w:highlight w:val="none"/>
                <w:lang w:val="en-US" w:eastAsia="zh-CN" w:bidi="ar-SA"/>
              </w:rPr>
              <w:t>表可知，井场泥浆不落地装置区、井场外50m农用地</w:t>
            </w:r>
            <w:r>
              <w:rPr>
                <w:rFonts w:hint="eastAsia" w:ascii="Times New Roman" w:hAnsi="Times New Roman" w:eastAsia="宋体" w:cs="Times New Roman"/>
                <w:b w:val="0"/>
                <w:bCs w:val="0"/>
                <w:color w:val="FF0000"/>
                <w:sz w:val="24"/>
                <w:szCs w:val="24"/>
                <w:highlight w:val="none"/>
                <w:lang w:val="en-US" w:eastAsia="zh-CN" w:bidi="ar-SA"/>
              </w:rPr>
              <w:t>监测因子均</w:t>
            </w:r>
            <w:r>
              <w:rPr>
                <w:rFonts w:hint="default" w:ascii="Times New Roman" w:hAnsi="Times New Roman" w:eastAsia="宋体" w:cs="Times New Roman"/>
                <w:b w:val="0"/>
                <w:bCs w:val="0"/>
                <w:color w:val="FF0000"/>
                <w:sz w:val="24"/>
                <w:szCs w:val="24"/>
                <w:highlight w:val="none"/>
                <w:lang w:val="en-US" w:eastAsia="zh-CN" w:bidi="ar-SA"/>
              </w:rPr>
              <w:t>符合《土壤环境质量-农用地土壤污染风险管控标准（试行）》（GB15618-2018）</w:t>
            </w:r>
            <w:r>
              <w:rPr>
                <w:rFonts w:hint="eastAsia" w:ascii="Times New Roman" w:hAnsi="Times New Roman" w:eastAsia="宋体" w:cs="Times New Roman"/>
                <w:b w:val="0"/>
                <w:bCs w:val="0"/>
                <w:color w:val="FF0000"/>
                <w:sz w:val="24"/>
                <w:szCs w:val="24"/>
                <w:highlight w:val="none"/>
                <w:lang w:val="en-US" w:eastAsia="zh-CN" w:bidi="ar-SA"/>
              </w:rPr>
              <w:t>中相关要求</w:t>
            </w:r>
            <w:r>
              <w:rPr>
                <w:rFonts w:hint="default" w:ascii="Times New Roman" w:hAnsi="Times New Roman" w:eastAsia="宋体" w:cs="Times New Roman"/>
                <w:b w:val="0"/>
                <w:bCs w:val="0"/>
                <w:color w:val="FF0000"/>
                <w:sz w:val="24"/>
                <w:szCs w:val="24"/>
                <w:highlight w:val="none"/>
                <w:lang w:val="en-US" w:eastAsia="zh-CN" w:bidi="ar-SA"/>
              </w:rPr>
              <w:t>、石油烃</w:t>
            </w:r>
            <w:r>
              <w:rPr>
                <w:rFonts w:hint="eastAsia" w:ascii="Times New Roman" w:hAnsi="Times New Roman" w:eastAsia="宋体" w:cs="Times New Roman"/>
                <w:b w:val="0"/>
                <w:bCs w:val="0"/>
                <w:color w:val="FF0000"/>
                <w:sz w:val="24"/>
                <w:szCs w:val="24"/>
                <w:highlight w:val="none"/>
                <w:lang w:val="en-US" w:eastAsia="zh-CN" w:bidi="ar-SA"/>
              </w:rPr>
              <w:t>符合</w:t>
            </w:r>
            <w:r>
              <w:rPr>
                <w:rFonts w:hint="default" w:ascii="Times New Roman" w:hAnsi="Times New Roman" w:eastAsia="宋体" w:cs="Times New Roman"/>
                <w:b w:val="0"/>
                <w:bCs w:val="0"/>
                <w:color w:val="FF0000"/>
                <w:sz w:val="24"/>
                <w:szCs w:val="24"/>
                <w:highlight w:val="none"/>
                <w:lang w:val="en-US" w:eastAsia="zh-CN" w:bidi="ar-SA"/>
              </w:rPr>
              <w:t>《农用地土壤环境风险评价技术规定（试行）》中500mg/kg要求</w:t>
            </w:r>
            <w:r>
              <w:rPr>
                <w:rFonts w:hint="eastAsia" w:ascii="Times New Roman" w:hAnsi="Times New Roman" w:eastAsia="宋体" w:cs="Times New Roman"/>
                <w:b w:val="0"/>
                <w:bCs w:val="0"/>
                <w:color w:val="FF0000"/>
                <w:sz w:val="24"/>
                <w:szCs w:val="24"/>
                <w:highlight w:val="none"/>
                <w:lang w:val="en-US" w:eastAsia="zh-CN" w:bidi="ar-SA"/>
              </w:rPr>
              <w:t>。表明，</w:t>
            </w:r>
            <w:r>
              <w:rPr>
                <w:rFonts w:hint="default" w:ascii="Times New Roman" w:hAnsi="Times New Roman" w:eastAsia="宋体" w:cs="Times New Roman"/>
                <w:b w:val="0"/>
                <w:bCs w:val="0"/>
                <w:color w:val="FF0000"/>
                <w:sz w:val="24"/>
                <w:szCs w:val="24"/>
                <w:highlight w:val="none"/>
                <w:lang w:val="en-US" w:eastAsia="zh-CN" w:bidi="ar-SA"/>
              </w:rPr>
              <w:t>施工过程对井场</w:t>
            </w:r>
            <w:r>
              <w:rPr>
                <w:rFonts w:hint="eastAsia" w:ascii="Times New Roman" w:hAnsi="Times New Roman" w:eastAsia="宋体" w:cs="Times New Roman"/>
                <w:b w:val="0"/>
                <w:bCs w:val="0"/>
                <w:color w:val="FF0000"/>
                <w:sz w:val="24"/>
                <w:szCs w:val="24"/>
                <w:highlight w:val="none"/>
                <w:lang w:val="en-US" w:eastAsia="zh-CN" w:bidi="ar-SA"/>
              </w:rPr>
              <w:t>及周边土壤</w:t>
            </w:r>
            <w:r>
              <w:rPr>
                <w:rFonts w:hint="default" w:ascii="Times New Roman" w:hAnsi="Times New Roman" w:eastAsia="宋体" w:cs="Times New Roman"/>
                <w:b w:val="0"/>
                <w:bCs w:val="0"/>
                <w:color w:val="FF0000"/>
                <w:sz w:val="24"/>
                <w:szCs w:val="24"/>
                <w:highlight w:val="none"/>
                <w:lang w:val="en-US" w:eastAsia="zh-CN" w:bidi="ar-SA"/>
              </w:rPr>
              <w:t>造成</w:t>
            </w:r>
            <w:r>
              <w:rPr>
                <w:rFonts w:hint="eastAsia" w:ascii="Times New Roman" w:hAnsi="Times New Roman" w:eastAsia="宋体" w:cs="Times New Roman"/>
                <w:b w:val="0"/>
                <w:bCs w:val="0"/>
                <w:color w:val="FF0000"/>
                <w:sz w:val="24"/>
                <w:szCs w:val="24"/>
                <w:highlight w:val="none"/>
                <w:lang w:val="en-US" w:eastAsia="zh-CN" w:bidi="ar-SA"/>
              </w:rPr>
              <w:t>的</w:t>
            </w:r>
            <w:r>
              <w:rPr>
                <w:rFonts w:hint="default" w:ascii="Times New Roman" w:hAnsi="Times New Roman" w:eastAsia="宋体" w:cs="Times New Roman"/>
                <w:b w:val="0"/>
                <w:bCs w:val="0"/>
                <w:color w:val="FF0000"/>
                <w:sz w:val="24"/>
                <w:szCs w:val="24"/>
                <w:highlight w:val="none"/>
                <w:lang w:val="en-US" w:eastAsia="zh-CN" w:bidi="ar-SA"/>
              </w:rPr>
              <w:t>影响</w:t>
            </w:r>
            <w:r>
              <w:rPr>
                <w:rFonts w:hint="eastAsia" w:ascii="Times New Roman" w:hAnsi="Times New Roman" w:eastAsia="宋体" w:cs="Times New Roman"/>
                <w:b w:val="0"/>
                <w:bCs w:val="0"/>
                <w:color w:val="FF0000"/>
                <w:sz w:val="24"/>
                <w:szCs w:val="24"/>
                <w:highlight w:val="none"/>
                <w:lang w:val="en-US" w:eastAsia="zh-CN" w:bidi="ar-SA"/>
              </w:rPr>
              <w:t>较小</w:t>
            </w:r>
            <w:r>
              <w:rPr>
                <w:rFonts w:hint="default" w:ascii="Times New Roman" w:hAnsi="Times New Roman" w:eastAsia="宋体" w:cs="Times New Roman"/>
                <w:b w:val="0"/>
                <w:bCs w:val="0"/>
                <w:color w:val="FF0000"/>
                <w:sz w:val="24"/>
                <w:szCs w:val="24"/>
                <w:highlight w:val="none"/>
                <w:lang w:val="en-US" w:eastAsia="zh-CN" w:bidi="ar-SA"/>
              </w:rPr>
              <w:t>。</w:t>
            </w:r>
          </w:p>
        </w:tc>
      </w:tr>
    </w:tbl>
    <w:p w14:paraId="045F7DEF">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p>
    <w:p w14:paraId="3E677C8B">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9.</w:t>
      </w:r>
      <w:r>
        <w:rPr>
          <w:rFonts w:hint="default" w:ascii="Times New Roman" w:hAnsi="Times New Roman" w:eastAsia="宋体" w:cs="Times New Roman"/>
          <w:b/>
          <w:bCs/>
          <w:color w:val="auto"/>
          <w:spacing w:val="10"/>
          <w:w w:val="95"/>
          <w:sz w:val="32"/>
          <w:szCs w:val="22"/>
          <w:highlight w:val="none"/>
          <w:lang w:val="en-US" w:eastAsia="zh-CN" w:bidi="ar-SA"/>
        </w:rPr>
        <w:t>环境管理</w:t>
      </w:r>
      <w:bookmarkEnd w:id="16"/>
      <w:r>
        <w:rPr>
          <w:rFonts w:hint="eastAsia" w:ascii="Times New Roman" w:hAnsi="Times New Roman" w:eastAsia="宋体" w:cs="Times New Roman"/>
          <w:b/>
          <w:bCs/>
          <w:color w:val="auto"/>
          <w:spacing w:val="10"/>
          <w:w w:val="95"/>
          <w:sz w:val="32"/>
          <w:szCs w:val="22"/>
          <w:highlight w:val="none"/>
          <w:lang w:val="en-US" w:eastAsia="zh-CN" w:bidi="ar-SA"/>
        </w:rPr>
        <w:t>情况</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498E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1" w:hRule="atLeast"/>
        </w:trPr>
        <w:tc>
          <w:tcPr>
            <w:tcW w:w="8260" w:type="dxa"/>
            <w:vAlign w:val="center"/>
          </w:tcPr>
          <w:p w14:paraId="316C63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环境管理机构设置（分施工期和运营期）</w:t>
            </w:r>
          </w:p>
          <w:p w14:paraId="3370D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为贯彻执行相关环境保护法律法规，及时了解项目及周围环境质量、社会因子的变化情况，掌握环境保护措施实施效果，保证项目所在区域良好的环境质量，在项目实施过程中需要进行相应的环境管理。</w:t>
            </w:r>
          </w:p>
          <w:p w14:paraId="597E7F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环境管理的主要目标为监督和检查项目污染防治措施、生态影响恢复措施的落实情况，确保各项环境保护措施按照环评及批复要求进行落实，把项目建设对周边环境的影响减小到最低程度，确保环境保护设施建设达到设计要求，确保环境保护设施的建设与主体工程同时施工、同时投入使用。</w:t>
            </w:r>
          </w:p>
          <w:p w14:paraId="5285C2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1</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施工期</w:t>
            </w:r>
          </w:p>
          <w:p w14:paraId="50C2C6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1）施工期环境管理机构由</w:t>
            </w:r>
            <w:r>
              <w:rPr>
                <w:rFonts w:hint="eastAsia" w:ascii="Times New Roman" w:hAnsi="Times New Roman" w:eastAsia="宋体" w:cs="Times New Roman"/>
                <w:color w:val="auto"/>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rPr>
              <w:t>和施工单位联合组成，负责项目施工期间环境管理的组织、协调、监督和检查工作。在各个单项施工合同中列入环境保护的相关要求，明确了参与单位的环境保护责任。</w:t>
            </w:r>
          </w:p>
          <w:p w14:paraId="330AEF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2）施工期环境管理机构工作人员监督、检查各项环保设施的落实情况，重点检查项目进站是否符合“三同时”原则。同时对施工期废气治理、污水处置、固废处置，噪声排放等工作进行组织协调，督促落实。</w:t>
            </w:r>
          </w:p>
          <w:p w14:paraId="64A4209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通过现场调查，并根据建设单位提供的资料可知，在本项目的施工期间没有发生过环境污染事故，地方生态环境主管部门未接到有关项目建设引起噪声污染、水环境污染和大气环境污染的环保投诉。</w:t>
            </w:r>
          </w:p>
          <w:p w14:paraId="400031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2</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运行期</w:t>
            </w:r>
          </w:p>
          <w:p w14:paraId="7FE8B1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本项目不涉及</w:t>
            </w:r>
            <w:r>
              <w:rPr>
                <w:rFonts w:hint="eastAsia" w:ascii="Times New Roman" w:hAnsi="Times New Roman" w:eastAsia="宋体" w:cs="Times New Roman"/>
                <w:color w:val="auto"/>
                <w:sz w:val="24"/>
                <w:szCs w:val="24"/>
                <w:highlight w:val="none"/>
                <w:lang w:eastAsia="zh-CN"/>
              </w:rPr>
              <w:t>石油</w:t>
            </w:r>
            <w:r>
              <w:rPr>
                <w:rFonts w:hint="eastAsia" w:ascii="Times New Roman" w:hAnsi="Times New Roman" w:eastAsia="宋体" w:cs="Times New Roman"/>
                <w:color w:val="auto"/>
                <w:sz w:val="24"/>
                <w:szCs w:val="24"/>
                <w:highlight w:val="none"/>
              </w:rPr>
              <w:t>开采，</w:t>
            </w:r>
            <w:r>
              <w:rPr>
                <w:rFonts w:hint="eastAsia" w:ascii="Times New Roman" w:hAnsi="Times New Roman" w:eastAsia="宋体" w:cs="Times New Roman"/>
                <w:color w:val="auto"/>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rPr>
              <w:t>负责</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rPr>
              <w:t>关井期管理工作，有专职环保管理人员负责环境管理工作。</w:t>
            </w:r>
          </w:p>
          <w:p w14:paraId="6D876E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rPr>
              <w:t>环境监测能力建设情况</w:t>
            </w:r>
          </w:p>
          <w:p w14:paraId="2E4AB8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lang w:eastAsia="zh-CN"/>
              </w:rPr>
              <w:t>内部有</w:t>
            </w:r>
            <w:r>
              <w:rPr>
                <w:rFonts w:hint="default" w:ascii="Times New Roman" w:hAnsi="Times New Roman" w:eastAsia="宋体" w:cs="Times New Roman"/>
                <w:color w:val="auto"/>
                <w:sz w:val="24"/>
                <w:szCs w:val="24"/>
                <w:highlight w:val="none"/>
              </w:rPr>
              <w:t>较为健全的环保技术资料</w:t>
            </w:r>
            <w:r>
              <w:rPr>
                <w:rFonts w:hint="eastAsia" w:ascii="Times New Roman" w:hAnsi="Times New Roman" w:eastAsia="宋体" w:cs="Times New Roman"/>
                <w:color w:val="auto"/>
                <w:sz w:val="24"/>
                <w:szCs w:val="24"/>
                <w:highlight w:val="none"/>
                <w:lang w:eastAsia="zh-CN"/>
              </w:rPr>
              <w:t>，并定期委托有资质的第三方检测单位进行监测，</w:t>
            </w:r>
            <w:r>
              <w:rPr>
                <w:rFonts w:hint="default" w:ascii="Times New Roman" w:hAnsi="Times New Roman" w:eastAsia="宋体" w:cs="Times New Roman"/>
                <w:color w:val="auto"/>
                <w:sz w:val="24"/>
                <w:szCs w:val="24"/>
                <w:highlight w:val="none"/>
              </w:rPr>
              <w:t>用以掌握三废排放变化状况，强化</w:t>
            </w:r>
            <w:r>
              <w:rPr>
                <w:rFonts w:hint="eastAsia" w:ascii="Times New Roman" w:hAnsi="Times New Roman" w:eastAsia="宋体" w:cs="Times New Roman"/>
                <w:color w:val="auto"/>
                <w:sz w:val="24"/>
                <w:szCs w:val="24"/>
                <w:highlight w:val="none"/>
                <w:lang w:eastAsia="zh-CN"/>
              </w:rPr>
              <w:t>井区</w:t>
            </w:r>
            <w:r>
              <w:rPr>
                <w:rFonts w:hint="default" w:ascii="Times New Roman" w:hAnsi="Times New Roman" w:eastAsia="宋体" w:cs="Times New Roman"/>
                <w:color w:val="auto"/>
                <w:sz w:val="24"/>
                <w:szCs w:val="24"/>
                <w:highlight w:val="none"/>
              </w:rPr>
              <w:t>环境管理，并接受当地和上级环保行政部门的指导、监督和检查。</w:t>
            </w:r>
          </w:p>
          <w:p w14:paraId="7A2DC94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监测计划及其落实情况</w:t>
            </w:r>
          </w:p>
          <w:p w14:paraId="160D78F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0000FF"/>
                <w:sz w:val="24"/>
                <w:szCs w:val="24"/>
                <w:highlight w:val="none"/>
                <w:lang w:val="en-US" w:eastAsia="zh-CN"/>
              </w:rPr>
            </w:pPr>
            <w:r>
              <w:rPr>
                <w:rFonts w:hint="default" w:ascii="Times New Roman" w:hAnsi="Times New Roman" w:eastAsia="宋体" w:cs="Times New Roman"/>
                <w:color w:val="0000FF"/>
                <w:sz w:val="24"/>
                <w:szCs w:val="24"/>
                <w:highlight w:val="none"/>
                <w:lang w:val="en-US" w:eastAsia="zh-CN"/>
              </w:rPr>
              <w:t>本项目为</w:t>
            </w:r>
            <w:r>
              <w:rPr>
                <w:rFonts w:hint="eastAsia" w:ascii="Times New Roman" w:hAnsi="Times New Roman" w:eastAsia="宋体" w:cs="Times New Roman"/>
                <w:color w:val="0000FF"/>
                <w:sz w:val="24"/>
                <w:szCs w:val="24"/>
                <w:highlight w:val="none"/>
                <w:lang w:val="en-US" w:eastAsia="zh-CN"/>
              </w:rPr>
              <w:t>石油、天然气</w:t>
            </w:r>
            <w:r>
              <w:rPr>
                <w:rFonts w:hint="default" w:ascii="Times New Roman" w:hAnsi="Times New Roman" w:eastAsia="宋体" w:cs="Times New Roman"/>
                <w:color w:val="0000FF"/>
                <w:sz w:val="24"/>
                <w:szCs w:val="24"/>
                <w:highlight w:val="none"/>
                <w:lang w:val="en-US" w:eastAsia="zh-CN"/>
              </w:rPr>
              <w:t>勘探项目，不涉及</w:t>
            </w:r>
            <w:r>
              <w:rPr>
                <w:rFonts w:hint="eastAsia" w:ascii="Times New Roman" w:hAnsi="Times New Roman" w:eastAsia="宋体" w:cs="Times New Roman"/>
                <w:color w:val="0000FF"/>
                <w:sz w:val="24"/>
                <w:szCs w:val="24"/>
                <w:highlight w:val="none"/>
                <w:lang w:val="en-US" w:eastAsia="zh-CN"/>
              </w:rPr>
              <w:t>石油、天然气</w:t>
            </w:r>
            <w:r>
              <w:rPr>
                <w:rFonts w:hint="default" w:ascii="Times New Roman" w:hAnsi="Times New Roman" w:eastAsia="宋体" w:cs="Times New Roman"/>
                <w:color w:val="0000FF"/>
                <w:sz w:val="24"/>
                <w:szCs w:val="24"/>
                <w:highlight w:val="none"/>
                <w:lang w:val="en-US" w:eastAsia="zh-CN"/>
              </w:rPr>
              <w:t>开采，环境影响报告表中提出监测计划</w:t>
            </w:r>
            <w:r>
              <w:rPr>
                <w:rFonts w:hint="eastAsia" w:ascii="Times New Roman" w:hAnsi="Times New Roman" w:eastAsia="宋体" w:cs="Times New Roman"/>
                <w:color w:val="0000FF"/>
                <w:sz w:val="24"/>
                <w:szCs w:val="24"/>
                <w:highlight w:val="none"/>
                <w:lang w:val="en-US" w:eastAsia="zh-CN"/>
              </w:rPr>
              <w:t>为土壤特征检测因子：石油烃，pH；生态环境检测要求：植被覆盖度</w:t>
            </w:r>
            <w:r>
              <w:rPr>
                <w:rFonts w:hint="default" w:ascii="Times New Roman" w:hAnsi="Times New Roman" w:eastAsia="宋体" w:cs="Times New Roman"/>
                <w:color w:val="0000FF"/>
                <w:sz w:val="24"/>
                <w:szCs w:val="24"/>
                <w:highlight w:val="none"/>
                <w:lang w:val="en-US" w:eastAsia="zh-CN"/>
              </w:rPr>
              <w:t>。</w:t>
            </w:r>
            <w:r>
              <w:rPr>
                <w:rFonts w:hint="eastAsia" w:ascii="Times New Roman" w:hAnsi="Times New Roman" w:eastAsia="宋体" w:cs="Times New Roman"/>
                <w:color w:val="0000FF"/>
                <w:sz w:val="24"/>
                <w:szCs w:val="24"/>
                <w:highlight w:val="none"/>
                <w:lang w:val="en-US" w:eastAsia="zh-CN"/>
              </w:rPr>
              <w:t>已落实监测。</w:t>
            </w:r>
          </w:p>
          <w:p w14:paraId="1291E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w w:val="100"/>
                <w:sz w:val="24"/>
                <w:szCs w:val="24"/>
                <w:highlight w:val="none"/>
                <w:vertAlign w:val="baseline"/>
              </w:rPr>
            </w:pPr>
            <w:r>
              <w:rPr>
                <w:rFonts w:hint="eastAsia" w:ascii="Times New Roman" w:hAnsi="Times New Roman" w:eastAsia="宋体" w:cs="Times New Roman"/>
                <w:b/>
                <w:bCs/>
                <w:color w:val="auto"/>
                <w:w w:val="100"/>
                <w:sz w:val="24"/>
                <w:szCs w:val="24"/>
                <w:highlight w:val="none"/>
                <w:vertAlign w:val="baseline"/>
                <w:lang w:val="en-US" w:eastAsia="zh-CN"/>
              </w:rPr>
              <w:t>9</w:t>
            </w:r>
            <w:r>
              <w:rPr>
                <w:rFonts w:hint="default" w:ascii="Times New Roman" w:hAnsi="Times New Roman" w:eastAsia="宋体" w:cs="Times New Roman"/>
                <w:b/>
                <w:bCs/>
                <w:color w:val="auto"/>
                <w:w w:val="100"/>
                <w:sz w:val="24"/>
                <w:szCs w:val="24"/>
                <w:highlight w:val="none"/>
                <w:vertAlign w:val="baseline"/>
                <w:lang w:val="en-US" w:eastAsia="zh-CN"/>
              </w:rPr>
              <w:t>.4</w:t>
            </w:r>
            <w:r>
              <w:rPr>
                <w:rFonts w:hint="default" w:ascii="Times New Roman" w:hAnsi="Times New Roman" w:eastAsia="宋体" w:cs="Times New Roman"/>
                <w:b/>
                <w:bCs/>
                <w:color w:val="auto"/>
                <w:w w:val="100"/>
                <w:sz w:val="24"/>
                <w:szCs w:val="24"/>
                <w:highlight w:val="none"/>
                <w:vertAlign w:val="baseline"/>
              </w:rPr>
              <w:t>环境管理状况分析</w:t>
            </w:r>
          </w:p>
          <w:p w14:paraId="1DB1AF2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项目施工期各项污染防治措施及水保工程措施基本落实，较好的执行了环境影响评价制度和环保设施与主体工程同时设计、同时施工、同时投产使用的“三同时”制度，采取了相应的水土保持措施，植被恢复工作已完成，后续加强养护。 </w:t>
            </w:r>
          </w:p>
          <w:p w14:paraId="7F34A1E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境管理机构制定了完善可行的环境风险应急措施，环保管理机构与管理制度健全，环境保护相关档案资料基本齐备，保存完整，采取的环境管理措施到位，从现场调查的情况来看，环境保护工作取得了较好的效果，没有因环境管理失误对环境造成不良影响。</w:t>
            </w:r>
          </w:p>
          <w:p w14:paraId="7626D9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b/>
                <w:bCs/>
                <w:color w:val="auto"/>
                <w:w w:val="100"/>
                <w:sz w:val="24"/>
                <w:szCs w:val="24"/>
                <w:highlight w:val="none"/>
                <w:vertAlign w:val="baseline"/>
                <w:lang w:val="en-US" w:eastAsia="zh-CN"/>
              </w:rPr>
            </w:pPr>
            <w:r>
              <w:rPr>
                <w:rFonts w:hint="eastAsia" w:ascii="Times New Roman" w:hAnsi="Times New Roman" w:eastAsia="宋体" w:cs="Times New Roman"/>
                <w:b/>
                <w:bCs/>
                <w:color w:val="auto"/>
                <w:w w:val="100"/>
                <w:sz w:val="24"/>
                <w:szCs w:val="24"/>
                <w:highlight w:val="none"/>
                <w:vertAlign w:val="baseline"/>
                <w:lang w:val="en-US" w:eastAsia="zh-CN"/>
              </w:rPr>
              <w:t>9.5突发环境事件应急预案</w:t>
            </w:r>
          </w:p>
          <w:p w14:paraId="63568D6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项目环境管理机构制定了完善可行的突发环境事件应急预案，</w:t>
            </w:r>
            <w:r>
              <w:rPr>
                <w:rFonts w:hint="default" w:ascii="Times New Roman" w:hAnsi="Times New Roman" w:eastAsia="宋体" w:cs="Times New Roman"/>
                <w:color w:val="auto"/>
                <w:sz w:val="24"/>
                <w:szCs w:val="24"/>
                <w:highlight w:val="none"/>
                <w:lang w:val="en-US" w:eastAsia="zh-CN"/>
              </w:rPr>
              <w:t>并于</w:t>
            </w:r>
            <w:r>
              <w:rPr>
                <w:rFonts w:hint="eastAsia" w:ascii="Times New Roman" w:hAnsi="Times New Roman" w:eastAsia="宋体" w:cs="Times New Roman"/>
                <w:color w:val="auto"/>
                <w:sz w:val="24"/>
                <w:szCs w:val="24"/>
                <w:highlight w:val="none"/>
                <w:lang w:val="en-US" w:eastAsia="zh-CN"/>
              </w:rPr>
              <w:t>2023年1月11日取得了庆阳市生态环境局宁县分局</w:t>
            </w:r>
            <w:r>
              <w:rPr>
                <w:rFonts w:hint="default" w:ascii="Times New Roman" w:hAnsi="Times New Roman" w:eastAsia="宋体" w:cs="Times New Roman"/>
                <w:color w:val="auto"/>
                <w:sz w:val="24"/>
                <w:szCs w:val="24"/>
                <w:highlight w:val="none"/>
                <w:lang w:val="en-US" w:eastAsia="zh-CN"/>
              </w:rPr>
              <w:t>预案备案文件，并</w:t>
            </w:r>
            <w:r>
              <w:rPr>
                <w:rFonts w:hint="eastAsia" w:ascii="Times New Roman" w:hAnsi="Times New Roman" w:eastAsia="宋体" w:cs="Times New Roman"/>
                <w:color w:val="auto"/>
                <w:sz w:val="24"/>
                <w:szCs w:val="24"/>
                <w:highlight w:val="none"/>
                <w:lang w:val="en-US" w:eastAsia="zh-CN"/>
              </w:rPr>
              <w:t>按照</w:t>
            </w:r>
            <w:r>
              <w:rPr>
                <w:rFonts w:hint="default" w:ascii="Times New Roman" w:hAnsi="Times New Roman" w:eastAsia="宋体" w:cs="Times New Roman"/>
                <w:color w:val="auto"/>
                <w:sz w:val="24"/>
                <w:szCs w:val="24"/>
                <w:highlight w:val="none"/>
                <w:lang w:val="en-US" w:eastAsia="zh-CN"/>
              </w:rPr>
              <w:t>预案中相关应急措施进行定期演练。</w:t>
            </w:r>
            <w:r>
              <w:rPr>
                <w:rFonts w:hint="eastAsia" w:ascii="Times New Roman" w:hAnsi="Times New Roman" w:eastAsia="宋体" w:cs="Times New Roman"/>
                <w:color w:val="auto"/>
                <w:sz w:val="24"/>
                <w:szCs w:val="24"/>
                <w:highlight w:val="none"/>
                <w:lang w:val="en-US" w:eastAsia="zh-CN"/>
              </w:rPr>
              <w:t>该应急预案修编日期为2026年1月11日，在本项目验收时间范围内。应急物资库建设在正宁县JH17P3井场，服务范围为正宁县、宁县，应急物资与装备及预案中提出的风险防范措施能够预防本项目施工期可能发生的环境事件。经调查，施工期未发生环境事件。满足环评及批复提出的风险防范要求。环保管理机构与管理制度健全，环境保护相关档案资料齐备，保存完整，采取的环境管理措施到位，从现场调查的情况来看，环境保护工作取得了较好的效果，没有因环境管理失误对环境造成不良影响。</w:t>
            </w:r>
          </w:p>
          <w:p w14:paraId="48A9AA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9.6排污许可证</w:t>
            </w:r>
          </w:p>
          <w:p w14:paraId="14ADBB8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根据《排污许可证管理条例》中的要求，本项目为短期临时性项目，不需办理排污许可相关手续。</w:t>
            </w:r>
          </w:p>
          <w:p w14:paraId="7155DF8D">
            <w:pPr>
              <w:keepNext w:val="0"/>
              <w:keepLines w:val="0"/>
              <w:widowControl w:val="0"/>
              <w:suppressLineNumbers w:val="0"/>
              <w:spacing w:before="0" w:beforeAutospacing="0" w:afterAutospacing="0"/>
              <w:ind w:left="0" w:right="0"/>
              <w:jc w:val="both"/>
              <w:rPr>
                <w:rFonts w:hint="default"/>
                <w:color w:val="auto"/>
                <w:lang w:val="en-US" w:eastAsia="zh-CN"/>
              </w:rPr>
            </w:pPr>
          </w:p>
          <w:p w14:paraId="450CDB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p>
        </w:tc>
      </w:tr>
    </w:tbl>
    <w:p w14:paraId="7677B66D">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bookmarkStart w:id="19" w:name="_Toc30324"/>
    </w:p>
    <w:p w14:paraId="63F4675A">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10.</w:t>
      </w:r>
      <w:r>
        <w:rPr>
          <w:rFonts w:hint="default" w:ascii="Times New Roman" w:hAnsi="Times New Roman" w:eastAsia="宋体" w:cs="Times New Roman"/>
          <w:b/>
          <w:bCs/>
          <w:color w:val="auto"/>
          <w:spacing w:val="10"/>
          <w:w w:val="95"/>
          <w:sz w:val="32"/>
          <w:szCs w:val="22"/>
          <w:highlight w:val="none"/>
          <w:lang w:val="en-US" w:eastAsia="zh-CN" w:bidi="ar-SA"/>
        </w:rPr>
        <w:t>调查结论与建议</w:t>
      </w:r>
      <w:bookmarkEnd w:id="19"/>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7B42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0" w:hRule="atLeast"/>
        </w:trPr>
        <w:tc>
          <w:tcPr>
            <w:tcW w:w="8480" w:type="dxa"/>
          </w:tcPr>
          <w:p w14:paraId="74D535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sz w:val="24"/>
                <w:szCs w:val="24"/>
                <w:highlight w:val="none"/>
                <w:vertAlign w:val="baseline"/>
              </w:rPr>
            </w:pPr>
            <w:r>
              <w:rPr>
                <w:rFonts w:hint="eastAsia" w:ascii="Times New Roman" w:hAnsi="Times New Roman" w:eastAsia="宋体" w:cs="Times New Roman"/>
                <w:b/>
                <w:bCs/>
                <w:color w:val="auto"/>
                <w:sz w:val="24"/>
                <w:szCs w:val="24"/>
                <w:highlight w:val="none"/>
                <w:vertAlign w:val="baseline"/>
                <w:lang w:val="en-US" w:eastAsia="zh-CN"/>
              </w:rPr>
              <w:t>10</w:t>
            </w:r>
            <w:r>
              <w:rPr>
                <w:rFonts w:hint="default" w:ascii="Times New Roman" w:hAnsi="Times New Roman" w:eastAsia="宋体" w:cs="Times New Roman"/>
                <w:b/>
                <w:bCs/>
                <w:color w:val="auto"/>
                <w:sz w:val="24"/>
                <w:szCs w:val="24"/>
                <w:highlight w:val="none"/>
                <w:vertAlign w:val="baseline"/>
                <w:lang w:val="en-US" w:eastAsia="zh-CN"/>
              </w:rPr>
              <w:t>.1</w:t>
            </w:r>
            <w:r>
              <w:rPr>
                <w:rFonts w:hint="default" w:ascii="Times New Roman" w:hAnsi="Times New Roman" w:eastAsia="宋体" w:cs="Times New Roman"/>
                <w:b/>
                <w:bCs/>
                <w:color w:val="auto"/>
                <w:sz w:val="24"/>
                <w:szCs w:val="24"/>
                <w:highlight w:val="none"/>
                <w:vertAlign w:val="baseline"/>
              </w:rPr>
              <w:t>调查结论</w:t>
            </w:r>
          </w:p>
          <w:p w14:paraId="5F729C34">
            <w:pPr>
              <w:keepNext w:val="0"/>
              <w:keepLines w:val="0"/>
              <w:pageBreakBefore w:val="0"/>
              <w:widowControl/>
              <w:numPr>
                <w:ilvl w:val="0"/>
                <w:numId w:val="5"/>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rPr>
              <w:t>项目概况</w:t>
            </w:r>
          </w:p>
          <w:p w14:paraId="76AB4EBF">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eastAsia" w:ascii="Times New Roman" w:hAnsi="Times New Roman" w:eastAsia="宋体" w:cs="Times New Roman"/>
                <w:color w:val="auto"/>
                <w:sz w:val="24"/>
                <w:szCs w:val="24"/>
                <w:lang w:eastAsia="zh-CN"/>
              </w:rPr>
            </w:pPr>
            <w:r>
              <w:rPr>
                <w:rFonts w:hint="eastAsia" w:cs="Times New Roman"/>
                <w:color w:val="auto"/>
                <w:spacing w:val="0"/>
                <w:w w:val="100"/>
                <w:sz w:val="24"/>
                <w:szCs w:val="24"/>
                <w:highlight w:val="none"/>
                <w:lang w:eastAsia="zh-CN"/>
              </w:rPr>
              <w:t>JH2P42</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宁县早胜镇西头村</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中心点坐标：E 108°11′30.507″，N 35°20′20.726″；</w:t>
            </w:r>
            <w:r>
              <w:rPr>
                <w:rFonts w:hint="eastAsia" w:cs="Times New Roman"/>
                <w:color w:val="auto"/>
                <w:spacing w:val="0"/>
                <w:w w:val="100"/>
                <w:sz w:val="24"/>
                <w:szCs w:val="24"/>
                <w:highlight w:val="none"/>
                <w:lang w:eastAsia="zh-CN"/>
              </w:rPr>
              <w:t>长探105</w:t>
            </w:r>
            <w:r>
              <w:rPr>
                <w:rFonts w:hint="default" w:ascii="Times New Roman" w:hAnsi="Times New Roman" w:eastAsia="宋体" w:cs="Times New Roman"/>
                <w:color w:val="auto"/>
                <w:spacing w:val="0"/>
                <w:w w:val="100"/>
                <w:sz w:val="24"/>
                <w:szCs w:val="24"/>
                <w:highlight w:val="none"/>
                <w:lang w:eastAsia="zh-CN"/>
              </w:rPr>
              <w:t>：</w:t>
            </w:r>
            <w:r>
              <w:rPr>
                <w:rFonts w:hint="eastAsia" w:ascii="Times New Roman" w:hAnsi="Times New Roman" w:eastAsia="宋体" w:cs="Times New Roman"/>
                <w:color w:val="auto"/>
                <w:spacing w:val="0"/>
                <w:w w:val="100"/>
                <w:sz w:val="24"/>
                <w:szCs w:val="24"/>
                <w:highlight w:val="none"/>
                <w:lang w:val="en-US" w:eastAsia="zh-CN"/>
              </w:rPr>
              <w:t>宁县焦村镇朱家塬村</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中心点坐标：E107°51′55.158″，N35°25′44.878″</w:t>
            </w:r>
            <w:r>
              <w:rPr>
                <w:rFonts w:hint="eastAsia" w:ascii="Times New Roman" w:hAnsi="Times New Roman" w:eastAsia="宋体" w:cs="Times New Roman"/>
                <w:color w:val="auto"/>
                <w:spacing w:val="0"/>
                <w:w w:val="100"/>
                <w:sz w:val="24"/>
                <w:szCs w:val="24"/>
                <w:highlight w:val="none"/>
                <w:lang w:val="en-US" w:eastAsia="zh-CN"/>
              </w:rPr>
              <w:t>；JH2P44：</w:t>
            </w:r>
            <w:r>
              <w:rPr>
                <w:rFonts w:hint="default" w:ascii="Times New Roman" w:hAnsi="Times New Roman" w:eastAsia="宋体" w:cs="Times New Roman"/>
                <w:color w:val="auto"/>
                <w:spacing w:val="0"/>
                <w:w w:val="100"/>
                <w:sz w:val="24"/>
                <w:szCs w:val="24"/>
                <w:highlight w:val="none"/>
                <w:lang w:val="en-US" w:eastAsia="zh-CN"/>
              </w:rPr>
              <w:t>宁县中村镇平定村</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中心点坐标：E107°57′10.798″，N35°23′33.248″</w:t>
            </w:r>
            <w:r>
              <w:rPr>
                <w:rFonts w:hint="eastAsia" w:ascii="Times New Roman" w:hAnsi="Times New Roman" w:eastAsia="宋体" w:cs="Times New Roman"/>
                <w:color w:val="auto"/>
                <w:spacing w:val="0"/>
                <w:w w:val="100"/>
                <w:sz w:val="24"/>
                <w:szCs w:val="24"/>
                <w:highlight w:val="none"/>
                <w:lang w:val="en-US" w:eastAsia="zh-CN"/>
              </w:rPr>
              <w:t>；良平101H：</w:t>
            </w:r>
            <w:r>
              <w:rPr>
                <w:rFonts w:hint="default" w:ascii="Times New Roman" w:hAnsi="Times New Roman" w:eastAsia="宋体" w:cs="Times New Roman"/>
                <w:color w:val="auto"/>
                <w:spacing w:val="0"/>
                <w:w w:val="100"/>
                <w:sz w:val="24"/>
                <w:szCs w:val="24"/>
                <w:highlight w:val="none"/>
                <w:lang w:val="en-US" w:eastAsia="zh-CN"/>
              </w:rPr>
              <w:t>宁县早胜镇院子村</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中心点坐标：E107°57′00.415″，N35°25′43.619″。</w:t>
            </w:r>
            <w:r>
              <w:rPr>
                <w:rFonts w:hint="default" w:ascii="Times New Roman" w:hAnsi="Times New Roman" w:eastAsia="宋体" w:cs="Times New Roman"/>
                <w:color w:val="auto"/>
                <w:sz w:val="24"/>
                <w:szCs w:val="24"/>
                <w:lang w:val="en-US" w:eastAsia="zh-CN"/>
              </w:rPr>
              <w:t>本项目</w:t>
            </w:r>
            <w:r>
              <w:rPr>
                <w:rFonts w:hint="default" w:ascii="Times New Roman" w:hAnsi="Times New Roman" w:cs="Times New Roman"/>
                <w:color w:val="auto"/>
                <w:sz w:val="24"/>
                <w:szCs w:val="24"/>
                <w:lang w:val="en-US" w:eastAsia="zh-CN"/>
              </w:rPr>
              <w:t>建设</w:t>
            </w: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lang w:val="en-US" w:eastAsia="zh-CN"/>
              </w:rPr>
              <w:t>口</w:t>
            </w:r>
            <w:r>
              <w:rPr>
                <w:rFonts w:hint="eastAsia" w:cs="Times New Roman"/>
                <w:color w:val="auto"/>
                <w:sz w:val="24"/>
                <w:szCs w:val="24"/>
                <w:lang w:val="en-US" w:eastAsia="zh-CN"/>
              </w:rPr>
              <w:t>石油</w:t>
            </w:r>
            <w:r>
              <w:rPr>
                <w:rFonts w:hint="default" w:ascii="Times New Roman" w:hAnsi="Times New Roman" w:eastAsia="宋体" w:cs="Times New Roman"/>
                <w:color w:val="auto"/>
                <w:sz w:val="24"/>
                <w:szCs w:val="24"/>
                <w:lang w:val="en-US" w:eastAsia="zh-CN"/>
              </w:rPr>
              <w:t>探井</w:t>
            </w:r>
            <w:r>
              <w:rPr>
                <w:rFonts w:hint="eastAsia" w:cs="Times New Roman"/>
                <w:color w:val="auto"/>
                <w:sz w:val="24"/>
                <w:szCs w:val="24"/>
                <w:lang w:val="en-US" w:eastAsia="zh-CN"/>
              </w:rPr>
              <w:t>、1口天然气探井，新建临时道路，均为临时占地，</w:t>
            </w:r>
            <w:r>
              <w:rPr>
                <w:rFonts w:hint="default" w:ascii="Times New Roman" w:hAnsi="Times New Roman" w:eastAsia="宋体" w:cs="Times New Roman"/>
                <w:color w:val="auto"/>
                <w:sz w:val="24"/>
                <w:szCs w:val="24"/>
              </w:rPr>
              <w:t>临时占地</w:t>
            </w:r>
            <w:r>
              <w:rPr>
                <w:rFonts w:hint="eastAsia" w:cs="Times New Roman"/>
                <w:color w:val="auto"/>
                <w:sz w:val="24"/>
                <w:szCs w:val="24"/>
                <w:lang w:val="en-US" w:eastAsia="zh-CN"/>
              </w:rPr>
              <w:t>面积</w:t>
            </w:r>
            <w:r>
              <w:rPr>
                <w:rFonts w:hint="eastAsia" w:cs="Times New Roman"/>
                <w:b w:val="0"/>
                <w:color w:val="auto"/>
                <w:spacing w:val="0"/>
                <w:w w:val="100"/>
                <w:sz w:val="24"/>
                <w:szCs w:val="24"/>
                <w:highlight w:val="none"/>
                <w:lang w:val="en-US" w:eastAsia="zh-CN" w:bidi="ar-SA"/>
              </w:rPr>
              <w:t>36981.73</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2</w:t>
            </w: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lang w:val="en-US" w:eastAsia="zh-CN"/>
              </w:rPr>
              <w:t>占地类型为</w:t>
            </w:r>
            <w:r>
              <w:rPr>
                <w:rFonts w:hint="eastAsia" w:cs="Times New Roman"/>
                <w:color w:val="auto"/>
                <w:sz w:val="24"/>
                <w:szCs w:val="24"/>
                <w:lang w:val="en-US" w:eastAsia="zh-CN"/>
              </w:rPr>
              <w:t>耕地</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钻井深度分别为：2164m、4030m、2222m、2039m，油探井均为水平井，气探井为直井</w:t>
            </w:r>
            <w:r>
              <w:rPr>
                <w:rFonts w:hint="eastAsia" w:cs="Times New Roman"/>
                <w:color w:val="auto"/>
                <w:sz w:val="24"/>
                <w:szCs w:val="24"/>
                <w:lang w:eastAsia="zh-CN"/>
              </w:rPr>
              <w:t>。</w:t>
            </w:r>
            <w:r>
              <w:rPr>
                <w:rFonts w:hint="default" w:ascii="Times New Roman" w:hAnsi="Times New Roman" w:eastAsia="宋体" w:cs="Times New Roman"/>
                <w:color w:val="FF0000"/>
                <w:spacing w:val="0"/>
                <w:sz w:val="24"/>
                <w:szCs w:val="24"/>
                <w:highlight w:val="none"/>
                <w:lang w:val="en-US" w:eastAsia="zh-CN"/>
              </w:rPr>
              <w:t>探查长6、长油藏</w:t>
            </w:r>
            <w:r>
              <w:rPr>
                <w:rFonts w:hint="eastAsia" w:ascii="Times New Roman" w:hAnsi="Times New Roman" w:eastAsia="宋体" w:cs="Times New Roman"/>
                <w:color w:val="FF0000"/>
                <w:spacing w:val="0"/>
                <w:sz w:val="24"/>
                <w:szCs w:val="24"/>
                <w:highlight w:val="none"/>
                <w:lang w:val="en-US" w:eastAsia="zh-CN"/>
              </w:rPr>
              <w:t>及</w:t>
            </w:r>
            <w:r>
              <w:rPr>
                <w:rFonts w:hint="default" w:ascii="Times New Roman" w:hAnsi="Times New Roman" w:eastAsia="宋体" w:cs="Times New Roman"/>
                <w:color w:val="FF0000"/>
                <w:spacing w:val="0"/>
                <w:sz w:val="24"/>
                <w:szCs w:val="24"/>
                <w:highlight w:val="none"/>
                <w:lang w:val="en-US" w:eastAsia="zh-CN"/>
              </w:rPr>
              <w:t>盒8层位气藏</w:t>
            </w:r>
            <w:r>
              <w:rPr>
                <w:rFonts w:hint="eastAsia" w:ascii="Times New Roman" w:hAnsi="Times New Roman" w:eastAsia="宋体" w:cs="Times New Roman"/>
                <w:color w:val="auto"/>
                <w:spacing w:val="0"/>
                <w:sz w:val="24"/>
                <w:szCs w:val="24"/>
                <w:highlight w:val="none"/>
                <w:lang w:val="en-US" w:eastAsia="zh-CN"/>
              </w:rPr>
              <w:t>。</w:t>
            </w:r>
            <w:r>
              <w:rPr>
                <w:rFonts w:hint="eastAsia"/>
                <w:color w:val="auto"/>
                <w:sz w:val="24"/>
              </w:rPr>
              <w:t>钻井结束后，进行了完井测试，工程实际建设内容与环评及审查意见内容一致。</w:t>
            </w:r>
          </w:p>
          <w:p w14:paraId="10FCE751">
            <w:pPr>
              <w:pStyle w:val="37"/>
              <w:keepNext w:val="0"/>
              <w:keepLines w:val="0"/>
              <w:pageBreakBefore w:val="0"/>
              <w:widowControl/>
              <w:suppressLineNumbers w:val="0"/>
              <w:kinsoku/>
              <w:wordWrap/>
              <w:overflowPunct/>
              <w:topLinePunct w:val="0"/>
              <w:autoSpaceDE/>
              <w:autoSpaceDN/>
              <w:bidi w:val="0"/>
              <w:spacing w:before="0" w:beforeAutospacing="0" w:afterAutospacing="0"/>
              <w:ind w:left="0" w:right="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vertAlign w:val="baseline"/>
              </w:rPr>
              <w:t>本项目</w:t>
            </w:r>
            <w:r>
              <w:rPr>
                <w:rFonts w:hint="eastAsia" w:cs="Times New Roman"/>
                <w:color w:val="auto"/>
                <w:sz w:val="24"/>
                <w:szCs w:val="24"/>
                <w:highlight w:val="none"/>
                <w:vertAlign w:val="baseline"/>
                <w:lang w:eastAsia="zh-CN"/>
              </w:rPr>
              <w:t>能源矿产地质勘查</w:t>
            </w:r>
            <w:r>
              <w:rPr>
                <w:rFonts w:hint="default" w:ascii="Times New Roman" w:hAnsi="Times New Roman" w:eastAsia="宋体" w:cs="Times New Roman"/>
                <w:color w:val="auto"/>
                <w:sz w:val="24"/>
                <w:szCs w:val="24"/>
                <w:highlight w:val="none"/>
                <w:vertAlign w:val="baseline"/>
              </w:rPr>
              <w:t>，</w:t>
            </w:r>
            <w:r>
              <w:rPr>
                <w:rFonts w:hint="default" w:ascii="Times New Roman" w:hAnsi="Times New Roman" w:eastAsia="宋体" w:cs="Times New Roman"/>
                <w:color w:val="auto"/>
                <w:sz w:val="24"/>
                <w:szCs w:val="24"/>
                <w:highlight w:val="none"/>
              </w:rPr>
              <w:t>项目执行了环境影响评价制度和环保设施与主体工程同时设计、同时施工、同时投产使用的“三同时”制度，达到了环保部门对该项目生态环境保护和污染防治的目标要求。</w:t>
            </w:r>
            <w:r>
              <w:rPr>
                <w:rFonts w:hint="default" w:ascii="Times New Roman" w:hAnsi="Times New Roman" w:eastAsia="宋体"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具备竣工环境保护验收条件。</w:t>
            </w:r>
          </w:p>
          <w:p w14:paraId="0B2AA1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lang w:val="en-US" w:eastAsia="zh-CN"/>
              </w:rPr>
              <w:t>2</w:t>
            </w:r>
            <w:r>
              <w:rPr>
                <w:rFonts w:hint="default" w:ascii="Times New Roman" w:hAnsi="Times New Roman" w:eastAsia="宋体" w:cs="Times New Roman"/>
                <w:b/>
                <w:bCs/>
                <w:color w:val="auto"/>
                <w:sz w:val="24"/>
                <w:szCs w:val="24"/>
                <w:highlight w:val="none"/>
                <w:vertAlign w:val="baseline"/>
              </w:rPr>
              <w:t>、环境保护措施</w:t>
            </w:r>
            <w:r>
              <w:rPr>
                <w:rFonts w:hint="default" w:ascii="Times New Roman" w:hAnsi="Times New Roman" w:eastAsia="宋体" w:cs="Times New Roman"/>
                <w:b/>
                <w:bCs/>
                <w:color w:val="auto"/>
                <w:sz w:val="24"/>
                <w:szCs w:val="24"/>
                <w:highlight w:val="none"/>
                <w:vertAlign w:val="baseline"/>
                <w:lang w:eastAsia="zh-CN"/>
              </w:rPr>
              <w:t>落实</w:t>
            </w:r>
            <w:r>
              <w:rPr>
                <w:rFonts w:hint="default" w:ascii="Times New Roman" w:hAnsi="Times New Roman" w:eastAsia="宋体" w:cs="Times New Roman"/>
                <w:b/>
                <w:bCs/>
                <w:color w:val="auto"/>
                <w:sz w:val="24"/>
                <w:szCs w:val="24"/>
                <w:highlight w:val="none"/>
                <w:vertAlign w:val="baseline"/>
              </w:rPr>
              <w:t>情况</w:t>
            </w:r>
          </w:p>
          <w:p w14:paraId="24F8B78B">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经调查，项目在施工期中废气、废水、噪声、固废等污染防治措施和生态防护措施等工程措施基本得到落实，总体上满足了环评报告及批复文件中提出的各项要求。</w:t>
            </w:r>
          </w:p>
          <w:p w14:paraId="404C6E1C">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该项目实际总投资1500万元，环保投资为199.35万元，占工程实际总投资的13.29%。主要用于施工扬尘治理、废水处理、固体废物处理、噪声污染防治，以及施工迹地生态恢复等。</w:t>
            </w:r>
          </w:p>
          <w:p w14:paraId="2F5502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b/>
                <w:bCs/>
                <w:color w:val="auto"/>
                <w:sz w:val="24"/>
                <w:szCs w:val="24"/>
                <w:highlight w:val="none"/>
                <w:vertAlign w:val="baseline"/>
                <w:lang w:val="en-US" w:eastAsia="zh-CN"/>
              </w:rPr>
            </w:pPr>
            <w:r>
              <w:rPr>
                <w:rFonts w:hint="eastAsia" w:ascii="Times New Roman" w:hAnsi="Times New Roman" w:eastAsia="宋体" w:cs="Times New Roman"/>
                <w:b/>
                <w:bCs/>
                <w:color w:val="auto"/>
                <w:sz w:val="24"/>
                <w:szCs w:val="24"/>
                <w:highlight w:val="none"/>
                <w:vertAlign w:val="baseline"/>
                <w:lang w:val="en-US" w:eastAsia="zh-CN"/>
              </w:rPr>
              <w:t>3、环境影响调查结论</w:t>
            </w:r>
          </w:p>
          <w:p w14:paraId="79E2A2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（1）生态：施工完成后对临时占地及时进行平整、恢复植被；项目施工期采取的生态环境治理措施效果明显，未对周围生态环境产生较大影响，现场调查期间未发现遗留环境问题。工程对土壤环境影响较小。 </w:t>
            </w:r>
          </w:p>
          <w:p w14:paraId="63FC805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 xml:space="preserve">（2）废气：本项目施工期短暂，施工期使用符合国家标准的机械，采取洒水抑尘等扬尘防治措施，施工期的大气环境影响得到控制。本项目施工期间已落实大气环境保护措施，验收调查期间无遗留大气环境问题，未接到周边居民关于本项目环境污染的投诉。 </w:t>
            </w:r>
          </w:p>
          <w:p w14:paraId="079C651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 xml:space="preserve">（3）废水：本项目对水环境的影响随项目施工期结束而结束，钻井期产生的废水均得到了妥善处理，已落实水环境保护措施，验收调查期间未发现废水排放痕迹，无遗留水环境问题。 </w:t>
            </w:r>
          </w:p>
          <w:p w14:paraId="4DCACC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 xml:space="preserve">（4）噪声：项目施工期使用低噪声设备，合理安排施工时间，在施工期间有效的抑制了噪声对周围环境的影响，本项目施工期噪声随施工期结束影响即消失，根据验收现场调查，施工期未发生扰民事件。 </w:t>
            </w:r>
          </w:p>
          <w:p w14:paraId="5F4F6C0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（5）固废：本项目钻井产生的固体废物进行了合理堆放，相关场地进行了防渗处理。验收期间现场未发现遗留的废水和固体废弃物，</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eastAsia" w:ascii="Times New Roman" w:hAnsi="Times New Roman" w:eastAsia="宋体" w:cs="Times New Roman"/>
                <w:color w:val="auto"/>
                <w:sz w:val="24"/>
                <w:szCs w:val="24"/>
                <w:highlight w:val="none"/>
                <w:vertAlign w:val="baseline"/>
                <w:lang w:val="en-US" w:eastAsia="zh-CN"/>
              </w:rPr>
              <w:t>。验收调查期间无遗留土壤环境、固体废物处置问题。</w:t>
            </w:r>
          </w:p>
          <w:p w14:paraId="5361FC9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（6）风险事故防范及应急措施调查</w:t>
            </w:r>
          </w:p>
          <w:p w14:paraId="792FE85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施工期安装井控装置，防止井喷；加强各类储罐的储存管理，罐区均采用防渗措施；同时加强施工期间风险管理，井场布置按照《钻前工程及井场布置技术要求》的规定进行了设置，项目建设过程及完工后未发生井喷等环境风险事故。</w:t>
            </w:r>
          </w:p>
          <w:p w14:paraId="5340F6F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采油一厂已编制</w:t>
            </w:r>
            <w:r>
              <w:rPr>
                <w:rFonts w:hint="eastAsia" w:ascii="Times New Roman" w:hAnsi="Times New Roman" w:eastAsia="宋体" w:cs="Times New Roman"/>
                <w:color w:val="auto"/>
                <w:sz w:val="24"/>
                <w:szCs w:val="24"/>
                <w:highlight w:val="none"/>
                <w:lang w:val="en-US" w:eastAsia="zh-CN"/>
              </w:rPr>
              <w:t>突发环境事件应急预案，并于2023年1月11日取得了庆阳市生态环境局宁县分局预案备案文件，并按照预案中相关应急措施进行定期演练。该应急预案修编日期为2026年1月11日，在本项目验收时间范围内</w:t>
            </w:r>
            <w:r>
              <w:rPr>
                <w:rFonts w:hint="default" w:ascii="Times New Roman" w:hAnsi="Times New Roman" w:eastAsia="宋体" w:cs="Times New Roman"/>
                <w:color w:val="auto"/>
                <w:sz w:val="24"/>
                <w:szCs w:val="24"/>
                <w:highlight w:val="none"/>
                <w:lang w:val="en-US" w:eastAsia="zh-CN"/>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p w14:paraId="0C1AA02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（7）环境管理</w:t>
            </w:r>
          </w:p>
          <w:p w14:paraId="1E95999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评报告及环评审批文件、“三同时”制度落实情况，环保机构设置、环境管理制度、环保设施运行及维护情况，环境风险防范及应急措施调查，环保审批手续及“三同时”制度执行情况等要求均满足环保要求，各项污染防治措施到位。基本达到环保要求，项目建设过程中未对周边环境造成明显不利影响，未发生公众举报环境污染事件。</w:t>
            </w:r>
          </w:p>
          <w:p w14:paraId="2A47A7DD">
            <w:pPr>
              <w:pStyle w:val="7"/>
              <w:keepNext/>
              <w:keepLines/>
              <w:pageBreakBefore w:val="0"/>
              <w:widowControl/>
              <w:numPr>
                <w:ilvl w:val="0"/>
                <w:numId w:val="6"/>
              </w:numPr>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eastAsia" w:eastAsia="宋体" w:cs="Times New Roman"/>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竣工环保验收的结论</w:t>
            </w:r>
          </w:p>
          <w:p w14:paraId="6AEBDEB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建设工程在建设中认真执行了国家和地方有关环境保护法律法规，建设工程环评文件提出的措施和审批意见的各项要求基本上得到落实。建设工程施工期对声环境、水环境、环境空气、土壤和生态环境的影响与环境影响报告表的结论基本一致。建设过程中废水、废气、噪声、固体废物对周围环境影响不大，临时占地已平整，植被恢复工作已完成。 </w:t>
            </w:r>
          </w:p>
          <w:p w14:paraId="7A5AEA9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按《建设项目竣工环境保护验收暂行办法》对照核查，工程基本采取了相应的环保措施，建设过程中未造成重大的环境污染和生态破坏，未违反国家和地方环境保护法律法规。项目的建设性质、规模、地点、采用的生产工艺均未发生变更。工程落实了相应的环保措施和“三同时”制度，设置了环境管理体系，建立健全了环境管理制度。符合建设项目竣工环境保护验收条件。</w:t>
            </w:r>
          </w:p>
          <w:p w14:paraId="0620C06E">
            <w:pPr>
              <w:pStyle w:val="7"/>
              <w:keepNext/>
              <w:keepLines/>
              <w:pageBreakBefore w:val="0"/>
              <w:widowControl/>
              <w:numPr>
                <w:ilvl w:val="0"/>
                <w:numId w:val="0"/>
              </w:numPr>
              <w:suppressLineNumbers w:val="0"/>
              <w:kinsoku/>
              <w:wordWrap/>
              <w:overflowPunct/>
              <w:topLinePunct w:val="0"/>
              <w:autoSpaceDE/>
              <w:autoSpaceDN/>
              <w:bidi w:val="0"/>
              <w:adjustRightInd w:val="0"/>
              <w:snapToGrid w:val="0"/>
              <w:spacing w:before="0" w:after="0"/>
              <w:ind w:left="440" w:leftChars="200" w:right="0" w:rightChars="0"/>
              <w:jc w:val="both"/>
              <w:textAlignment w:val="auto"/>
              <w:rPr>
                <w:rFonts w:hint="eastAsia" w:eastAsia="宋体" w:cs="Times New Roman"/>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10.2建议和要求</w:t>
            </w:r>
          </w:p>
          <w:p w14:paraId="51E0AD5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（1）向井场及周边的居民大力宣传有关安全、环保知识，减少有意识和无意识的人为破坏。</w:t>
            </w:r>
          </w:p>
          <w:p w14:paraId="536EA94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（2）井场具有开采价值，纳入油田区块管理，永久封井的做好管理工作。</w:t>
            </w:r>
          </w:p>
          <w:p w14:paraId="4E06443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加强井场生态恢复</w:t>
            </w:r>
            <w:r>
              <w:rPr>
                <w:rFonts w:hint="eastAsia" w:ascii="Times New Roman" w:hAnsi="Times New Roman" w:eastAsia="宋体" w:cs="Times New Roman"/>
                <w:color w:val="auto"/>
                <w:sz w:val="24"/>
                <w:szCs w:val="24"/>
                <w:highlight w:val="none"/>
                <w:lang w:val="en-US" w:eastAsia="zh-CN"/>
              </w:rPr>
              <w:t>措施的维护</w:t>
            </w:r>
            <w:r>
              <w:rPr>
                <w:rFonts w:hint="default" w:ascii="Times New Roman" w:hAnsi="Times New Roman" w:eastAsia="宋体" w:cs="Times New Roman"/>
                <w:color w:val="auto"/>
                <w:sz w:val="24"/>
                <w:szCs w:val="24"/>
                <w:highlight w:val="none"/>
                <w:lang w:val="en-US" w:eastAsia="zh-CN"/>
              </w:rPr>
              <w:t>工作</w:t>
            </w:r>
            <w:r>
              <w:rPr>
                <w:rFonts w:hint="eastAsia" w:ascii="Times New Roman" w:hAnsi="Times New Roman" w:eastAsia="宋体" w:cs="Times New Roman"/>
                <w:color w:val="auto"/>
                <w:sz w:val="24"/>
                <w:szCs w:val="24"/>
                <w:highlight w:val="none"/>
                <w:lang w:val="en-US" w:eastAsia="zh-CN"/>
              </w:rPr>
              <w:t>。</w:t>
            </w:r>
          </w:p>
          <w:p w14:paraId="4D7AC6F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（4）建设单位做好勘探井转为生产井的衔接工作，确保过渡期无新的生态环境负面影响。</w:t>
            </w:r>
          </w:p>
          <w:p w14:paraId="7FA5A31D">
            <w:pPr>
              <w:pStyle w:val="5"/>
              <w:widowControl w:val="0"/>
              <w:suppressLineNumbers w:val="0"/>
              <w:spacing w:before="0"/>
              <w:ind w:left="0" w:right="0"/>
              <w:jc w:val="both"/>
              <w:rPr>
                <w:rFonts w:hint="default"/>
                <w:color w:val="auto"/>
                <w:lang w:val="en-US" w:eastAsia="zh-CN"/>
              </w:rPr>
            </w:pPr>
          </w:p>
          <w:p w14:paraId="2621A9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vertAlign w:val="baseline"/>
              </w:rPr>
            </w:pPr>
          </w:p>
        </w:tc>
      </w:tr>
    </w:tbl>
    <w:p w14:paraId="0B6C2D4C">
      <w:pPr>
        <w:pStyle w:val="24"/>
        <w:ind w:left="0" w:leftChars="0" w:firstLine="0" w:firstLineChars="0"/>
        <w:rPr>
          <w:rFonts w:hint="default" w:ascii="Times New Roman" w:hAnsi="Times New Roman" w:eastAsia="宋体" w:cs="Times New Roman"/>
          <w:b/>
          <w:bCs/>
          <w:color w:val="auto"/>
          <w:highlight w:val="none"/>
          <w:lang w:val="en-US" w:eastAsia="zh-CN"/>
        </w:rPr>
      </w:pPr>
    </w:p>
    <w:sectPr>
      <w:footerReference r:id="rId6" w:type="default"/>
      <w:type w:val="continuous"/>
      <w:pgSz w:w="11907" w:h="16840"/>
      <w:pgMar w:top="1440" w:right="1803" w:bottom="1440" w:left="1803" w:header="850" w:footer="992" w:gutter="284"/>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DB884">
    <w:pPr>
      <w:pStyle w:val="16"/>
      <w:spacing w:after="0" w:afterLines="0"/>
      <w:ind w:right="360" w:firstLine="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37130">
    <w:pPr>
      <w:pStyle w:val="16"/>
      <w:spacing w:after="0" w:afterLines="0"/>
      <w:ind w:right="360" w:firstLine="360"/>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E68A4E">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E68A4E">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9BAAD">
    <w:pPr>
      <w:pStyle w:val="1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F9C18D">
                          <w:pPr>
                            <w:pStyle w:val="16"/>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8F9C18D">
                    <w:pPr>
                      <w:pStyle w:val="16"/>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69E70"/>
    <w:multiLevelType w:val="singleLevel"/>
    <w:tmpl w:val="B2E69E70"/>
    <w:lvl w:ilvl="0" w:tentative="0">
      <w:start w:val="1"/>
      <w:numFmt w:val="decimal"/>
      <w:suff w:val="nothing"/>
      <w:lvlText w:val="（%1）"/>
      <w:lvlJc w:val="left"/>
    </w:lvl>
  </w:abstractNum>
  <w:abstractNum w:abstractNumId="1">
    <w:nsid w:val="CB2FF0EA"/>
    <w:multiLevelType w:val="singleLevel"/>
    <w:tmpl w:val="CB2FF0EA"/>
    <w:lvl w:ilvl="0" w:tentative="0">
      <w:start w:val="4"/>
      <w:numFmt w:val="decimal"/>
      <w:suff w:val="nothing"/>
      <w:lvlText w:val="%1、"/>
      <w:lvlJc w:val="left"/>
    </w:lvl>
  </w:abstractNum>
  <w:abstractNum w:abstractNumId="2">
    <w:nsid w:val="D604CBF7"/>
    <w:multiLevelType w:val="singleLevel"/>
    <w:tmpl w:val="D604CBF7"/>
    <w:lvl w:ilvl="0" w:tentative="0">
      <w:start w:val="4"/>
      <w:numFmt w:val="decimal"/>
      <w:lvlText w:val="%1."/>
      <w:lvlJc w:val="left"/>
      <w:pPr>
        <w:tabs>
          <w:tab w:val="left" w:pos="312"/>
        </w:tabs>
      </w:pPr>
    </w:lvl>
  </w:abstractNum>
  <w:abstractNum w:abstractNumId="3">
    <w:nsid w:val="2A50A12A"/>
    <w:multiLevelType w:val="singleLevel"/>
    <w:tmpl w:val="2A50A12A"/>
    <w:lvl w:ilvl="0" w:tentative="0">
      <w:start w:val="1"/>
      <w:numFmt w:val="decimal"/>
      <w:suff w:val="nothing"/>
      <w:lvlText w:val="（%1）"/>
      <w:lvlJc w:val="left"/>
    </w:lvl>
  </w:abstractNum>
  <w:abstractNum w:abstractNumId="4">
    <w:nsid w:val="483546B3"/>
    <w:multiLevelType w:val="singleLevel"/>
    <w:tmpl w:val="483546B3"/>
    <w:lvl w:ilvl="0" w:tentative="0">
      <w:start w:val="1"/>
      <w:numFmt w:val="decimal"/>
      <w:suff w:val="nothing"/>
      <w:lvlText w:val="%1、"/>
      <w:lvlJc w:val="left"/>
    </w:lvl>
  </w:abstractNum>
  <w:abstractNum w:abstractNumId="5">
    <w:nsid w:val="4F5213C2"/>
    <w:multiLevelType w:val="singleLevel"/>
    <w:tmpl w:val="4F5213C2"/>
    <w:lvl w:ilvl="0" w:tentative="0">
      <w:start w:val="1"/>
      <w:numFmt w:val="decimal"/>
      <w:suff w:val="nothing"/>
      <w:lvlText w:val="%1、"/>
      <w:lvlJc w:val="left"/>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3Y2ZjY2EzNWJjMzNlMzg0YmYzYTA3Nzk5MTkyNjIifQ=="/>
  </w:docVars>
  <w:rsids>
    <w:rsidRoot w:val="16DC7FD2"/>
    <w:rsid w:val="000303B3"/>
    <w:rsid w:val="00034C13"/>
    <w:rsid w:val="00043144"/>
    <w:rsid w:val="000969AD"/>
    <w:rsid w:val="00135135"/>
    <w:rsid w:val="00150EAD"/>
    <w:rsid w:val="0018274C"/>
    <w:rsid w:val="001A4A6C"/>
    <w:rsid w:val="001E351F"/>
    <w:rsid w:val="001F1C09"/>
    <w:rsid w:val="00220FB0"/>
    <w:rsid w:val="002657CB"/>
    <w:rsid w:val="00295C6D"/>
    <w:rsid w:val="002C65ED"/>
    <w:rsid w:val="003145A2"/>
    <w:rsid w:val="003752C8"/>
    <w:rsid w:val="00390482"/>
    <w:rsid w:val="003F1D0B"/>
    <w:rsid w:val="003F23CE"/>
    <w:rsid w:val="00490CB3"/>
    <w:rsid w:val="004C4EDD"/>
    <w:rsid w:val="0055266A"/>
    <w:rsid w:val="00563274"/>
    <w:rsid w:val="005714C6"/>
    <w:rsid w:val="005B47D0"/>
    <w:rsid w:val="005C088A"/>
    <w:rsid w:val="005E7DB3"/>
    <w:rsid w:val="005F037B"/>
    <w:rsid w:val="00616DBC"/>
    <w:rsid w:val="006911F9"/>
    <w:rsid w:val="0069744B"/>
    <w:rsid w:val="00702588"/>
    <w:rsid w:val="00724DE5"/>
    <w:rsid w:val="00733E26"/>
    <w:rsid w:val="007A1026"/>
    <w:rsid w:val="007B6B90"/>
    <w:rsid w:val="007D0F25"/>
    <w:rsid w:val="007E1AC4"/>
    <w:rsid w:val="00803C8F"/>
    <w:rsid w:val="0086777B"/>
    <w:rsid w:val="008A4EAD"/>
    <w:rsid w:val="008B5614"/>
    <w:rsid w:val="00951517"/>
    <w:rsid w:val="00951FEE"/>
    <w:rsid w:val="009B5E85"/>
    <w:rsid w:val="009D0EA3"/>
    <w:rsid w:val="009F2E6D"/>
    <w:rsid w:val="00A61372"/>
    <w:rsid w:val="00A83AD0"/>
    <w:rsid w:val="00AA32B3"/>
    <w:rsid w:val="00AC3E2D"/>
    <w:rsid w:val="00B36066"/>
    <w:rsid w:val="00B51FAF"/>
    <w:rsid w:val="00B52690"/>
    <w:rsid w:val="00B561ED"/>
    <w:rsid w:val="00BA1A55"/>
    <w:rsid w:val="00C91C98"/>
    <w:rsid w:val="00CA759C"/>
    <w:rsid w:val="00CF3752"/>
    <w:rsid w:val="00D074CA"/>
    <w:rsid w:val="00D11846"/>
    <w:rsid w:val="00D74DF5"/>
    <w:rsid w:val="00DC19CB"/>
    <w:rsid w:val="00DF270A"/>
    <w:rsid w:val="00E645F8"/>
    <w:rsid w:val="00ED3BD8"/>
    <w:rsid w:val="00EF16FF"/>
    <w:rsid w:val="00EF40AB"/>
    <w:rsid w:val="00EF7950"/>
    <w:rsid w:val="00F1191B"/>
    <w:rsid w:val="00F211EF"/>
    <w:rsid w:val="00F46D15"/>
    <w:rsid w:val="00F705B3"/>
    <w:rsid w:val="00F76805"/>
    <w:rsid w:val="00FC02BF"/>
    <w:rsid w:val="00FF0E03"/>
    <w:rsid w:val="01022EEC"/>
    <w:rsid w:val="01062EEC"/>
    <w:rsid w:val="01141165"/>
    <w:rsid w:val="011B7573"/>
    <w:rsid w:val="011C44BE"/>
    <w:rsid w:val="011C50FD"/>
    <w:rsid w:val="011E3D92"/>
    <w:rsid w:val="011F2AD1"/>
    <w:rsid w:val="01233A9E"/>
    <w:rsid w:val="01311D17"/>
    <w:rsid w:val="01323CE1"/>
    <w:rsid w:val="014D4677"/>
    <w:rsid w:val="016519C1"/>
    <w:rsid w:val="016D19EC"/>
    <w:rsid w:val="016D4D19"/>
    <w:rsid w:val="016F283F"/>
    <w:rsid w:val="017764CA"/>
    <w:rsid w:val="01787946"/>
    <w:rsid w:val="017936BE"/>
    <w:rsid w:val="0179546C"/>
    <w:rsid w:val="017A36FD"/>
    <w:rsid w:val="0185764C"/>
    <w:rsid w:val="01877B89"/>
    <w:rsid w:val="018A7679"/>
    <w:rsid w:val="01910A08"/>
    <w:rsid w:val="019112F3"/>
    <w:rsid w:val="019127B6"/>
    <w:rsid w:val="019422A6"/>
    <w:rsid w:val="019C3DA1"/>
    <w:rsid w:val="019D1CEC"/>
    <w:rsid w:val="019E4ED3"/>
    <w:rsid w:val="01A2062B"/>
    <w:rsid w:val="01A26771"/>
    <w:rsid w:val="01AB3280"/>
    <w:rsid w:val="01B110AA"/>
    <w:rsid w:val="01B46289"/>
    <w:rsid w:val="01B82438"/>
    <w:rsid w:val="01B919D0"/>
    <w:rsid w:val="01BB5A85"/>
    <w:rsid w:val="01C72EFD"/>
    <w:rsid w:val="01C901A1"/>
    <w:rsid w:val="01C963F3"/>
    <w:rsid w:val="01CF1530"/>
    <w:rsid w:val="01D4740C"/>
    <w:rsid w:val="01D86637"/>
    <w:rsid w:val="01D9415D"/>
    <w:rsid w:val="01E07299"/>
    <w:rsid w:val="01E90844"/>
    <w:rsid w:val="01EA5991"/>
    <w:rsid w:val="01EC0334"/>
    <w:rsid w:val="01EF3980"/>
    <w:rsid w:val="01F01BD2"/>
    <w:rsid w:val="01F176F8"/>
    <w:rsid w:val="01F40F97"/>
    <w:rsid w:val="01F42D45"/>
    <w:rsid w:val="01F546B2"/>
    <w:rsid w:val="01FF0067"/>
    <w:rsid w:val="020421DD"/>
    <w:rsid w:val="020B07BA"/>
    <w:rsid w:val="020E3E06"/>
    <w:rsid w:val="020F7B7E"/>
    <w:rsid w:val="02131F64"/>
    <w:rsid w:val="021921CC"/>
    <w:rsid w:val="021B4775"/>
    <w:rsid w:val="0224187C"/>
    <w:rsid w:val="022A2C9E"/>
    <w:rsid w:val="023868B8"/>
    <w:rsid w:val="024141DC"/>
    <w:rsid w:val="024912E2"/>
    <w:rsid w:val="024C492F"/>
    <w:rsid w:val="02511F45"/>
    <w:rsid w:val="025714DE"/>
    <w:rsid w:val="025727E8"/>
    <w:rsid w:val="025832D3"/>
    <w:rsid w:val="02587777"/>
    <w:rsid w:val="025A529E"/>
    <w:rsid w:val="025D7143"/>
    <w:rsid w:val="025F4662"/>
    <w:rsid w:val="02637F53"/>
    <w:rsid w:val="026478F5"/>
    <w:rsid w:val="026532A6"/>
    <w:rsid w:val="02734D1B"/>
    <w:rsid w:val="02757789"/>
    <w:rsid w:val="027A149C"/>
    <w:rsid w:val="02830E67"/>
    <w:rsid w:val="028C11CF"/>
    <w:rsid w:val="028D6E3D"/>
    <w:rsid w:val="028E13EB"/>
    <w:rsid w:val="02935D81"/>
    <w:rsid w:val="02945FBB"/>
    <w:rsid w:val="02981BF3"/>
    <w:rsid w:val="029925B5"/>
    <w:rsid w:val="029B75CA"/>
    <w:rsid w:val="02A705C7"/>
    <w:rsid w:val="02A7502B"/>
    <w:rsid w:val="02A824AD"/>
    <w:rsid w:val="02AA30B8"/>
    <w:rsid w:val="02AB78A7"/>
    <w:rsid w:val="02B917E0"/>
    <w:rsid w:val="02BB22C4"/>
    <w:rsid w:val="02BF7CA2"/>
    <w:rsid w:val="02C31095"/>
    <w:rsid w:val="02C4009F"/>
    <w:rsid w:val="02C531E2"/>
    <w:rsid w:val="02C72207"/>
    <w:rsid w:val="02C80459"/>
    <w:rsid w:val="02C8308D"/>
    <w:rsid w:val="02C848FD"/>
    <w:rsid w:val="02CA0054"/>
    <w:rsid w:val="02CB3234"/>
    <w:rsid w:val="02D52B76"/>
    <w:rsid w:val="02DF21EF"/>
    <w:rsid w:val="02E05E32"/>
    <w:rsid w:val="02E73401"/>
    <w:rsid w:val="02ED7EC0"/>
    <w:rsid w:val="02EE3C38"/>
    <w:rsid w:val="02EF10DB"/>
    <w:rsid w:val="02EF1E8A"/>
    <w:rsid w:val="03065425"/>
    <w:rsid w:val="03086AA8"/>
    <w:rsid w:val="031420BC"/>
    <w:rsid w:val="031A4F39"/>
    <w:rsid w:val="03217B69"/>
    <w:rsid w:val="03237D85"/>
    <w:rsid w:val="03241A2B"/>
    <w:rsid w:val="03253AFD"/>
    <w:rsid w:val="0328143D"/>
    <w:rsid w:val="0328539C"/>
    <w:rsid w:val="032A692E"/>
    <w:rsid w:val="032B09E8"/>
    <w:rsid w:val="032B4594"/>
    <w:rsid w:val="032C7D6B"/>
    <w:rsid w:val="033B2D75"/>
    <w:rsid w:val="033D21D3"/>
    <w:rsid w:val="033E30A5"/>
    <w:rsid w:val="034C108A"/>
    <w:rsid w:val="034D3112"/>
    <w:rsid w:val="034E1DBA"/>
    <w:rsid w:val="03595555"/>
    <w:rsid w:val="035F1E46"/>
    <w:rsid w:val="03675EC4"/>
    <w:rsid w:val="03685798"/>
    <w:rsid w:val="036C2747"/>
    <w:rsid w:val="036E2742"/>
    <w:rsid w:val="0370464D"/>
    <w:rsid w:val="037F505A"/>
    <w:rsid w:val="03817D33"/>
    <w:rsid w:val="038C32FA"/>
    <w:rsid w:val="03906A9D"/>
    <w:rsid w:val="03915D3E"/>
    <w:rsid w:val="03922815"/>
    <w:rsid w:val="03965E35"/>
    <w:rsid w:val="03977E2B"/>
    <w:rsid w:val="03996BF7"/>
    <w:rsid w:val="039B3DC0"/>
    <w:rsid w:val="039C4493"/>
    <w:rsid w:val="039E740C"/>
    <w:rsid w:val="039F17E7"/>
    <w:rsid w:val="03A013D6"/>
    <w:rsid w:val="03A04F32"/>
    <w:rsid w:val="03A52548"/>
    <w:rsid w:val="03AD0875"/>
    <w:rsid w:val="03BD629B"/>
    <w:rsid w:val="03BE185C"/>
    <w:rsid w:val="03C716BD"/>
    <w:rsid w:val="03C926DB"/>
    <w:rsid w:val="03CA1FAF"/>
    <w:rsid w:val="03CC68AD"/>
    <w:rsid w:val="03CE7CF1"/>
    <w:rsid w:val="03CF3A69"/>
    <w:rsid w:val="03CF5817"/>
    <w:rsid w:val="03D270B5"/>
    <w:rsid w:val="03D42D07"/>
    <w:rsid w:val="03D66BA6"/>
    <w:rsid w:val="03E70DB3"/>
    <w:rsid w:val="03E92ECA"/>
    <w:rsid w:val="03EA2651"/>
    <w:rsid w:val="03F02344"/>
    <w:rsid w:val="03F4702C"/>
    <w:rsid w:val="03F62DA4"/>
    <w:rsid w:val="03F86B1C"/>
    <w:rsid w:val="03FA2051"/>
    <w:rsid w:val="03FD29A1"/>
    <w:rsid w:val="040123E3"/>
    <w:rsid w:val="0405748B"/>
    <w:rsid w:val="040A2CF3"/>
    <w:rsid w:val="040B1509"/>
    <w:rsid w:val="040B79B6"/>
    <w:rsid w:val="040D6D41"/>
    <w:rsid w:val="04114082"/>
    <w:rsid w:val="04123780"/>
    <w:rsid w:val="041616A2"/>
    <w:rsid w:val="041A1188"/>
    <w:rsid w:val="041C0250"/>
    <w:rsid w:val="04277401"/>
    <w:rsid w:val="042E2066"/>
    <w:rsid w:val="0431202E"/>
    <w:rsid w:val="043164D2"/>
    <w:rsid w:val="04357D70"/>
    <w:rsid w:val="04367644"/>
    <w:rsid w:val="043809FC"/>
    <w:rsid w:val="043833BC"/>
    <w:rsid w:val="04387860"/>
    <w:rsid w:val="043B6147"/>
    <w:rsid w:val="04433F31"/>
    <w:rsid w:val="04482E3E"/>
    <w:rsid w:val="044959C1"/>
    <w:rsid w:val="045126D0"/>
    <w:rsid w:val="045521C0"/>
    <w:rsid w:val="045A1585"/>
    <w:rsid w:val="04644D0D"/>
    <w:rsid w:val="0467106F"/>
    <w:rsid w:val="04675A50"/>
    <w:rsid w:val="046C66E4"/>
    <w:rsid w:val="046E7887"/>
    <w:rsid w:val="047168CE"/>
    <w:rsid w:val="04722D72"/>
    <w:rsid w:val="0472717F"/>
    <w:rsid w:val="047A5783"/>
    <w:rsid w:val="04830723"/>
    <w:rsid w:val="04882551"/>
    <w:rsid w:val="048900BC"/>
    <w:rsid w:val="04891E6A"/>
    <w:rsid w:val="048B3E34"/>
    <w:rsid w:val="048C4069"/>
    <w:rsid w:val="048F1DD1"/>
    <w:rsid w:val="04926F71"/>
    <w:rsid w:val="049555F0"/>
    <w:rsid w:val="049820AD"/>
    <w:rsid w:val="049A7BD3"/>
    <w:rsid w:val="049B65B6"/>
    <w:rsid w:val="049F2B84"/>
    <w:rsid w:val="049F32D8"/>
    <w:rsid w:val="04A171B4"/>
    <w:rsid w:val="04A57872"/>
    <w:rsid w:val="04A722F0"/>
    <w:rsid w:val="04A930A7"/>
    <w:rsid w:val="04AD224F"/>
    <w:rsid w:val="04B62533"/>
    <w:rsid w:val="04BA0275"/>
    <w:rsid w:val="04C66C1A"/>
    <w:rsid w:val="04C904B8"/>
    <w:rsid w:val="04C9495C"/>
    <w:rsid w:val="04C9670A"/>
    <w:rsid w:val="04CE6D30"/>
    <w:rsid w:val="04D330E5"/>
    <w:rsid w:val="04D56E5D"/>
    <w:rsid w:val="04D95235"/>
    <w:rsid w:val="04DA0918"/>
    <w:rsid w:val="04DA26C6"/>
    <w:rsid w:val="04E62E18"/>
    <w:rsid w:val="04E71D9A"/>
    <w:rsid w:val="04E92909"/>
    <w:rsid w:val="04ED76E2"/>
    <w:rsid w:val="04F03C97"/>
    <w:rsid w:val="04F63670"/>
    <w:rsid w:val="04FA7776"/>
    <w:rsid w:val="04FC3176"/>
    <w:rsid w:val="04FC7471"/>
    <w:rsid w:val="0501370E"/>
    <w:rsid w:val="05065269"/>
    <w:rsid w:val="05081BD2"/>
    <w:rsid w:val="050D2A9B"/>
    <w:rsid w:val="050D40FB"/>
    <w:rsid w:val="05141EB3"/>
    <w:rsid w:val="05160A69"/>
    <w:rsid w:val="05184F9C"/>
    <w:rsid w:val="051F457C"/>
    <w:rsid w:val="05203D0E"/>
    <w:rsid w:val="052878D5"/>
    <w:rsid w:val="052B2F21"/>
    <w:rsid w:val="052C3426"/>
    <w:rsid w:val="05327B94"/>
    <w:rsid w:val="05391C88"/>
    <w:rsid w:val="053B7608"/>
    <w:rsid w:val="053C512E"/>
    <w:rsid w:val="05405671"/>
    <w:rsid w:val="05410997"/>
    <w:rsid w:val="05463C8E"/>
    <w:rsid w:val="05465FAD"/>
    <w:rsid w:val="054A57DE"/>
    <w:rsid w:val="05557F9E"/>
    <w:rsid w:val="05585FBD"/>
    <w:rsid w:val="055A508B"/>
    <w:rsid w:val="055A55B4"/>
    <w:rsid w:val="055C30DB"/>
    <w:rsid w:val="05616943"/>
    <w:rsid w:val="05647814"/>
    <w:rsid w:val="05663F59"/>
    <w:rsid w:val="05720B50"/>
    <w:rsid w:val="05737CC1"/>
    <w:rsid w:val="057E5747"/>
    <w:rsid w:val="05816FE5"/>
    <w:rsid w:val="05881725"/>
    <w:rsid w:val="058A40EC"/>
    <w:rsid w:val="058A5E9A"/>
    <w:rsid w:val="05972365"/>
    <w:rsid w:val="059E36F3"/>
    <w:rsid w:val="05A86320"/>
    <w:rsid w:val="05AB4B50"/>
    <w:rsid w:val="05AD7DDA"/>
    <w:rsid w:val="05B01454"/>
    <w:rsid w:val="05B2719F"/>
    <w:rsid w:val="05BD2794"/>
    <w:rsid w:val="05BD3240"/>
    <w:rsid w:val="05BE041F"/>
    <w:rsid w:val="05C0366A"/>
    <w:rsid w:val="05C23886"/>
    <w:rsid w:val="05C41034"/>
    <w:rsid w:val="05C77E2B"/>
    <w:rsid w:val="05CA1F8A"/>
    <w:rsid w:val="05CD5D86"/>
    <w:rsid w:val="05CF7D50"/>
    <w:rsid w:val="05D4686F"/>
    <w:rsid w:val="05DB4D76"/>
    <w:rsid w:val="05DE7F94"/>
    <w:rsid w:val="05E337FC"/>
    <w:rsid w:val="05E84B26"/>
    <w:rsid w:val="05EB4740"/>
    <w:rsid w:val="05EC445F"/>
    <w:rsid w:val="05F31C91"/>
    <w:rsid w:val="05F61781"/>
    <w:rsid w:val="05F72E03"/>
    <w:rsid w:val="05FA6846"/>
    <w:rsid w:val="06021ED4"/>
    <w:rsid w:val="06141C07"/>
    <w:rsid w:val="061614DB"/>
    <w:rsid w:val="0619597F"/>
    <w:rsid w:val="061B4DDA"/>
    <w:rsid w:val="061C3457"/>
    <w:rsid w:val="061D6AD0"/>
    <w:rsid w:val="06217102"/>
    <w:rsid w:val="062C51A3"/>
    <w:rsid w:val="062E2CC9"/>
    <w:rsid w:val="0633208D"/>
    <w:rsid w:val="0639082E"/>
    <w:rsid w:val="063D2F0C"/>
    <w:rsid w:val="063E0A32"/>
    <w:rsid w:val="06424B2E"/>
    <w:rsid w:val="0644429B"/>
    <w:rsid w:val="06455476"/>
    <w:rsid w:val="06456265"/>
    <w:rsid w:val="064A12E8"/>
    <w:rsid w:val="064E5119"/>
    <w:rsid w:val="06573980"/>
    <w:rsid w:val="06622973"/>
    <w:rsid w:val="0667220B"/>
    <w:rsid w:val="066C139F"/>
    <w:rsid w:val="066C1A43"/>
    <w:rsid w:val="067508F8"/>
    <w:rsid w:val="06765CEE"/>
    <w:rsid w:val="06787E06"/>
    <w:rsid w:val="067C6A3C"/>
    <w:rsid w:val="067D155B"/>
    <w:rsid w:val="06826B71"/>
    <w:rsid w:val="06840E03"/>
    <w:rsid w:val="068766B9"/>
    <w:rsid w:val="06894493"/>
    <w:rsid w:val="068D618F"/>
    <w:rsid w:val="06906F40"/>
    <w:rsid w:val="06913258"/>
    <w:rsid w:val="06936FD0"/>
    <w:rsid w:val="0696261C"/>
    <w:rsid w:val="06986394"/>
    <w:rsid w:val="069B7700"/>
    <w:rsid w:val="069D1BFD"/>
    <w:rsid w:val="06A905A2"/>
    <w:rsid w:val="06AB431A"/>
    <w:rsid w:val="06AE6F3C"/>
    <w:rsid w:val="06B01930"/>
    <w:rsid w:val="06B807E5"/>
    <w:rsid w:val="06B86A37"/>
    <w:rsid w:val="06B974A5"/>
    <w:rsid w:val="06BA27AF"/>
    <w:rsid w:val="06BC30EF"/>
    <w:rsid w:val="06BC56C6"/>
    <w:rsid w:val="06BC6527"/>
    <w:rsid w:val="06BF1B73"/>
    <w:rsid w:val="06C037F3"/>
    <w:rsid w:val="06C47189"/>
    <w:rsid w:val="06C54CB0"/>
    <w:rsid w:val="06C90C44"/>
    <w:rsid w:val="06CB49BC"/>
    <w:rsid w:val="06CC5B3F"/>
    <w:rsid w:val="06CC603E"/>
    <w:rsid w:val="06CE0008"/>
    <w:rsid w:val="06D575E9"/>
    <w:rsid w:val="06DA075B"/>
    <w:rsid w:val="06DC1469"/>
    <w:rsid w:val="06DC5E15"/>
    <w:rsid w:val="06DD5B44"/>
    <w:rsid w:val="06E11AE9"/>
    <w:rsid w:val="06E6018A"/>
    <w:rsid w:val="06E65352"/>
    <w:rsid w:val="06EC7548"/>
    <w:rsid w:val="06EE2458"/>
    <w:rsid w:val="06F34474"/>
    <w:rsid w:val="06F37A6F"/>
    <w:rsid w:val="06FC2A3B"/>
    <w:rsid w:val="06FC6DA9"/>
    <w:rsid w:val="06FF0E81"/>
    <w:rsid w:val="07041C7C"/>
    <w:rsid w:val="07091C9D"/>
    <w:rsid w:val="07097292"/>
    <w:rsid w:val="070B137F"/>
    <w:rsid w:val="070E58EA"/>
    <w:rsid w:val="07107F82"/>
    <w:rsid w:val="07124399"/>
    <w:rsid w:val="07135C73"/>
    <w:rsid w:val="07183108"/>
    <w:rsid w:val="071874D5"/>
    <w:rsid w:val="071D208A"/>
    <w:rsid w:val="071D689A"/>
    <w:rsid w:val="071E2D3E"/>
    <w:rsid w:val="071F2612"/>
    <w:rsid w:val="072639A0"/>
    <w:rsid w:val="07283BBC"/>
    <w:rsid w:val="072A2F74"/>
    <w:rsid w:val="0730481F"/>
    <w:rsid w:val="073562D9"/>
    <w:rsid w:val="07373DFF"/>
    <w:rsid w:val="0739271F"/>
    <w:rsid w:val="073A689E"/>
    <w:rsid w:val="073E6F3C"/>
    <w:rsid w:val="07402ACD"/>
    <w:rsid w:val="07462294"/>
    <w:rsid w:val="07484B91"/>
    <w:rsid w:val="074902BB"/>
    <w:rsid w:val="074D53D1"/>
    <w:rsid w:val="074E4E7E"/>
    <w:rsid w:val="074F739B"/>
    <w:rsid w:val="07500A1D"/>
    <w:rsid w:val="07524795"/>
    <w:rsid w:val="0754675F"/>
    <w:rsid w:val="07580B37"/>
    <w:rsid w:val="075A189C"/>
    <w:rsid w:val="075C75B8"/>
    <w:rsid w:val="075E40A2"/>
    <w:rsid w:val="076072C9"/>
    <w:rsid w:val="07660A33"/>
    <w:rsid w:val="07723089"/>
    <w:rsid w:val="07762B7A"/>
    <w:rsid w:val="077A4DF6"/>
    <w:rsid w:val="077D65A4"/>
    <w:rsid w:val="077E1A2E"/>
    <w:rsid w:val="077F2189"/>
    <w:rsid w:val="078017C9"/>
    <w:rsid w:val="078659B5"/>
    <w:rsid w:val="07866B35"/>
    <w:rsid w:val="078A01E7"/>
    <w:rsid w:val="078C23B8"/>
    <w:rsid w:val="07941252"/>
    <w:rsid w:val="07996868"/>
    <w:rsid w:val="079E79DA"/>
    <w:rsid w:val="07A1396F"/>
    <w:rsid w:val="07A33756"/>
    <w:rsid w:val="07A9580E"/>
    <w:rsid w:val="07AF7E3A"/>
    <w:rsid w:val="07B21C22"/>
    <w:rsid w:val="07B33862"/>
    <w:rsid w:val="07B40FAC"/>
    <w:rsid w:val="07B76CEE"/>
    <w:rsid w:val="07BC0F3D"/>
    <w:rsid w:val="07C733D5"/>
    <w:rsid w:val="07C80EFB"/>
    <w:rsid w:val="07CA2DAA"/>
    <w:rsid w:val="07D258D6"/>
    <w:rsid w:val="07D31C10"/>
    <w:rsid w:val="07D4164E"/>
    <w:rsid w:val="07E04497"/>
    <w:rsid w:val="07E15CFA"/>
    <w:rsid w:val="07EA1643"/>
    <w:rsid w:val="07EC2E3C"/>
    <w:rsid w:val="07EE0C0C"/>
    <w:rsid w:val="07F113FB"/>
    <w:rsid w:val="07F41CF0"/>
    <w:rsid w:val="07F97307"/>
    <w:rsid w:val="07FD6DFF"/>
    <w:rsid w:val="08030185"/>
    <w:rsid w:val="08053EFD"/>
    <w:rsid w:val="08070D6B"/>
    <w:rsid w:val="080C528C"/>
    <w:rsid w:val="08144660"/>
    <w:rsid w:val="0815082E"/>
    <w:rsid w:val="08163A15"/>
    <w:rsid w:val="081D1247"/>
    <w:rsid w:val="081D5FCD"/>
    <w:rsid w:val="08236132"/>
    <w:rsid w:val="08362309"/>
    <w:rsid w:val="0836469C"/>
    <w:rsid w:val="08412D5D"/>
    <w:rsid w:val="08442237"/>
    <w:rsid w:val="0849203C"/>
    <w:rsid w:val="084E7652"/>
    <w:rsid w:val="084F0A5C"/>
    <w:rsid w:val="084F33CB"/>
    <w:rsid w:val="08513E84"/>
    <w:rsid w:val="08527000"/>
    <w:rsid w:val="08543A14"/>
    <w:rsid w:val="08564759"/>
    <w:rsid w:val="0858402D"/>
    <w:rsid w:val="08601134"/>
    <w:rsid w:val="08607386"/>
    <w:rsid w:val="086329D2"/>
    <w:rsid w:val="08640C24"/>
    <w:rsid w:val="08643561"/>
    <w:rsid w:val="08674E90"/>
    <w:rsid w:val="086C1887"/>
    <w:rsid w:val="08722223"/>
    <w:rsid w:val="087370B9"/>
    <w:rsid w:val="08752E31"/>
    <w:rsid w:val="08760957"/>
    <w:rsid w:val="087A0447"/>
    <w:rsid w:val="087A532A"/>
    <w:rsid w:val="08803584"/>
    <w:rsid w:val="08843074"/>
    <w:rsid w:val="08852948"/>
    <w:rsid w:val="088A7057"/>
    <w:rsid w:val="088C1F29"/>
    <w:rsid w:val="088E5CA1"/>
    <w:rsid w:val="08910319"/>
    <w:rsid w:val="08940DDD"/>
    <w:rsid w:val="0895702F"/>
    <w:rsid w:val="089808CE"/>
    <w:rsid w:val="089D4136"/>
    <w:rsid w:val="089E0E96"/>
    <w:rsid w:val="08A13C26"/>
    <w:rsid w:val="08A22B86"/>
    <w:rsid w:val="08A246F4"/>
    <w:rsid w:val="08A62997"/>
    <w:rsid w:val="08A70B11"/>
    <w:rsid w:val="08AC25CB"/>
    <w:rsid w:val="08B374B6"/>
    <w:rsid w:val="08BF37EF"/>
    <w:rsid w:val="08BF40AC"/>
    <w:rsid w:val="08C0550B"/>
    <w:rsid w:val="08C07E24"/>
    <w:rsid w:val="08C474E1"/>
    <w:rsid w:val="08C6368D"/>
    <w:rsid w:val="08C77405"/>
    <w:rsid w:val="08CC4A1B"/>
    <w:rsid w:val="08CE0793"/>
    <w:rsid w:val="08CE2541"/>
    <w:rsid w:val="08DB71DA"/>
    <w:rsid w:val="08E21B49"/>
    <w:rsid w:val="08E458C1"/>
    <w:rsid w:val="08E6788B"/>
    <w:rsid w:val="08EC29C7"/>
    <w:rsid w:val="08F16230"/>
    <w:rsid w:val="08F55D20"/>
    <w:rsid w:val="08F655F4"/>
    <w:rsid w:val="08FF7E1C"/>
    <w:rsid w:val="09024A32"/>
    <w:rsid w:val="090830A4"/>
    <w:rsid w:val="090917CB"/>
    <w:rsid w:val="090C33A6"/>
    <w:rsid w:val="090F35C3"/>
    <w:rsid w:val="09181829"/>
    <w:rsid w:val="091C1203"/>
    <w:rsid w:val="091F0FEF"/>
    <w:rsid w:val="0923288D"/>
    <w:rsid w:val="092C1798"/>
    <w:rsid w:val="092C7EAE"/>
    <w:rsid w:val="092D4163"/>
    <w:rsid w:val="09304766"/>
    <w:rsid w:val="09306D58"/>
    <w:rsid w:val="093218B9"/>
    <w:rsid w:val="093C56FD"/>
    <w:rsid w:val="093F256B"/>
    <w:rsid w:val="094559F1"/>
    <w:rsid w:val="094B1DE4"/>
    <w:rsid w:val="09526CCE"/>
    <w:rsid w:val="095567BF"/>
    <w:rsid w:val="09644C54"/>
    <w:rsid w:val="0965366A"/>
    <w:rsid w:val="09680BF5"/>
    <w:rsid w:val="096864F2"/>
    <w:rsid w:val="0969226A"/>
    <w:rsid w:val="096F5AD2"/>
    <w:rsid w:val="0970184A"/>
    <w:rsid w:val="097B7030"/>
    <w:rsid w:val="098552F6"/>
    <w:rsid w:val="09896468"/>
    <w:rsid w:val="098A46BA"/>
    <w:rsid w:val="09903C9B"/>
    <w:rsid w:val="09907166"/>
    <w:rsid w:val="09975029"/>
    <w:rsid w:val="099834FE"/>
    <w:rsid w:val="09A03EDE"/>
    <w:rsid w:val="09A15749"/>
    <w:rsid w:val="09A3577C"/>
    <w:rsid w:val="09B039F5"/>
    <w:rsid w:val="09B06648"/>
    <w:rsid w:val="09B16EAB"/>
    <w:rsid w:val="09B63701"/>
    <w:rsid w:val="09B71227"/>
    <w:rsid w:val="09B96D4E"/>
    <w:rsid w:val="09BA2AC6"/>
    <w:rsid w:val="09C0565C"/>
    <w:rsid w:val="09C0632E"/>
    <w:rsid w:val="09C35E1E"/>
    <w:rsid w:val="09C474A0"/>
    <w:rsid w:val="09C556F2"/>
    <w:rsid w:val="09C6146A"/>
    <w:rsid w:val="09C661EE"/>
    <w:rsid w:val="09C676BC"/>
    <w:rsid w:val="09C7187E"/>
    <w:rsid w:val="09CD0728"/>
    <w:rsid w:val="09CD0C44"/>
    <w:rsid w:val="09D122E9"/>
    <w:rsid w:val="09D43B87"/>
    <w:rsid w:val="09D74664"/>
    <w:rsid w:val="09DE4A06"/>
    <w:rsid w:val="09E10052"/>
    <w:rsid w:val="09E35B78"/>
    <w:rsid w:val="09E75E4D"/>
    <w:rsid w:val="09E85885"/>
    <w:rsid w:val="09EF451D"/>
    <w:rsid w:val="09F510F6"/>
    <w:rsid w:val="09F71624"/>
    <w:rsid w:val="0A0106F5"/>
    <w:rsid w:val="0A037FC9"/>
    <w:rsid w:val="0A110938"/>
    <w:rsid w:val="0A124E0D"/>
    <w:rsid w:val="0A127C3E"/>
    <w:rsid w:val="0A163877"/>
    <w:rsid w:val="0A171CC6"/>
    <w:rsid w:val="0A1A1394"/>
    <w:rsid w:val="0A231A61"/>
    <w:rsid w:val="0A2763AD"/>
    <w:rsid w:val="0A2D4C39"/>
    <w:rsid w:val="0A3A2CDB"/>
    <w:rsid w:val="0A3C34DB"/>
    <w:rsid w:val="0A410AF1"/>
    <w:rsid w:val="0A4D4588"/>
    <w:rsid w:val="0A51055F"/>
    <w:rsid w:val="0A530F50"/>
    <w:rsid w:val="0A54385D"/>
    <w:rsid w:val="0A56459C"/>
    <w:rsid w:val="0A5C1147"/>
    <w:rsid w:val="0A5C2888"/>
    <w:rsid w:val="0A5E227D"/>
    <w:rsid w:val="0A63385F"/>
    <w:rsid w:val="0A640318"/>
    <w:rsid w:val="0A64315D"/>
    <w:rsid w:val="0A653A66"/>
    <w:rsid w:val="0A6934E2"/>
    <w:rsid w:val="0A6F6E1B"/>
    <w:rsid w:val="0A7113D6"/>
    <w:rsid w:val="0A742C74"/>
    <w:rsid w:val="0A7809B7"/>
    <w:rsid w:val="0A8729A8"/>
    <w:rsid w:val="0A876917"/>
    <w:rsid w:val="0A8A693C"/>
    <w:rsid w:val="0A8E01DA"/>
    <w:rsid w:val="0A93759F"/>
    <w:rsid w:val="0A9450C5"/>
    <w:rsid w:val="0A9B28F7"/>
    <w:rsid w:val="0A9D666F"/>
    <w:rsid w:val="0AA2576C"/>
    <w:rsid w:val="0AA7304A"/>
    <w:rsid w:val="0AA95014"/>
    <w:rsid w:val="0AB01364"/>
    <w:rsid w:val="0AB03BF9"/>
    <w:rsid w:val="0AB063A2"/>
    <w:rsid w:val="0AB47515"/>
    <w:rsid w:val="0AB9662C"/>
    <w:rsid w:val="0ABB2680"/>
    <w:rsid w:val="0ABB6AF5"/>
    <w:rsid w:val="0ABC1909"/>
    <w:rsid w:val="0ABE4797"/>
    <w:rsid w:val="0ABE7666"/>
    <w:rsid w:val="0AC105A6"/>
    <w:rsid w:val="0AC44356"/>
    <w:rsid w:val="0AC7549A"/>
    <w:rsid w:val="0ACD0F93"/>
    <w:rsid w:val="0AD24031"/>
    <w:rsid w:val="0AD33E3F"/>
    <w:rsid w:val="0AD45172"/>
    <w:rsid w:val="0AD461BB"/>
    <w:rsid w:val="0AD6392F"/>
    <w:rsid w:val="0ADB7197"/>
    <w:rsid w:val="0ADD6A6C"/>
    <w:rsid w:val="0AE0030A"/>
    <w:rsid w:val="0AE05A5E"/>
    <w:rsid w:val="0AE40D31"/>
    <w:rsid w:val="0AE778EA"/>
    <w:rsid w:val="0AEA2F37"/>
    <w:rsid w:val="0AFB5144"/>
    <w:rsid w:val="0AFD0EBC"/>
    <w:rsid w:val="0AFD318D"/>
    <w:rsid w:val="0AFD710E"/>
    <w:rsid w:val="0B025788"/>
    <w:rsid w:val="0B04049C"/>
    <w:rsid w:val="0B095AB3"/>
    <w:rsid w:val="0B0D50BA"/>
    <w:rsid w:val="0B152302"/>
    <w:rsid w:val="0B177818"/>
    <w:rsid w:val="0B1A2728"/>
    <w:rsid w:val="0B1C2641"/>
    <w:rsid w:val="0B1D50BA"/>
    <w:rsid w:val="0B1F0902"/>
    <w:rsid w:val="0B1F0E32"/>
    <w:rsid w:val="0B2711C0"/>
    <w:rsid w:val="0B282BC9"/>
    <w:rsid w:val="0B297F03"/>
    <w:rsid w:val="0B2B3F13"/>
    <w:rsid w:val="0B2D79F3"/>
    <w:rsid w:val="0B304DED"/>
    <w:rsid w:val="0B310B66"/>
    <w:rsid w:val="0B3568A8"/>
    <w:rsid w:val="0B3C11A9"/>
    <w:rsid w:val="0B3E2E09"/>
    <w:rsid w:val="0B3F3C9B"/>
    <w:rsid w:val="0B4765DB"/>
    <w:rsid w:val="0B481FE1"/>
    <w:rsid w:val="0B494101"/>
    <w:rsid w:val="0B495EAF"/>
    <w:rsid w:val="0B4D1562"/>
    <w:rsid w:val="0B50723E"/>
    <w:rsid w:val="0B507DED"/>
    <w:rsid w:val="0B521208"/>
    <w:rsid w:val="0B554854"/>
    <w:rsid w:val="0B560D41"/>
    <w:rsid w:val="0B5807E8"/>
    <w:rsid w:val="0B60380B"/>
    <w:rsid w:val="0B617633"/>
    <w:rsid w:val="0B62583B"/>
    <w:rsid w:val="0B63653F"/>
    <w:rsid w:val="0B655B46"/>
    <w:rsid w:val="0B670D6C"/>
    <w:rsid w:val="0B6727D9"/>
    <w:rsid w:val="0B793428"/>
    <w:rsid w:val="0B7D1118"/>
    <w:rsid w:val="0B81537D"/>
    <w:rsid w:val="0B84112B"/>
    <w:rsid w:val="0B84338B"/>
    <w:rsid w:val="0B8E217B"/>
    <w:rsid w:val="0B8E7D66"/>
    <w:rsid w:val="0B9C6927"/>
    <w:rsid w:val="0B9F3D21"/>
    <w:rsid w:val="0BA17A99"/>
    <w:rsid w:val="0BA650B0"/>
    <w:rsid w:val="0BB00EE0"/>
    <w:rsid w:val="0BB21CA6"/>
    <w:rsid w:val="0BB377CC"/>
    <w:rsid w:val="0BBC1554"/>
    <w:rsid w:val="0BC1319E"/>
    <w:rsid w:val="0BC33EB3"/>
    <w:rsid w:val="0BC63572"/>
    <w:rsid w:val="0BC92842"/>
    <w:rsid w:val="0BCD0578"/>
    <w:rsid w:val="0BD04822"/>
    <w:rsid w:val="0BD641F6"/>
    <w:rsid w:val="0BDE6F3F"/>
    <w:rsid w:val="0BEA7692"/>
    <w:rsid w:val="0BEB51B8"/>
    <w:rsid w:val="0BEF4CA9"/>
    <w:rsid w:val="0BF0642E"/>
    <w:rsid w:val="0BF277E3"/>
    <w:rsid w:val="0BFA157F"/>
    <w:rsid w:val="0C000C64"/>
    <w:rsid w:val="0C041A53"/>
    <w:rsid w:val="0C0B585A"/>
    <w:rsid w:val="0C0F1E96"/>
    <w:rsid w:val="0C0F5D22"/>
    <w:rsid w:val="0C1507A5"/>
    <w:rsid w:val="0C191D25"/>
    <w:rsid w:val="0C216E2C"/>
    <w:rsid w:val="0C2B3807"/>
    <w:rsid w:val="0C2D757F"/>
    <w:rsid w:val="0C300E1D"/>
    <w:rsid w:val="0C3845C3"/>
    <w:rsid w:val="0C3B3950"/>
    <w:rsid w:val="0C3B65EE"/>
    <w:rsid w:val="0C3C5A14"/>
    <w:rsid w:val="0C3F2232"/>
    <w:rsid w:val="0C3F62B8"/>
    <w:rsid w:val="0C41302A"/>
    <w:rsid w:val="0C436DA2"/>
    <w:rsid w:val="0C441D60"/>
    <w:rsid w:val="0C48085D"/>
    <w:rsid w:val="0C4D7C21"/>
    <w:rsid w:val="0C4F3999"/>
    <w:rsid w:val="0C4F5747"/>
    <w:rsid w:val="0C4F6BDA"/>
    <w:rsid w:val="0C50326D"/>
    <w:rsid w:val="0C547201"/>
    <w:rsid w:val="0C603692"/>
    <w:rsid w:val="0C61547A"/>
    <w:rsid w:val="0C6A2581"/>
    <w:rsid w:val="0C6F4DCD"/>
    <w:rsid w:val="0C6F7B97"/>
    <w:rsid w:val="0C7043B9"/>
    <w:rsid w:val="0C711828"/>
    <w:rsid w:val="0C735804"/>
    <w:rsid w:val="0C743400"/>
    <w:rsid w:val="0C776A4C"/>
    <w:rsid w:val="0C7B02EA"/>
    <w:rsid w:val="0C7D0506"/>
    <w:rsid w:val="0C7D4058"/>
    <w:rsid w:val="0C7E3DA7"/>
    <w:rsid w:val="0C7F42EA"/>
    <w:rsid w:val="0C831895"/>
    <w:rsid w:val="0C873133"/>
    <w:rsid w:val="0C8A2C23"/>
    <w:rsid w:val="0C8D4945"/>
    <w:rsid w:val="0C945850"/>
    <w:rsid w:val="0C9950B0"/>
    <w:rsid w:val="0C9A5778"/>
    <w:rsid w:val="0C9D2956"/>
    <w:rsid w:val="0CA23AC9"/>
    <w:rsid w:val="0CA26789"/>
    <w:rsid w:val="0CA63264"/>
    <w:rsid w:val="0CA830A9"/>
    <w:rsid w:val="0CAA5073"/>
    <w:rsid w:val="0CAA5E52"/>
    <w:rsid w:val="0CAD0C97"/>
    <w:rsid w:val="0CB34126"/>
    <w:rsid w:val="0CB358A1"/>
    <w:rsid w:val="0CBD3F8D"/>
    <w:rsid w:val="0CBD6B55"/>
    <w:rsid w:val="0CC04897"/>
    <w:rsid w:val="0CC04961"/>
    <w:rsid w:val="0CC94EBC"/>
    <w:rsid w:val="0CCC6D98"/>
    <w:rsid w:val="0CD43E9E"/>
    <w:rsid w:val="0CD65E68"/>
    <w:rsid w:val="0CEC07ED"/>
    <w:rsid w:val="0CF12CA2"/>
    <w:rsid w:val="0CF307C8"/>
    <w:rsid w:val="0CF42CB0"/>
    <w:rsid w:val="0CF462EF"/>
    <w:rsid w:val="0CF804C6"/>
    <w:rsid w:val="0CF85DDF"/>
    <w:rsid w:val="0CFD33F5"/>
    <w:rsid w:val="0CFF53BF"/>
    <w:rsid w:val="0D074274"/>
    <w:rsid w:val="0D0C0CD0"/>
    <w:rsid w:val="0D164EFB"/>
    <w:rsid w:val="0D1D75F3"/>
    <w:rsid w:val="0D2210AE"/>
    <w:rsid w:val="0D22380E"/>
    <w:rsid w:val="0D232F82"/>
    <w:rsid w:val="0D28340D"/>
    <w:rsid w:val="0D2C59C1"/>
    <w:rsid w:val="0D2E1801"/>
    <w:rsid w:val="0D305579"/>
    <w:rsid w:val="0D3112F1"/>
    <w:rsid w:val="0D3861DB"/>
    <w:rsid w:val="0D3C216F"/>
    <w:rsid w:val="0D4252AC"/>
    <w:rsid w:val="0D50069F"/>
    <w:rsid w:val="0D531267"/>
    <w:rsid w:val="0D5D2504"/>
    <w:rsid w:val="0D643474"/>
    <w:rsid w:val="0D6C40D7"/>
    <w:rsid w:val="0D6E21C2"/>
    <w:rsid w:val="0D6E42F3"/>
    <w:rsid w:val="0D7116ED"/>
    <w:rsid w:val="0D783105"/>
    <w:rsid w:val="0D784215"/>
    <w:rsid w:val="0D7A6610"/>
    <w:rsid w:val="0D8368AF"/>
    <w:rsid w:val="0D8609C6"/>
    <w:rsid w:val="0D8838E1"/>
    <w:rsid w:val="0D8E6B48"/>
    <w:rsid w:val="0D904269"/>
    <w:rsid w:val="0D9378B6"/>
    <w:rsid w:val="0D957AD2"/>
    <w:rsid w:val="0D965E01"/>
    <w:rsid w:val="0D9771BF"/>
    <w:rsid w:val="0D9C2C0E"/>
    <w:rsid w:val="0DA03D74"/>
    <w:rsid w:val="0DA16809"/>
    <w:rsid w:val="0DA35CC7"/>
    <w:rsid w:val="0DAD4E1B"/>
    <w:rsid w:val="0DB333E3"/>
    <w:rsid w:val="0DB37F58"/>
    <w:rsid w:val="0DB461AA"/>
    <w:rsid w:val="0DB55A7E"/>
    <w:rsid w:val="0DB5782C"/>
    <w:rsid w:val="0DB92613"/>
    <w:rsid w:val="0DBF68FD"/>
    <w:rsid w:val="0DC022DF"/>
    <w:rsid w:val="0DC3019B"/>
    <w:rsid w:val="0DCD445C"/>
    <w:rsid w:val="0DD73C46"/>
    <w:rsid w:val="0DD8076D"/>
    <w:rsid w:val="0DD85A87"/>
    <w:rsid w:val="0DDA1988"/>
    <w:rsid w:val="0DDD6D83"/>
    <w:rsid w:val="0DE545B5"/>
    <w:rsid w:val="0DE95727"/>
    <w:rsid w:val="0DEE2BFC"/>
    <w:rsid w:val="0DEE408A"/>
    <w:rsid w:val="0DF02010"/>
    <w:rsid w:val="0DF26CD2"/>
    <w:rsid w:val="0DF53FDF"/>
    <w:rsid w:val="0DFC6334"/>
    <w:rsid w:val="0DFD060A"/>
    <w:rsid w:val="0DFD78B7"/>
    <w:rsid w:val="0E0013EF"/>
    <w:rsid w:val="0E074C7B"/>
    <w:rsid w:val="0E082052"/>
    <w:rsid w:val="0E094EF4"/>
    <w:rsid w:val="0E097B78"/>
    <w:rsid w:val="0E0B7D94"/>
    <w:rsid w:val="0E1409F6"/>
    <w:rsid w:val="0E1434A7"/>
    <w:rsid w:val="0E1704E7"/>
    <w:rsid w:val="0E1F1149"/>
    <w:rsid w:val="0E2140D4"/>
    <w:rsid w:val="0E214EC1"/>
    <w:rsid w:val="0E26072A"/>
    <w:rsid w:val="0E285C93"/>
    <w:rsid w:val="0E294B7B"/>
    <w:rsid w:val="0E296557"/>
    <w:rsid w:val="0E29660B"/>
    <w:rsid w:val="0E2B5D40"/>
    <w:rsid w:val="0E337741"/>
    <w:rsid w:val="0E356BBF"/>
    <w:rsid w:val="0E3A7BBC"/>
    <w:rsid w:val="0E3C1CFB"/>
    <w:rsid w:val="0E3C6626"/>
    <w:rsid w:val="0E4137B5"/>
    <w:rsid w:val="0E43752E"/>
    <w:rsid w:val="0E470BD3"/>
    <w:rsid w:val="0E4911BF"/>
    <w:rsid w:val="0E4A0618"/>
    <w:rsid w:val="0E4A0A8E"/>
    <w:rsid w:val="0E4C695B"/>
    <w:rsid w:val="0E4E5C66"/>
    <w:rsid w:val="0E4F5ED2"/>
    <w:rsid w:val="0E5057A7"/>
    <w:rsid w:val="0E521078"/>
    <w:rsid w:val="0E527771"/>
    <w:rsid w:val="0E536488"/>
    <w:rsid w:val="0E552DBD"/>
    <w:rsid w:val="0E552FD0"/>
    <w:rsid w:val="0E557D0D"/>
    <w:rsid w:val="0E563C45"/>
    <w:rsid w:val="0E5E1C72"/>
    <w:rsid w:val="0E6B25E0"/>
    <w:rsid w:val="0E6D0107"/>
    <w:rsid w:val="0E6F05A5"/>
    <w:rsid w:val="0E7476E7"/>
    <w:rsid w:val="0E772D33"/>
    <w:rsid w:val="0E796AAB"/>
    <w:rsid w:val="0E7C0D4C"/>
    <w:rsid w:val="0E7C47EE"/>
    <w:rsid w:val="0E7E40C2"/>
    <w:rsid w:val="0E83792A"/>
    <w:rsid w:val="0E8813E4"/>
    <w:rsid w:val="0E9246B3"/>
    <w:rsid w:val="0E9733D5"/>
    <w:rsid w:val="0E996780"/>
    <w:rsid w:val="0E9B1118"/>
    <w:rsid w:val="0E9B4435"/>
    <w:rsid w:val="0E9D6C3E"/>
    <w:rsid w:val="0E9F20E3"/>
    <w:rsid w:val="0EA02077"/>
    <w:rsid w:val="0EA07AC5"/>
    <w:rsid w:val="0EA16002"/>
    <w:rsid w:val="0EA224A6"/>
    <w:rsid w:val="0EAA4EB7"/>
    <w:rsid w:val="0EAD7F26"/>
    <w:rsid w:val="0EAE31C6"/>
    <w:rsid w:val="0EB256CB"/>
    <w:rsid w:val="0EB465BD"/>
    <w:rsid w:val="0EB66E30"/>
    <w:rsid w:val="0EB83A78"/>
    <w:rsid w:val="0EC248F6"/>
    <w:rsid w:val="0EC51CF1"/>
    <w:rsid w:val="0ECA521F"/>
    <w:rsid w:val="0ECD6DF7"/>
    <w:rsid w:val="0ED140CD"/>
    <w:rsid w:val="0ED168E7"/>
    <w:rsid w:val="0ED21347"/>
    <w:rsid w:val="0ED77A52"/>
    <w:rsid w:val="0EDB1514"/>
    <w:rsid w:val="0EDE2DB2"/>
    <w:rsid w:val="0EE303C9"/>
    <w:rsid w:val="0EE63E27"/>
    <w:rsid w:val="0EE7610B"/>
    <w:rsid w:val="0EE978C9"/>
    <w:rsid w:val="0EEA1757"/>
    <w:rsid w:val="0EEA79A9"/>
    <w:rsid w:val="0EEB5186"/>
    <w:rsid w:val="0EF3685E"/>
    <w:rsid w:val="0EF425D6"/>
    <w:rsid w:val="0EF53A43"/>
    <w:rsid w:val="0EF95E3E"/>
    <w:rsid w:val="0F006F15"/>
    <w:rsid w:val="0F052A35"/>
    <w:rsid w:val="0F07055B"/>
    <w:rsid w:val="0F082129"/>
    <w:rsid w:val="0F087E2F"/>
    <w:rsid w:val="0F152C78"/>
    <w:rsid w:val="0F17111B"/>
    <w:rsid w:val="0F1802A8"/>
    <w:rsid w:val="0F1D38DB"/>
    <w:rsid w:val="0F1D7D7F"/>
    <w:rsid w:val="0F220EF1"/>
    <w:rsid w:val="0F235963"/>
    <w:rsid w:val="0F2410E0"/>
    <w:rsid w:val="0F2904D1"/>
    <w:rsid w:val="0F362BEE"/>
    <w:rsid w:val="0F38025F"/>
    <w:rsid w:val="0F39623B"/>
    <w:rsid w:val="0F40288F"/>
    <w:rsid w:val="0F43251D"/>
    <w:rsid w:val="0F456EC4"/>
    <w:rsid w:val="0F515A6B"/>
    <w:rsid w:val="0F5A2BFE"/>
    <w:rsid w:val="0F5B1EE7"/>
    <w:rsid w:val="0F607C6B"/>
    <w:rsid w:val="0F61431B"/>
    <w:rsid w:val="0F64150A"/>
    <w:rsid w:val="0F6E4136"/>
    <w:rsid w:val="0F6E5418"/>
    <w:rsid w:val="0F7335C5"/>
    <w:rsid w:val="0F744C35"/>
    <w:rsid w:val="0F751969"/>
    <w:rsid w:val="0F796797"/>
    <w:rsid w:val="0F7A6D8E"/>
    <w:rsid w:val="0F7C2A82"/>
    <w:rsid w:val="0F7C2CF7"/>
    <w:rsid w:val="0F824086"/>
    <w:rsid w:val="0F861008"/>
    <w:rsid w:val="0F8704DA"/>
    <w:rsid w:val="0F895F66"/>
    <w:rsid w:val="0F8B4CE8"/>
    <w:rsid w:val="0F94421F"/>
    <w:rsid w:val="0F9F0794"/>
    <w:rsid w:val="0F9F2542"/>
    <w:rsid w:val="0F9F379D"/>
    <w:rsid w:val="0FA22032"/>
    <w:rsid w:val="0FA67D74"/>
    <w:rsid w:val="0FAB7138"/>
    <w:rsid w:val="0FAC4C5F"/>
    <w:rsid w:val="0FAE1B3D"/>
    <w:rsid w:val="0FB13B6D"/>
    <w:rsid w:val="0FB22C0A"/>
    <w:rsid w:val="0FBD6E6C"/>
    <w:rsid w:val="0FBF2BE4"/>
    <w:rsid w:val="0FC26FE7"/>
    <w:rsid w:val="0FC401FA"/>
    <w:rsid w:val="0FC66900"/>
    <w:rsid w:val="0FC7281C"/>
    <w:rsid w:val="0FC91CB4"/>
    <w:rsid w:val="0FD7617F"/>
    <w:rsid w:val="0FD91EF8"/>
    <w:rsid w:val="0FDD306A"/>
    <w:rsid w:val="0FDF6DE2"/>
    <w:rsid w:val="0FE4089C"/>
    <w:rsid w:val="0FE4264A"/>
    <w:rsid w:val="0FEA3AD6"/>
    <w:rsid w:val="0FEB6E16"/>
    <w:rsid w:val="0FED7B2A"/>
    <w:rsid w:val="0FF00FEF"/>
    <w:rsid w:val="0FF95DC6"/>
    <w:rsid w:val="0FFA3C1C"/>
    <w:rsid w:val="0FFE195E"/>
    <w:rsid w:val="10001F6E"/>
    <w:rsid w:val="10036F74"/>
    <w:rsid w:val="10042CED"/>
    <w:rsid w:val="10051DAE"/>
    <w:rsid w:val="10060D14"/>
    <w:rsid w:val="10066A51"/>
    <w:rsid w:val="10072DFF"/>
    <w:rsid w:val="100B2C10"/>
    <w:rsid w:val="100B7BD7"/>
    <w:rsid w:val="10124B1A"/>
    <w:rsid w:val="10125409"/>
    <w:rsid w:val="101A2510"/>
    <w:rsid w:val="101C5DF3"/>
    <w:rsid w:val="102424ED"/>
    <w:rsid w:val="10264A11"/>
    <w:rsid w:val="10284558"/>
    <w:rsid w:val="102A7BD6"/>
    <w:rsid w:val="102E7C6A"/>
    <w:rsid w:val="10305890"/>
    <w:rsid w:val="1030763E"/>
    <w:rsid w:val="10307AD1"/>
    <w:rsid w:val="1033613D"/>
    <w:rsid w:val="103510F8"/>
    <w:rsid w:val="10374E70"/>
    <w:rsid w:val="103A670E"/>
    <w:rsid w:val="104135F9"/>
    <w:rsid w:val="10417A9D"/>
    <w:rsid w:val="10456B0C"/>
    <w:rsid w:val="10463305"/>
    <w:rsid w:val="105477D0"/>
    <w:rsid w:val="1055127B"/>
    <w:rsid w:val="10572E1C"/>
    <w:rsid w:val="105932D2"/>
    <w:rsid w:val="105C0433"/>
    <w:rsid w:val="105C48D7"/>
    <w:rsid w:val="105E41AB"/>
    <w:rsid w:val="105F7F23"/>
    <w:rsid w:val="10616A49"/>
    <w:rsid w:val="10635C65"/>
    <w:rsid w:val="10667503"/>
    <w:rsid w:val="10691AB4"/>
    <w:rsid w:val="106B68C8"/>
    <w:rsid w:val="106D2640"/>
    <w:rsid w:val="106F0166"/>
    <w:rsid w:val="10740D75"/>
    <w:rsid w:val="10755FB8"/>
    <w:rsid w:val="107C0612"/>
    <w:rsid w:val="107C4E2A"/>
    <w:rsid w:val="107E4317"/>
    <w:rsid w:val="10802373"/>
    <w:rsid w:val="10863711"/>
    <w:rsid w:val="10883147"/>
    <w:rsid w:val="10973F7E"/>
    <w:rsid w:val="109A0F5B"/>
    <w:rsid w:val="10A27A44"/>
    <w:rsid w:val="10AA5642"/>
    <w:rsid w:val="10AD0C8E"/>
    <w:rsid w:val="10B206E1"/>
    <w:rsid w:val="10B45CF5"/>
    <w:rsid w:val="10BB5DC9"/>
    <w:rsid w:val="10BE6ECD"/>
    <w:rsid w:val="10C870A2"/>
    <w:rsid w:val="10CC3E81"/>
    <w:rsid w:val="10CF662A"/>
    <w:rsid w:val="10D206F5"/>
    <w:rsid w:val="10D6147E"/>
    <w:rsid w:val="10DF3C80"/>
    <w:rsid w:val="10E87F18"/>
    <w:rsid w:val="10EA5F52"/>
    <w:rsid w:val="10ED1D02"/>
    <w:rsid w:val="10F33F66"/>
    <w:rsid w:val="10F7015B"/>
    <w:rsid w:val="10FB3679"/>
    <w:rsid w:val="10FB5E9E"/>
    <w:rsid w:val="10FF1B4C"/>
    <w:rsid w:val="110237D8"/>
    <w:rsid w:val="11053860"/>
    <w:rsid w:val="1109680C"/>
    <w:rsid w:val="110A60E1"/>
    <w:rsid w:val="1111121D"/>
    <w:rsid w:val="111331E7"/>
    <w:rsid w:val="11162CD7"/>
    <w:rsid w:val="111C601E"/>
    <w:rsid w:val="111C620F"/>
    <w:rsid w:val="111F337A"/>
    <w:rsid w:val="112076B2"/>
    <w:rsid w:val="1122342A"/>
    <w:rsid w:val="11226A50"/>
    <w:rsid w:val="11287D75"/>
    <w:rsid w:val="112A0531"/>
    <w:rsid w:val="112C42A9"/>
    <w:rsid w:val="112F78F5"/>
    <w:rsid w:val="11325E55"/>
    <w:rsid w:val="11351D18"/>
    <w:rsid w:val="113A1430"/>
    <w:rsid w:val="113B273E"/>
    <w:rsid w:val="11494E5B"/>
    <w:rsid w:val="114E3535"/>
    <w:rsid w:val="11502A5D"/>
    <w:rsid w:val="11621A79"/>
    <w:rsid w:val="116B6410"/>
    <w:rsid w:val="116E48C1"/>
    <w:rsid w:val="1173399A"/>
    <w:rsid w:val="11744091"/>
    <w:rsid w:val="11777A55"/>
    <w:rsid w:val="117A14B8"/>
    <w:rsid w:val="117C2CAF"/>
    <w:rsid w:val="117D32A8"/>
    <w:rsid w:val="118771A0"/>
    <w:rsid w:val="118E7D16"/>
    <w:rsid w:val="11904838"/>
    <w:rsid w:val="11934328"/>
    <w:rsid w:val="11943E08"/>
    <w:rsid w:val="1194410A"/>
    <w:rsid w:val="11977084"/>
    <w:rsid w:val="119B75C7"/>
    <w:rsid w:val="11A04FED"/>
    <w:rsid w:val="11A36E95"/>
    <w:rsid w:val="11A43DCD"/>
    <w:rsid w:val="11A872DE"/>
    <w:rsid w:val="11AB78C4"/>
    <w:rsid w:val="11AD38A1"/>
    <w:rsid w:val="11B934E8"/>
    <w:rsid w:val="11BD13A5"/>
    <w:rsid w:val="11BD75F7"/>
    <w:rsid w:val="11C07F30"/>
    <w:rsid w:val="11C24C0D"/>
    <w:rsid w:val="11CB1F54"/>
    <w:rsid w:val="11CC64D3"/>
    <w:rsid w:val="11D31B72"/>
    <w:rsid w:val="11D63897"/>
    <w:rsid w:val="11DA1F57"/>
    <w:rsid w:val="11DD1A47"/>
    <w:rsid w:val="11E06182"/>
    <w:rsid w:val="11E20E0C"/>
    <w:rsid w:val="11E64458"/>
    <w:rsid w:val="11E93F48"/>
    <w:rsid w:val="11F13A88"/>
    <w:rsid w:val="11F31F18"/>
    <w:rsid w:val="11F35990"/>
    <w:rsid w:val="11F50B3F"/>
    <w:rsid w:val="11F612D3"/>
    <w:rsid w:val="11FC1ECD"/>
    <w:rsid w:val="12040D82"/>
    <w:rsid w:val="12045226"/>
    <w:rsid w:val="12054B59"/>
    <w:rsid w:val="120863C7"/>
    <w:rsid w:val="12086726"/>
    <w:rsid w:val="120A5069"/>
    <w:rsid w:val="12103BCB"/>
    <w:rsid w:val="121960FF"/>
    <w:rsid w:val="121A313E"/>
    <w:rsid w:val="121A67F7"/>
    <w:rsid w:val="1220326C"/>
    <w:rsid w:val="122A6C3F"/>
    <w:rsid w:val="123526C4"/>
    <w:rsid w:val="12360E39"/>
    <w:rsid w:val="123C051C"/>
    <w:rsid w:val="123E414F"/>
    <w:rsid w:val="123F24AA"/>
    <w:rsid w:val="125515DD"/>
    <w:rsid w:val="125735A8"/>
    <w:rsid w:val="125A7AA6"/>
    <w:rsid w:val="125C296C"/>
    <w:rsid w:val="126A321F"/>
    <w:rsid w:val="1272000B"/>
    <w:rsid w:val="12723F3D"/>
    <w:rsid w:val="12747CB6"/>
    <w:rsid w:val="127E6D86"/>
    <w:rsid w:val="12810624"/>
    <w:rsid w:val="128413AE"/>
    <w:rsid w:val="128A572B"/>
    <w:rsid w:val="128A6758"/>
    <w:rsid w:val="128F15C7"/>
    <w:rsid w:val="128F2D41"/>
    <w:rsid w:val="12902616"/>
    <w:rsid w:val="12985F6F"/>
    <w:rsid w:val="129F0E57"/>
    <w:rsid w:val="129F5A65"/>
    <w:rsid w:val="12A12A75"/>
    <w:rsid w:val="12A62B0D"/>
    <w:rsid w:val="12AA451D"/>
    <w:rsid w:val="12B268AA"/>
    <w:rsid w:val="12B549BD"/>
    <w:rsid w:val="12BA7692"/>
    <w:rsid w:val="12C30BED"/>
    <w:rsid w:val="12C32F26"/>
    <w:rsid w:val="12C63CBE"/>
    <w:rsid w:val="12CD5618"/>
    <w:rsid w:val="12CE2527"/>
    <w:rsid w:val="12D270D2"/>
    <w:rsid w:val="12DE7825"/>
    <w:rsid w:val="12E666D9"/>
    <w:rsid w:val="12E82EF7"/>
    <w:rsid w:val="12E878DB"/>
    <w:rsid w:val="12EC0194"/>
    <w:rsid w:val="12F72695"/>
    <w:rsid w:val="12F9640D"/>
    <w:rsid w:val="12FC56ED"/>
    <w:rsid w:val="13053004"/>
    <w:rsid w:val="130866EA"/>
    <w:rsid w:val="130B7721"/>
    <w:rsid w:val="130D3782"/>
    <w:rsid w:val="130E7841"/>
    <w:rsid w:val="13135EB3"/>
    <w:rsid w:val="13145B25"/>
    <w:rsid w:val="13191D25"/>
    <w:rsid w:val="13217712"/>
    <w:rsid w:val="132316DC"/>
    <w:rsid w:val="1323348A"/>
    <w:rsid w:val="1324792E"/>
    <w:rsid w:val="13271457"/>
    <w:rsid w:val="13272FB7"/>
    <w:rsid w:val="132D2863"/>
    <w:rsid w:val="133053DB"/>
    <w:rsid w:val="133B6A25"/>
    <w:rsid w:val="133B79AC"/>
    <w:rsid w:val="133E02C4"/>
    <w:rsid w:val="133F6234"/>
    <w:rsid w:val="13405DEA"/>
    <w:rsid w:val="13421B62"/>
    <w:rsid w:val="134566BC"/>
    <w:rsid w:val="134753CA"/>
    <w:rsid w:val="134C29E0"/>
    <w:rsid w:val="13541895"/>
    <w:rsid w:val="13580A0A"/>
    <w:rsid w:val="1360648C"/>
    <w:rsid w:val="136617BC"/>
    <w:rsid w:val="136F66CF"/>
    <w:rsid w:val="137141F5"/>
    <w:rsid w:val="13727D5F"/>
    <w:rsid w:val="13734411"/>
    <w:rsid w:val="13741F37"/>
    <w:rsid w:val="137912FC"/>
    <w:rsid w:val="137B5074"/>
    <w:rsid w:val="137D5290"/>
    <w:rsid w:val="138008DC"/>
    <w:rsid w:val="13802363"/>
    <w:rsid w:val="13826402"/>
    <w:rsid w:val="13830CE4"/>
    <w:rsid w:val="13871C6A"/>
    <w:rsid w:val="13906D71"/>
    <w:rsid w:val="13912AE9"/>
    <w:rsid w:val="13920CCD"/>
    <w:rsid w:val="13961EAE"/>
    <w:rsid w:val="13972590"/>
    <w:rsid w:val="13974501"/>
    <w:rsid w:val="139908A5"/>
    <w:rsid w:val="139F2458"/>
    <w:rsid w:val="13A42943"/>
    <w:rsid w:val="13A66595"/>
    <w:rsid w:val="13AB3BAB"/>
    <w:rsid w:val="13AB53F8"/>
    <w:rsid w:val="13AC657F"/>
    <w:rsid w:val="13BC5DB8"/>
    <w:rsid w:val="13C24A51"/>
    <w:rsid w:val="13C42478"/>
    <w:rsid w:val="13C800FB"/>
    <w:rsid w:val="13DE01AE"/>
    <w:rsid w:val="13DF2573"/>
    <w:rsid w:val="13E069FD"/>
    <w:rsid w:val="13E62E35"/>
    <w:rsid w:val="13E7095B"/>
    <w:rsid w:val="13E75572"/>
    <w:rsid w:val="13EF52EF"/>
    <w:rsid w:val="13F6294C"/>
    <w:rsid w:val="13F762F6"/>
    <w:rsid w:val="13F97987"/>
    <w:rsid w:val="13FA41EA"/>
    <w:rsid w:val="13FF3EF7"/>
    <w:rsid w:val="13FF5CA5"/>
    <w:rsid w:val="1400303A"/>
    <w:rsid w:val="14025795"/>
    <w:rsid w:val="140421EF"/>
    <w:rsid w:val="14060DE1"/>
    <w:rsid w:val="14092680"/>
    <w:rsid w:val="1411552A"/>
    <w:rsid w:val="14121CFA"/>
    <w:rsid w:val="141310F8"/>
    <w:rsid w:val="14173200"/>
    <w:rsid w:val="141860EE"/>
    <w:rsid w:val="141B5B83"/>
    <w:rsid w:val="141C7294"/>
    <w:rsid w:val="141F1EA3"/>
    <w:rsid w:val="14276FAA"/>
    <w:rsid w:val="14294AD0"/>
    <w:rsid w:val="142C09E8"/>
    <w:rsid w:val="14305E5E"/>
    <w:rsid w:val="14346B76"/>
    <w:rsid w:val="14357918"/>
    <w:rsid w:val="14360F18"/>
    <w:rsid w:val="143811B7"/>
    <w:rsid w:val="14392305"/>
    <w:rsid w:val="14486567"/>
    <w:rsid w:val="144B2C98"/>
    <w:rsid w:val="14507177"/>
    <w:rsid w:val="145C4EA5"/>
    <w:rsid w:val="145D29CB"/>
    <w:rsid w:val="145D4214"/>
    <w:rsid w:val="14627FE2"/>
    <w:rsid w:val="1471073F"/>
    <w:rsid w:val="1485199D"/>
    <w:rsid w:val="14865B6C"/>
    <w:rsid w:val="148D60AB"/>
    <w:rsid w:val="14911599"/>
    <w:rsid w:val="14962841"/>
    <w:rsid w:val="14983A03"/>
    <w:rsid w:val="149A3C1F"/>
    <w:rsid w:val="14A30D26"/>
    <w:rsid w:val="14A405FA"/>
    <w:rsid w:val="14A762CF"/>
    <w:rsid w:val="14A8633C"/>
    <w:rsid w:val="14A95C11"/>
    <w:rsid w:val="14AD7B9C"/>
    <w:rsid w:val="14AE6EE2"/>
    <w:rsid w:val="14B44CE1"/>
    <w:rsid w:val="14BE790E"/>
    <w:rsid w:val="14C06253"/>
    <w:rsid w:val="14C20ED8"/>
    <w:rsid w:val="14C872F2"/>
    <w:rsid w:val="14CB1B54"/>
    <w:rsid w:val="14CF129F"/>
    <w:rsid w:val="14CF1B1B"/>
    <w:rsid w:val="14D273DE"/>
    <w:rsid w:val="14D40EDF"/>
    <w:rsid w:val="14DB04C0"/>
    <w:rsid w:val="14DF2DF6"/>
    <w:rsid w:val="14DF7B05"/>
    <w:rsid w:val="14E17C22"/>
    <w:rsid w:val="14E37E55"/>
    <w:rsid w:val="14E530ED"/>
    <w:rsid w:val="14E8498B"/>
    <w:rsid w:val="14E86BD0"/>
    <w:rsid w:val="14EA425F"/>
    <w:rsid w:val="14EC447B"/>
    <w:rsid w:val="14EF1875"/>
    <w:rsid w:val="14F234C5"/>
    <w:rsid w:val="14F52F16"/>
    <w:rsid w:val="14F72F12"/>
    <w:rsid w:val="14F93F9F"/>
    <w:rsid w:val="14FF1472"/>
    <w:rsid w:val="15077134"/>
    <w:rsid w:val="150D6C7B"/>
    <w:rsid w:val="151439D2"/>
    <w:rsid w:val="15165CA2"/>
    <w:rsid w:val="15186E22"/>
    <w:rsid w:val="15194B44"/>
    <w:rsid w:val="151D77DE"/>
    <w:rsid w:val="152051AC"/>
    <w:rsid w:val="15205ED3"/>
    <w:rsid w:val="152534C4"/>
    <w:rsid w:val="15265878"/>
    <w:rsid w:val="15284ADE"/>
    <w:rsid w:val="152A7A45"/>
    <w:rsid w:val="152D05F0"/>
    <w:rsid w:val="15365999"/>
    <w:rsid w:val="15373433"/>
    <w:rsid w:val="15393438"/>
    <w:rsid w:val="153A3F16"/>
    <w:rsid w:val="153B130E"/>
    <w:rsid w:val="15412BF0"/>
    <w:rsid w:val="154475E3"/>
    <w:rsid w:val="154B54F4"/>
    <w:rsid w:val="154C316C"/>
    <w:rsid w:val="154C6CC8"/>
    <w:rsid w:val="154D2A40"/>
    <w:rsid w:val="154E59C0"/>
    <w:rsid w:val="154F67B8"/>
    <w:rsid w:val="15510782"/>
    <w:rsid w:val="15567B46"/>
    <w:rsid w:val="155713D3"/>
    <w:rsid w:val="155D0ED5"/>
    <w:rsid w:val="155D7127"/>
    <w:rsid w:val="1568787A"/>
    <w:rsid w:val="156F3D9A"/>
    <w:rsid w:val="156F619B"/>
    <w:rsid w:val="15736F3C"/>
    <w:rsid w:val="15763D45"/>
    <w:rsid w:val="157708C6"/>
    <w:rsid w:val="15774823"/>
    <w:rsid w:val="157955E3"/>
    <w:rsid w:val="157E55BA"/>
    <w:rsid w:val="157F7AF6"/>
    <w:rsid w:val="15804BC3"/>
    <w:rsid w:val="15810768"/>
    <w:rsid w:val="158346B4"/>
    <w:rsid w:val="158F12AA"/>
    <w:rsid w:val="159468C1"/>
    <w:rsid w:val="15962639"/>
    <w:rsid w:val="159A0CB4"/>
    <w:rsid w:val="159E26D3"/>
    <w:rsid w:val="159E6A4F"/>
    <w:rsid w:val="159F14ED"/>
    <w:rsid w:val="15A303A4"/>
    <w:rsid w:val="15A308B2"/>
    <w:rsid w:val="15B30AF5"/>
    <w:rsid w:val="15B34F99"/>
    <w:rsid w:val="15B71A60"/>
    <w:rsid w:val="15BA4298"/>
    <w:rsid w:val="15BD6FF9"/>
    <w:rsid w:val="15BF393E"/>
    <w:rsid w:val="15BF5ABC"/>
    <w:rsid w:val="15C75667"/>
    <w:rsid w:val="15C77DD4"/>
    <w:rsid w:val="15C92400"/>
    <w:rsid w:val="15D114D0"/>
    <w:rsid w:val="15D373E9"/>
    <w:rsid w:val="15D53161"/>
    <w:rsid w:val="15D60A62"/>
    <w:rsid w:val="15D704BB"/>
    <w:rsid w:val="15DA2525"/>
    <w:rsid w:val="15DB2014"/>
    <w:rsid w:val="15DF7B3C"/>
    <w:rsid w:val="15E16E62"/>
    <w:rsid w:val="15E213DA"/>
    <w:rsid w:val="15E40C88"/>
    <w:rsid w:val="15E52CE0"/>
    <w:rsid w:val="15EC04AB"/>
    <w:rsid w:val="15F31CC5"/>
    <w:rsid w:val="15F4066B"/>
    <w:rsid w:val="15F5110D"/>
    <w:rsid w:val="15F706AA"/>
    <w:rsid w:val="15FA4976"/>
    <w:rsid w:val="15FD578A"/>
    <w:rsid w:val="160948EA"/>
    <w:rsid w:val="16220333"/>
    <w:rsid w:val="16247C45"/>
    <w:rsid w:val="16303DCB"/>
    <w:rsid w:val="163065E9"/>
    <w:rsid w:val="16332694"/>
    <w:rsid w:val="1635775C"/>
    <w:rsid w:val="16421F12"/>
    <w:rsid w:val="1642632E"/>
    <w:rsid w:val="16442095"/>
    <w:rsid w:val="164B3423"/>
    <w:rsid w:val="164B51D1"/>
    <w:rsid w:val="164E0880"/>
    <w:rsid w:val="165027E8"/>
    <w:rsid w:val="1651030E"/>
    <w:rsid w:val="165241DD"/>
    <w:rsid w:val="165453C2"/>
    <w:rsid w:val="16551655"/>
    <w:rsid w:val="165D2399"/>
    <w:rsid w:val="16646293"/>
    <w:rsid w:val="16685D83"/>
    <w:rsid w:val="1669631E"/>
    <w:rsid w:val="16730284"/>
    <w:rsid w:val="167C5922"/>
    <w:rsid w:val="167D1693"/>
    <w:rsid w:val="167F4E7B"/>
    <w:rsid w:val="16832BBD"/>
    <w:rsid w:val="168406E3"/>
    <w:rsid w:val="1684629D"/>
    <w:rsid w:val="168626AD"/>
    <w:rsid w:val="168C319F"/>
    <w:rsid w:val="168D7598"/>
    <w:rsid w:val="16924BAE"/>
    <w:rsid w:val="1694550C"/>
    <w:rsid w:val="1695644C"/>
    <w:rsid w:val="169E164B"/>
    <w:rsid w:val="16A06066"/>
    <w:rsid w:val="16A82624"/>
    <w:rsid w:val="16AA4468"/>
    <w:rsid w:val="16AA639C"/>
    <w:rsid w:val="16B20605"/>
    <w:rsid w:val="16B34B25"/>
    <w:rsid w:val="16BF34C9"/>
    <w:rsid w:val="16C136E5"/>
    <w:rsid w:val="16C44F84"/>
    <w:rsid w:val="16C564D6"/>
    <w:rsid w:val="16C94348"/>
    <w:rsid w:val="16CA259A"/>
    <w:rsid w:val="16CB4564"/>
    <w:rsid w:val="16CF7BB0"/>
    <w:rsid w:val="16D23900"/>
    <w:rsid w:val="16D36956"/>
    <w:rsid w:val="16D74CB7"/>
    <w:rsid w:val="16D7540A"/>
    <w:rsid w:val="16DC7FD2"/>
    <w:rsid w:val="16DF03E9"/>
    <w:rsid w:val="16E42F30"/>
    <w:rsid w:val="16EE60F3"/>
    <w:rsid w:val="16EF08D9"/>
    <w:rsid w:val="16EF3DAF"/>
    <w:rsid w:val="16F2564D"/>
    <w:rsid w:val="16FA2DB5"/>
    <w:rsid w:val="16FE0496"/>
    <w:rsid w:val="16FE2244"/>
    <w:rsid w:val="17045380"/>
    <w:rsid w:val="17077F2B"/>
    <w:rsid w:val="17101F77"/>
    <w:rsid w:val="1715758D"/>
    <w:rsid w:val="171750B3"/>
    <w:rsid w:val="171B605C"/>
    <w:rsid w:val="171E736C"/>
    <w:rsid w:val="172120C7"/>
    <w:rsid w:val="17237EFC"/>
    <w:rsid w:val="172422A9"/>
    <w:rsid w:val="17255A22"/>
    <w:rsid w:val="172577D0"/>
    <w:rsid w:val="172D166A"/>
    <w:rsid w:val="172D48D7"/>
    <w:rsid w:val="172E53E9"/>
    <w:rsid w:val="17312619"/>
    <w:rsid w:val="173619DD"/>
    <w:rsid w:val="17367C2F"/>
    <w:rsid w:val="17386D59"/>
    <w:rsid w:val="173B6FF4"/>
    <w:rsid w:val="173C3387"/>
    <w:rsid w:val="173D10BB"/>
    <w:rsid w:val="173E4D36"/>
    <w:rsid w:val="17400AAE"/>
    <w:rsid w:val="1743129B"/>
    <w:rsid w:val="1743234C"/>
    <w:rsid w:val="17435EA8"/>
    <w:rsid w:val="17457E73"/>
    <w:rsid w:val="17467C1C"/>
    <w:rsid w:val="1747139D"/>
    <w:rsid w:val="174721C5"/>
    <w:rsid w:val="174D6C7D"/>
    <w:rsid w:val="174F3B50"/>
    <w:rsid w:val="174F484D"/>
    <w:rsid w:val="174F6F43"/>
    <w:rsid w:val="17515291"/>
    <w:rsid w:val="175235D3"/>
    <w:rsid w:val="17527900"/>
    <w:rsid w:val="17555BDC"/>
    <w:rsid w:val="175759E5"/>
    <w:rsid w:val="17575DF8"/>
    <w:rsid w:val="175B69DC"/>
    <w:rsid w:val="175C6F6A"/>
    <w:rsid w:val="175E0F34"/>
    <w:rsid w:val="175E6B6A"/>
    <w:rsid w:val="17604CAC"/>
    <w:rsid w:val="1764287E"/>
    <w:rsid w:val="17667206"/>
    <w:rsid w:val="177249E0"/>
    <w:rsid w:val="17735C02"/>
    <w:rsid w:val="1776002C"/>
    <w:rsid w:val="177C13BA"/>
    <w:rsid w:val="177F14EE"/>
    <w:rsid w:val="17891FCA"/>
    <w:rsid w:val="178A7F7B"/>
    <w:rsid w:val="17946704"/>
    <w:rsid w:val="17981D0B"/>
    <w:rsid w:val="179E4A77"/>
    <w:rsid w:val="17A34B99"/>
    <w:rsid w:val="17A50911"/>
    <w:rsid w:val="17A5226F"/>
    <w:rsid w:val="17A75B29"/>
    <w:rsid w:val="17AC6144"/>
    <w:rsid w:val="17AD77C6"/>
    <w:rsid w:val="17AE3C6A"/>
    <w:rsid w:val="17B62B1E"/>
    <w:rsid w:val="17BD4979"/>
    <w:rsid w:val="17BF6981"/>
    <w:rsid w:val="17C50FB3"/>
    <w:rsid w:val="17CA0378"/>
    <w:rsid w:val="17CA6173"/>
    <w:rsid w:val="17CA6547"/>
    <w:rsid w:val="17CA65CA"/>
    <w:rsid w:val="17CE6C61"/>
    <w:rsid w:val="17CF3BE0"/>
    <w:rsid w:val="17D2722C"/>
    <w:rsid w:val="17D411F6"/>
    <w:rsid w:val="17D47866"/>
    <w:rsid w:val="17D52699"/>
    <w:rsid w:val="17D64F6F"/>
    <w:rsid w:val="17DB07D7"/>
    <w:rsid w:val="17DD3D91"/>
    <w:rsid w:val="17DD454F"/>
    <w:rsid w:val="17DF5B98"/>
    <w:rsid w:val="17E21B65"/>
    <w:rsid w:val="17E64F15"/>
    <w:rsid w:val="17F673BF"/>
    <w:rsid w:val="17FC7FF8"/>
    <w:rsid w:val="17FD074D"/>
    <w:rsid w:val="17FD7414"/>
    <w:rsid w:val="18003D99"/>
    <w:rsid w:val="18005E60"/>
    <w:rsid w:val="180513B0"/>
    <w:rsid w:val="1807554D"/>
    <w:rsid w:val="180875DD"/>
    <w:rsid w:val="18100480"/>
    <w:rsid w:val="18134AB0"/>
    <w:rsid w:val="181D0DEF"/>
    <w:rsid w:val="181D2B9D"/>
    <w:rsid w:val="181F387F"/>
    <w:rsid w:val="182201B4"/>
    <w:rsid w:val="18241E46"/>
    <w:rsid w:val="182C1032"/>
    <w:rsid w:val="18302C42"/>
    <w:rsid w:val="18371DC4"/>
    <w:rsid w:val="183D02EF"/>
    <w:rsid w:val="183D4FEE"/>
    <w:rsid w:val="18491BE4"/>
    <w:rsid w:val="184E4D3B"/>
    <w:rsid w:val="184E71FB"/>
    <w:rsid w:val="185C36C6"/>
    <w:rsid w:val="185D40D7"/>
    <w:rsid w:val="185F34CB"/>
    <w:rsid w:val="18694035"/>
    <w:rsid w:val="186C3648"/>
    <w:rsid w:val="18723928"/>
    <w:rsid w:val="18773C95"/>
    <w:rsid w:val="187E47B3"/>
    <w:rsid w:val="18860BB9"/>
    <w:rsid w:val="18884AFD"/>
    <w:rsid w:val="18890233"/>
    <w:rsid w:val="188B5D59"/>
    <w:rsid w:val="188B7B07"/>
    <w:rsid w:val="189270E7"/>
    <w:rsid w:val="18934C0E"/>
    <w:rsid w:val="189746FE"/>
    <w:rsid w:val="189F35B2"/>
    <w:rsid w:val="18A84B5D"/>
    <w:rsid w:val="18A858F9"/>
    <w:rsid w:val="18A961DF"/>
    <w:rsid w:val="18AC4D5A"/>
    <w:rsid w:val="18AE1FE9"/>
    <w:rsid w:val="18B4763C"/>
    <w:rsid w:val="18B84674"/>
    <w:rsid w:val="18BA663E"/>
    <w:rsid w:val="18BC23B6"/>
    <w:rsid w:val="18BC7EEF"/>
    <w:rsid w:val="18BE588E"/>
    <w:rsid w:val="18C56A10"/>
    <w:rsid w:val="18CD6371"/>
    <w:rsid w:val="18D94D16"/>
    <w:rsid w:val="18DC02FF"/>
    <w:rsid w:val="18DE057F"/>
    <w:rsid w:val="18E25578"/>
    <w:rsid w:val="18E30F8A"/>
    <w:rsid w:val="18E45469"/>
    <w:rsid w:val="18E61C15"/>
    <w:rsid w:val="18E82CD9"/>
    <w:rsid w:val="18EB2C9C"/>
    <w:rsid w:val="18ED6A14"/>
    <w:rsid w:val="18EE0096"/>
    <w:rsid w:val="18F25DD8"/>
    <w:rsid w:val="18F77EEF"/>
    <w:rsid w:val="18FC27B3"/>
    <w:rsid w:val="19041CBE"/>
    <w:rsid w:val="19045B0B"/>
    <w:rsid w:val="1906204F"/>
    <w:rsid w:val="190A1374"/>
    <w:rsid w:val="190B0C48"/>
    <w:rsid w:val="190B50EC"/>
    <w:rsid w:val="191479B4"/>
    <w:rsid w:val="19157D18"/>
    <w:rsid w:val="19175453"/>
    <w:rsid w:val="191775ED"/>
    <w:rsid w:val="19241D0A"/>
    <w:rsid w:val="192F4936"/>
    <w:rsid w:val="19332236"/>
    <w:rsid w:val="19382B57"/>
    <w:rsid w:val="1938516E"/>
    <w:rsid w:val="193B777F"/>
    <w:rsid w:val="193F3921"/>
    <w:rsid w:val="19434886"/>
    <w:rsid w:val="194C2D7E"/>
    <w:rsid w:val="19560D8E"/>
    <w:rsid w:val="195B1BCF"/>
    <w:rsid w:val="195C76F5"/>
    <w:rsid w:val="195F55F7"/>
    <w:rsid w:val="19600F94"/>
    <w:rsid w:val="19611EE2"/>
    <w:rsid w:val="19650358"/>
    <w:rsid w:val="19662322"/>
    <w:rsid w:val="19687E48"/>
    <w:rsid w:val="196E7277"/>
    <w:rsid w:val="19713BDF"/>
    <w:rsid w:val="1976521A"/>
    <w:rsid w:val="19767ADA"/>
    <w:rsid w:val="19792055"/>
    <w:rsid w:val="197D7D98"/>
    <w:rsid w:val="197E3186"/>
    <w:rsid w:val="197E61E3"/>
    <w:rsid w:val="19800A63"/>
    <w:rsid w:val="19856C4C"/>
    <w:rsid w:val="1987566D"/>
    <w:rsid w:val="198C0AC2"/>
    <w:rsid w:val="19911EC9"/>
    <w:rsid w:val="19924070"/>
    <w:rsid w:val="199926F8"/>
    <w:rsid w:val="199B1FCC"/>
    <w:rsid w:val="199B52F9"/>
    <w:rsid w:val="19A05834"/>
    <w:rsid w:val="19A10856"/>
    <w:rsid w:val="19A36A6E"/>
    <w:rsid w:val="19AC267A"/>
    <w:rsid w:val="19AE61A3"/>
    <w:rsid w:val="19B150A8"/>
    <w:rsid w:val="19B65058"/>
    <w:rsid w:val="19BC1F42"/>
    <w:rsid w:val="19BE3F0C"/>
    <w:rsid w:val="19C332D1"/>
    <w:rsid w:val="19C5236C"/>
    <w:rsid w:val="19CA28B1"/>
    <w:rsid w:val="19CC487B"/>
    <w:rsid w:val="19D35C0A"/>
    <w:rsid w:val="19D76D7C"/>
    <w:rsid w:val="19D84FCE"/>
    <w:rsid w:val="19DB4ABE"/>
    <w:rsid w:val="19E971DB"/>
    <w:rsid w:val="19EB3DD4"/>
    <w:rsid w:val="19EB461F"/>
    <w:rsid w:val="19ED453B"/>
    <w:rsid w:val="19EF056A"/>
    <w:rsid w:val="19F81246"/>
    <w:rsid w:val="1A04497A"/>
    <w:rsid w:val="1A0B5C7A"/>
    <w:rsid w:val="1A134258"/>
    <w:rsid w:val="1A18361C"/>
    <w:rsid w:val="1A19345F"/>
    <w:rsid w:val="1A1C3315"/>
    <w:rsid w:val="1A1D3CEF"/>
    <w:rsid w:val="1A1F0E4F"/>
    <w:rsid w:val="1A25729D"/>
    <w:rsid w:val="1A2C5DF4"/>
    <w:rsid w:val="1A2E0437"/>
    <w:rsid w:val="1A341039"/>
    <w:rsid w:val="1A357D6B"/>
    <w:rsid w:val="1A361CF4"/>
    <w:rsid w:val="1A385A6D"/>
    <w:rsid w:val="1A3B730B"/>
    <w:rsid w:val="1A425633"/>
    <w:rsid w:val="1A4408B5"/>
    <w:rsid w:val="1A44721C"/>
    <w:rsid w:val="1A4C0767"/>
    <w:rsid w:val="1A514D80"/>
    <w:rsid w:val="1A530AF8"/>
    <w:rsid w:val="1A544563"/>
    <w:rsid w:val="1A555ADC"/>
    <w:rsid w:val="1A56667A"/>
    <w:rsid w:val="1A5F749D"/>
    <w:rsid w:val="1A6D6869"/>
    <w:rsid w:val="1A722B93"/>
    <w:rsid w:val="1A730B07"/>
    <w:rsid w:val="1A736AA5"/>
    <w:rsid w:val="1A742097"/>
    <w:rsid w:val="1A750A6F"/>
    <w:rsid w:val="1A7B1DFD"/>
    <w:rsid w:val="1A7C7171"/>
    <w:rsid w:val="1A807414"/>
    <w:rsid w:val="1A861E2C"/>
    <w:rsid w:val="1A922E78"/>
    <w:rsid w:val="1A962E09"/>
    <w:rsid w:val="1A98475D"/>
    <w:rsid w:val="1A9A7C01"/>
    <w:rsid w:val="1A9B3BB2"/>
    <w:rsid w:val="1A9C0424"/>
    <w:rsid w:val="1A9F105F"/>
    <w:rsid w:val="1AA11864"/>
    <w:rsid w:val="1AA749A0"/>
    <w:rsid w:val="1AA90718"/>
    <w:rsid w:val="1AA94F5A"/>
    <w:rsid w:val="1AA9696A"/>
    <w:rsid w:val="1AAC1FB7"/>
    <w:rsid w:val="1AB175CD"/>
    <w:rsid w:val="1AB26E57"/>
    <w:rsid w:val="1AB64932"/>
    <w:rsid w:val="1ABC669E"/>
    <w:rsid w:val="1AC217DA"/>
    <w:rsid w:val="1AC35C7E"/>
    <w:rsid w:val="1AC41C40"/>
    <w:rsid w:val="1AC45552"/>
    <w:rsid w:val="1AC60017"/>
    <w:rsid w:val="1AC63078"/>
    <w:rsid w:val="1AC6751C"/>
    <w:rsid w:val="1AC94917"/>
    <w:rsid w:val="1ACB068F"/>
    <w:rsid w:val="1AD02149"/>
    <w:rsid w:val="1AD35795"/>
    <w:rsid w:val="1AD5150D"/>
    <w:rsid w:val="1AD52AE7"/>
    <w:rsid w:val="1AD5775F"/>
    <w:rsid w:val="1AD6374C"/>
    <w:rsid w:val="1ADA2FC8"/>
    <w:rsid w:val="1ADA3D88"/>
    <w:rsid w:val="1ADC289C"/>
    <w:rsid w:val="1ADD03C2"/>
    <w:rsid w:val="1ADF3C68"/>
    <w:rsid w:val="1AE14356"/>
    <w:rsid w:val="1AE254F2"/>
    <w:rsid w:val="1AE371A2"/>
    <w:rsid w:val="1AE41750"/>
    <w:rsid w:val="1AEF729B"/>
    <w:rsid w:val="1AF009F4"/>
    <w:rsid w:val="1AF11DCA"/>
    <w:rsid w:val="1AF91C79"/>
    <w:rsid w:val="1AFC1190"/>
    <w:rsid w:val="1AFC2F3E"/>
    <w:rsid w:val="1AFF16D2"/>
    <w:rsid w:val="1B086E06"/>
    <w:rsid w:val="1B0E2C71"/>
    <w:rsid w:val="1B176781"/>
    <w:rsid w:val="1B23671D"/>
    <w:rsid w:val="1B280A3D"/>
    <w:rsid w:val="1B281F85"/>
    <w:rsid w:val="1B2B0976"/>
    <w:rsid w:val="1B2E4E30"/>
    <w:rsid w:val="1B315A15"/>
    <w:rsid w:val="1B364282"/>
    <w:rsid w:val="1B3721C8"/>
    <w:rsid w:val="1B3A3A66"/>
    <w:rsid w:val="1B3E3557"/>
    <w:rsid w:val="1B451F52"/>
    <w:rsid w:val="1B4641B9"/>
    <w:rsid w:val="1B4D5548"/>
    <w:rsid w:val="1B4E306E"/>
    <w:rsid w:val="1B537AC3"/>
    <w:rsid w:val="1B564018"/>
    <w:rsid w:val="1B59213E"/>
    <w:rsid w:val="1B5D1FEF"/>
    <w:rsid w:val="1B5D46B2"/>
    <w:rsid w:val="1B612549"/>
    <w:rsid w:val="1B650AE3"/>
    <w:rsid w:val="1B657425"/>
    <w:rsid w:val="1B6C00C4"/>
    <w:rsid w:val="1B6F680A"/>
    <w:rsid w:val="1B7156DA"/>
    <w:rsid w:val="1B7173EF"/>
    <w:rsid w:val="1B7D6571"/>
    <w:rsid w:val="1B7F0679"/>
    <w:rsid w:val="1B940A75"/>
    <w:rsid w:val="1B950C9D"/>
    <w:rsid w:val="1B963ADC"/>
    <w:rsid w:val="1B972C67"/>
    <w:rsid w:val="1B993A23"/>
    <w:rsid w:val="1B9C5D53"/>
    <w:rsid w:val="1B9E2247"/>
    <w:rsid w:val="1B9E5DA3"/>
    <w:rsid w:val="1B9F3C67"/>
    <w:rsid w:val="1BA64C58"/>
    <w:rsid w:val="1BA67CD5"/>
    <w:rsid w:val="1BAB4AC5"/>
    <w:rsid w:val="1BAF1D5E"/>
    <w:rsid w:val="1BB51EC1"/>
    <w:rsid w:val="1BB61551"/>
    <w:rsid w:val="1BB6659D"/>
    <w:rsid w:val="1BB90E2F"/>
    <w:rsid w:val="1BBE4697"/>
    <w:rsid w:val="1BC507A4"/>
    <w:rsid w:val="1BD23C9F"/>
    <w:rsid w:val="1BDC68CC"/>
    <w:rsid w:val="1BDE2999"/>
    <w:rsid w:val="1BE31EF1"/>
    <w:rsid w:val="1BE560E2"/>
    <w:rsid w:val="1BE73EBF"/>
    <w:rsid w:val="1BE7599C"/>
    <w:rsid w:val="1BE91714"/>
    <w:rsid w:val="1BEA548C"/>
    <w:rsid w:val="1BEF4851"/>
    <w:rsid w:val="1BF06CD1"/>
    <w:rsid w:val="1BF51F21"/>
    <w:rsid w:val="1C074B5F"/>
    <w:rsid w:val="1C177AE5"/>
    <w:rsid w:val="1C1B3B19"/>
    <w:rsid w:val="1C1C4F1A"/>
    <w:rsid w:val="1C1D13BE"/>
    <w:rsid w:val="1C1E66A8"/>
    <w:rsid w:val="1C204A0A"/>
    <w:rsid w:val="1C224C26"/>
    <w:rsid w:val="1C236CD9"/>
    <w:rsid w:val="1C2620CC"/>
    <w:rsid w:val="1C297D63"/>
    <w:rsid w:val="1C2A5889"/>
    <w:rsid w:val="1C2E35CB"/>
    <w:rsid w:val="1C2F6481"/>
    <w:rsid w:val="1C3109C5"/>
    <w:rsid w:val="1C314E69"/>
    <w:rsid w:val="1C32571D"/>
    <w:rsid w:val="1C34594F"/>
    <w:rsid w:val="1C387FA6"/>
    <w:rsid w:val="1C3F7586"/>
    <w:rsid w:val="1C44694B"/>
    <w:rsid w:val="1C47468D"/>
    <w:rsid w:val="1C4A7CD9"/>
    <w:rsid w:val="1C4C3A51"/>
    <w:rsid w:val="1C533032"/>
    <w:rsid w:val="1C56042C"/>
    <w:rsid w:val="1C562905"/>
    <w:rsid w:val="1C5D5C5E"/>
    <w:rsid w:val="1C5F3784"/>
    <w:rsid w:val="1C6074FD"/>
    <w:rsid w:val="1C640D9B"/>
    <w:rsid w:val="1C676DC2"/>
    <w:rsid w:val="1C694603"/>
    <w:rsid w:val="1C702409"/>
    <w:rsid w:val="1C710A47"/>
    <w:rsid w:val="1C733ECC"/>
    <w:rsid w:val="1C744EE3"/>
    <w:rsid w:val="1C752FA8"/>
    <w:rsid w:val="1C7865F4"/>
    <w:rsid w:val="1C7A236C"/>
    <w:rsid w:val="1C7C4725"/>
    <w:rsid w:val="1C876837"/>
    <w:rsid w:val="1C8A6328"/>
    <w:rsid w:val="1C8B619A"/>
    <w:rsid w:val="1C907DE2"/>
    <w:rsid w:val="1C915908"/>
    <w:rsid w:val="1C9A25A2"/>
    <w:rsid w:val="1C9D42AD"/>
    <w:rsid w:val="1C9D708C"/>
    <w:rsid w:val="1C9D721F"/>
    <w:rsid w:val="1CA67605"/>
    <w:rsid w:val="1CA7512B"/>
    <w:rsid w:val="1CB11B06"/>
    <w:rsid w:val="1CB30131"/>
    <w:rsid w:val="1CB80CC2"/>
    <w:rsid w:val="1CB810E7"/>
    <w:rsid w:val="1CBB4733"/>
    <w:rsid w:val="1CBC0BD7"/>
    <w:rsid w:val="1CBD04AB"/>
    <w:rsid w:val="1CBF06C7"/>
    <w:rsid w:val="1CC108CC"/>
    <w:rsid w:val="1CC23D13"/>
    <w:rsid w:val="1CCC64DC"/>
    <w:rsid w:val="1CCF1B3A"/>
    <w:rsid w:val="1CD423AD"/>
    <w:rsid w:val="1CDF48C5"/>
    <w:rsid w:val="1CE41EDC"/>
    <w:rsid w:val="1CE819CC"/>
    <w:rsid w:val="1CE912A0"/>
    <w:rsid w:val="1CEB326A"/>
    <w:rsid w:val="1CF3211F"/>
    <w:rsid w:val="1CF814E3"/>
    <w:rsid w:val="1CF85987"/>
    <w:rsid w:val="1CFA1EF9"/>
    <w:rsid w:val="1CFD4D4B"/>
    <w:rsid w:val="1CFF0AC4"/>
    <w:rsid w:val="1D0205B4"/>
    <w:rsid w:val="1D077918"/>
    <w:rsid w:val="1D0B56BA"/>
    <w:rsid w:val="1D0D0040"/>
    <w:rsid w:val="1D0D31E0"/>
    <w:rsid w:val="1D0E51AB"/>
    <w:rsid w:val="1D104A7F"/>
    <w:rsid w:val="1D1207F7"/>
    <w:rsid w:val="1D1741B0"/>
    <w:rsid w:val="1D183933"/>
    <w:rsid w:val="1D214EDE"/>
    <w:rsid w:val="1D2B18B9"/>
    <w:rsid w:val="1D2D3883"/>
    <w:rsid w:val="1D322646"/>
    <w:rsid w:val="1D3249F5"/>
    <w:rsid w:val="1D4053CC"/>
    <w:rsid w:val="1D440BCC"/>
    <w:rsid w:val="1D444728"/>
    <w:rsid w:val="1D455E38"/>
    <w:rsid w:val="1D4604A0"/>
    <w:rsid w:val="1D4D4C12"/>
    <w:rsid w:val="1D540E0F"/>
    <w:rsid w:val="1D543842"/>
    <w:rsid w:val="1D556936"/>
    <w:rsid w:val="1D567998"/>
    <w:rsid w:val="1D5726AE"/>
    <w:rsid w:val="1D57445C"/>
    <w:rsid w:val="1D5801D4"/>
    <w:rsid w:val="1D5A6AB3"/>
    <w:rsid w:val="1D5E1C8E"/>
    <w:rsid w:val="1D5E5D84"/>
    <w:rsid w:val="1D600881"/>
    <w:rsid w:val="1D623D91"/>
    <w:rsid w:val="1D66666E"/>
    <w:rsid w:val="1D666D95"/>
    <w:rsid w:val="1D682B0D"/>
    <w:rsid w:val="1D69418F"/>
    <w:rsid w:val="1D70376F"/>
    <w:rsid w:val="1D756FD8"/>
    <w:rsid w:val="1D772D50"/>
    <w:rsid w:val="1D7D3896"/>
    <w:rsid w:val="1D7E40DE"/>
    <w:rsid w:val="1D862F93"/>
    <w:rsid w:val="1D906065"/>
    <w:rsid w:val="1D910C13"/>
    <w:rsid w:val="1D94745E"/>
    <w:rsid w:val="1D965BCC"/>
    <w:rsid w:val="1D9C6312"/>
    <w:rsid w:val="1D9C78E8"/>
    <w:rsid w:val="1DA13929"/>
    <w:rsid w:val="1DAB29F9"/>
    <w:rsid w:val="1DAE343C"/>
    <w:rsid w:val="1DB1168D"/>
    <w:rsid w:val="1DB20172"/>
    <w:rsid w:val="1DB7139E"/>
    <w:rsid w:val="1DB93368"/>
    <w:rsid w:val="1DBB5B2A"/>
    <w:rsid w:val="1DC52FAB"/>
    <w:rsid w:val="1DC65322"/>
    <w:rsid w:val="1DC85359"/>
    <w:rsid w:val="1DCD2970"/>
    <w:rsid w:val="1DCF0496"/>
    <w:rsid w:val="1DD43CFE"/>
    <w:rsid w:val="1DD6628E"/>
    <w:rsid w:val="1DD663F1"/>
    <w:rsid w:val="1DD7559C"/>
    <w:rsid w:val="1DD91DFE"/>
    <w:rsid w:val="1DDA5495"/>
    <w:rsid w:val="1DDB32DF"/>
    <w:rsid w:val="1DE026A3"/>
    <w:rsid w:val="1DE1641B"/>
    <w:rsid w:val="1DE63A32"/>
    <w:rsid w:val="1DED4DC0"/>
    <w:rsid w:val="1DED6B6E"/>
    <w:rsid w:val="1DFD1C32"/>
    <w:rsid w:val="1E002D45"/>
    <w:rsid w:val="1E032835"/>
    <w:rsid w:val="1E0B0BB8"/>
    <w:rsid w:val="1E0F6BD4"/>
    <w:rsid w:val="1E0F7CB7"/>
    <w:rsid w:val="1E1660C5"/>
    <w:rsid w:val="1E1D56A5"/>
    <w:rsid w:val="1E1E141D"/>
    <w:rsid w:val="1E29229C"/>
    <w:rsid w:val="1E2A6014"/>
    <w:rsid w:val="1E2E43AA"/>
    <w:rsid w:val="1E360515"/>
    <w:rsid w:val="1E3812B5"/>
    <w:rsid w:val="1E426EBA"/>
    <w:rsid w:val="1E440365"/>
    <w:rsid w:val="1E463F1E"/>
    <w:rsid w:val="1E486A15"/>
    <w:rsid w:val="1E4B1C06"/>
    <w:rsid w:val="1E4B75AE"/>
    <w:rsid w:val="1E4E3AB1"/>
    <w:rsid w:val="1E4F7829"/>
    <w:rsid w:val="1E5633AE"/>
    <w:rsid w:val="1E567848"/>
    <w:rsid w:val="1E570B35"/>
    <w:rsid w:val="1E574EB5"/>
    <w:rsid w:val="1E5D3CF4"/>
    <w:rsid w:val="1E5F23BD"/>
    <w:rsid w:val="1E6169F7"/>
    <w:rsid w:val="1E6432D4"/>
    <w:rsid w:val="1E6A1572"/>
    <w:rsid w:val="1E7554E1"/>
    <w:rsid w:val="1E757DC6"/>
    <w:rsid w:val="1E780C87"/>
    <w:rsid w:val="1E780D78"/>
    <w:rsid w:val="1E786747"/>
    <w:rsid w:val="1E845724"/>
    <w:rsid w:val="1E87192B"/>
    <w:rsid w:val="1E890F8D"/>
    <w:rsid w:val="1E8F6EB7"/>
    <w:rsid w:val="1E933BB9"/>
    <w:rsid w:val="1E935967"/>
    <w:rsid w:val="1E9516DF"/>
    <w:rsid w:val="1E997FFF"/>
    <w:rsid w:val="1E9A4F48"/>
    <w:rsid w:val="1E9B0CC0"/>
    <w:rsid w:val="1E9F430C"/>
    <w:rsid w:val="1E9F4582"/>
    <w:rsid w:val="1EA2204E"/>
    <w:rsid w:val="1EA638ED"/>
    <w:rsid w:val="1EA96F39"/>
    <w:rsid w:val="1EAB4FBE"/>
    <w:rsid w:val="1EAC07D7"/>
    <w:rsid w:val="1EB64FA8"/>
    <w:rsid w:val="1EB8717C"/>
    <w:rsid w:val="1EBF050A"/>
    <w:rsid w:val="1EC024D4"/>
    <w:rsid w:val="1EC51899"/>
    <w:rsid w:val="1ECC090F"/>
    <w:rsid w:val="1ECE05AB"/>
    <w:rsid w:val="1ED65854"/>
    <w:rsid w:val="1ED95739"/>
    <w:rsid w:val="1EDA5344"/>
    <w:rsid w:val="1EE211AB"/>
    <w:rsid w:val="1EE7180F"/>
    <w:rsid w:val="1EED11DB"/>
    <w:rsid w:val="1EF53F2C"/>
    <w:rsid w:val="1EFD1E5A"/>
    <w:rsid w:val="1F00584E"/>
    <w:rsid w:val="1F010B23"/>
    <w:rsid w:val="1F071861"/>
    <w:rsid w:val="1F0D396C"/>
    <w:rsid w:val="1F132604"/>
    <w:rsid w:val="1F1545CE"/>
    <w:rsid w:val="1F1A3993"/>
    <w:rsid w:val="1F1B770B"/>
    <w:rsid w:val="1F1D7BFC"/>
    <w:rsid w:val="1F1F3C3A"/>
    <w:rsid w:val="1F202E63"/>
    <w:rsid w:val="1F226CEB"/>
    <w:rsid w:val="1F262338"/>
    <w:rsid w:val="1F302869"/>
    <w:rsid w:val="1F303DF5"/>
    <w:rsid w:val="1F360B38"/>
    <w:rsid w:val="1F3B03AF"/>
    <w:rsid w:val="1F3C7DAD"/>
    <w:rsid w:val="1F3F33F9"/>
    <w:rsid w:val="1F494A91"/>
    <w:rsid w:val="1F4A1709"/>
    <w:rsid w:val="1F542AF0"/>
    <w:rsid w:val="1F552C1D"/>
    <w:rsid w:val="1F6317DE"/>
    <w:rsid w:val="1F681905"/>
    <w:rsid w:val="1F6B2440"/>
    <w:rsid w:val="1F705CA9"/>
    <w:rsid w:val="1F707A57"/>
    <w:rsid w:val="1F731B56"/>
    <w:rsid w:val="1F74110F"/>
    <w:rsid w:val="1F7532BF"/>
    <w:rsid w:val="1F7E0296"/>
    <w:rsid w:val="1F844F28"/>
    <w:rsid w:val="1F8654CC"/>
    <w:rsid w:val="1F8B4890"/>
    <w:rsid w:val="1F8D0609"/>
    <w:rsid w:val="1F8E6EBD"/>
    <w:rsid w:val="1F95570F"/>
    <w:rsid w:val="1F9574BD"/>
    <w:rsid w:val="1F9A0F77"/>
    <w:rsid w:val="1F9B5D57"/>
    <w:rsid w:val="1F9C0172"/>
    <w:rsid w:val="1FA12306"/>
    <w:rsid w:val="1FA26029"/>
    <w:rsid w:val="1FA52E26"/>
    <w:rsid w:val="1FA53BA4"/>
    <w:rsid w:val="1FAB4F33"/>
    <w:rsid w:val="1FAD2A59"/>
    <w:rsid w:val="1FB121C4"/>
    <w:rsid w:val="1FB12B7B"/>
    <w:rsid w:val="1FB21E1D"/>
    <w:rsid w:val="1FB56D07"/>
    <w:rsid w:val="1FB7220A"/>
    <w:rsid w:val="1FC17307"/>
    <w:rsid w:val="1FCD088B"/>
    <w:rsid w:val="1FCF44DB"/>
    <w:rsid w:val="1FD20711"/>
    <w:rsid w:val="1FD60202"/>
    <w:rsid w:val="1FD61FB0"/>
    <w:rsid w:val="1FDA1374"/>
    <w:rsid w:val="1FDE7F6F"/>
    <w:rsid w:val="1FE346CD"/>
    <w:rsid w:val="1FEA7C53"/>
    <w:rsid w:val="1FEE7146"/>
    <w:rsid w:val="1FEF0EF4"/>
    <w:rsid w:val="1FF1600F"/>
    <w:rsid w:val="1FF45DCD"/>
    <w:rsid w:val="1FF563DD"/>
    <w:rsid w:val="1FFA64B0"/>
    <w:rsid w:val="20025A91"/>
    <w:rsid w:val="20047D3E"/>
    <w:rsid w:val="2006231E"/>
    <w:rsid w:val="200C6370"/>
    <w:rsid w:val="200D1749"/>
    <w:rsid w:val="2011402A"/>
    <w:rsid w:val="201168B8"/>
    <w:rsid w:val="201B5C14"/>
    <w:rsid w:val="201D4C4B"/>
    <w:rsid w:val="202111B2"/>
    <w:rsid w:val="202645B9"/>
    <w:rsid w:val="202B167B"/>
    <w:rsid w:val="202D1DEC"/>
    <w:rsid w:val="202E7D97"/>
    <w:rsid w:val="203171E6"/>
    <w:rsid w:val="20320885"/>
    <w:rsid w:val="20350095"/>
    <w:rsid w:val="20360CA0"/>
    <w:rsid w:val="20360F5B"/>
    <w:rsid w:val="20372E7D"/>
    <w:rsid w:val="203A38EA"/>
    <w:rsid w:val="203E7B55"/>
    <w:rsid w:val="204C4020"/>
    <w:rsid w:val="20515ADA"/>
    <w:rsid w:val="205729C5"/>
    <w:rsid w:val="205904EB"/>
    <w:rsid w:val="206155F1"/>
    <w:rsid w:val="20623843"/>
    <w:rsid w:val="206477EA"/>
    <w:rsid w:val="20713A86"/>
    <w:rsid w:val="20735702"/>
    <w:rsid w:val="207812B9"/>
    <w:rsid w:val="207864EE"/>
    <w:rsid w:val="207E43F5"/>
    <w:rsid w:val="2080305E"/>
    <w:rsid w:val="20823EE5"/>
    <w:rsid w:val="208C6B12"/>
    <w:rsid w:val="2091237A"/>
    <w:rsid w:val="20915ED7"/>
    <w:rsid w:val="20921043"/>
    <w:rsid w:val="20994D8B"/>
    <w:rsid w:val="209E1F77"/>
    <w:rsid w:val="20A06EA1"/>
    <w:rsid w:val="20A21BF5"/>
    <w:rsid w:val="20A26336"/>
    <w:rsid w:val="20A53730"/>
    <w:rsid w:val="20AC0F62"/>
    <w:rsid w:val="20AC74DF"/>
    <w:rsid w:val="20B561E4"/>
    <w:rsid w:val="20BB33CA"/>
    <w:rsid w:val="20C462AC"/>
    <w:rsid w:val="20CA4174"/>
    <w:rsid w:val="20CB5604"/>
    <w:rsid w:val="20CE5C1D"/>
    <w:rsid w:val="20D364EF"/>
    <w:rsid w:val="20D52267"/>
    <w:rsid w:val="20D5619C"/>
    <w:rsid w:val="20D9162C"/>
    <w:rsid w:val="20DB40B8"/>
    <w:rsid w:val="20E029BA"/>
    <w:rsid w:val="20E23E58"/>
    <w:rsid w:val="20EC135F"/>
    <w:rsid w:val="20EF4387"/>
    <w:rsid w:val="20F003D8"/>
    <w:rsid w:val="20F128FE"/>
    <w:rsid w:val="20F52909"/>
    <w:rsid w:val="20F85D62"/>
    <w:rsid w:val="20FC2382"/>
    <w:rsid w:val="21093CBF"/>
    <w:rsid w:val="210A342D"/>
    <w:rsid w:val="210D26FB"/>
    <w:rsid w:val="210F7CE3"/>
    <w:rsid w:val="211333F9"/>
    <w:rsid w:val="2116462E"/>
    <w:rsid w:val="21186CA9"/>
    <w:rsid w:val="211F3ADE"/>
    <w:rsid w:val="21246D4B"/>
    <w:rsid w:val="21262AC3"/>
    <w:rsid w:val="21276BA7"/>
    <w:rsid w:val="212B3D49"/>
    <w:rsid w:val="212E1977"/>
    <w:rsid w:val="21350F58"/>
    <w:rsid w:val="213528A0"/>
    <w:rsid w:val="213571AA"/>
    <w:rsid w:val="213640C3"/>
    <w:rsid w:val="213827F6"/>
    <w:rsid w:val="213D605E"/>
    <w:rsid w:val="213D7C44"/>
    <w:rsid w:val="213F4B2E"/>
    <w:rsid w:val="2149055F"/>
    <w:rsid w:val="21515666"/>
    <w:rsid w:val="215313DE"/>
    <w:rsid w:val="215533A8"/>
    <w:rsid w:val="21571C54"/>
    <w:rsid w:val="215F09C9"/>
    <w:rsid w:val="215F4227"/>
    <w:rsid w:val="21600CBF"/>
    <w:rsid w:val="216A2189"/>
    <w:rsid w:val="216D5B4C"/>
    <w:rsid w:val="216F2737"/>
    <w:rsid w:val="2176515B"/>
    <w:rsid w:val="217823A6"/>
    <w:rsid w:val="21792FBB"/>
    <w:rsid w:val="217A3D05"/>
    <w:rsid w:val="217B07D6"/>
    <w:rsid w:val="217D1E03"/>
    <w:rsid w:val="21815F4B"/>
    <w:rsid w:val="21843601"/>
    <w:rsid w:val="2184648F"/>
    <w:rsid w:val="218A325D"/>
    <w:rsid w:val="218C4D46"/>
    <w:rsid w:val="218C684C"/>
    <w:rsid w:val="218E56E9"/>
    <w:rsid w:val="219263AA"/>
    <w:rsid w:val="21984CC5"/>
    <w:rsid w:val="219A700D"/>
    <w:rsid w:val="219E4E2D"/>
    <w:rsid w:val="21A12149"/>
    <w:rsid w:val="21A165ED"/>
    <w:rsid w:val="21A67760"/>
    <w:rsid w:val="21AB2FC8"/>
    <w:rsid w:val="21AD4F92"/>
    <w:rsid w:val="21B87493"/>
    <w:rsid w:val="21C8332B"/>
    <w:rsid w:val="21C978F2"/>
    <w:rsid w:val="21D10024"/>
    <w:rsid w:val="21DA44FD"/>
    <w:rsid w:val="21DE514B"/>
    <w:rsid w:val="21E309B4"/>
    <w:rsid w:val="21E34462"/>
    <w:rsid w:val="21E45D3C"/>
    <w:rsid w:val="21F506E7"/>
    <w:rsid w:val="21F95279"/>
    <w:rsid w:val="21F97908"/>
    <w:rsid w:val="21FA6D32"/>
    <w:rsid w:val="21FA7AAB"/>
    <w:rsid w:val="21FC3824"/>
    <w:rsid w:val="21FE01EB"/>
    <w:rsid w:val="21FE36FF"/>
    <w:rsid w:val="22056B7C"/>
    <w:rsid w:val="220D3C83"/>
    <w:rsid w:val="221C1825"/>
    <w:rsid w:val="221C2118"/>
    <w:rsid w:val="22205764"/>
    <w:rsid w:val="22244B28"/>
    <w:rsid w:val="2228094B"/>
    <w:rsid w:val="22327245"/>
    <w:rsid w:val="22377E0A"/>
    <w:rsid w:val="223B259E"/>
    <w:rsid w:val="223B3EE7"/>
    <w:rsid w:val="223B434C"/>
    <w:rsid w:val="22407BB4"/>
    <w:rsid w:val="22410E56"/>
    <w:rsid w:val="22476665"/>
    <w:rsid w:val="225549DB"/>
    <w:rsid w:val="225A1C20"/>
    <w:rsid w:val="225C2233"/>
    <w:rsid w:val="225F478E"/>
    <w:rsid w:val="22625D7D"/>
    <w:rsid w:val="2265586D"/>
    <w:rsid w:val="227117DF"/>
    <w:rsid w:val="22736CB4"/>
    <w:rsid w:val="22741EDB"/>
    <w:rsid w:val="22791E85"/>
    <w:rsid w:val="22795622"/>
    <w:rsid w:val="227C6712"/>
    <w:rsid w:val="227F4F1F"/>
    <w:rsid w:val="22812619"/>
    <w:rsid w:val="22824E29"/>
    <w:rsid w:val="228F4698"/>
    <w:rsid w:val="22904FEA"/>
    <w:rsid w:val="22965A26"/>
    <w:rsid w:val="22967FAA"/>
    <w:rsid w:val="2297354C"/>
    <w:rsid w:val="2298179E"/>
    <w:rsid w:val="229972C4"/>
    <w:rsid w:val="22A00653"/>
    <w:rsid w:val="22AC6FF8"/>
    <w:rsid w:val="22AF6AE8"/>
    <w:rsid w:val="22B20386"/>
    <w:rsid w:val="22B91715"/>
    <w:rsid w:val="22BD6838"/>
    <w:rsid w:val="22C02AA3"/>
    <w:rsid w:val="22C32593"/>
    <w:rsid w:val="22C35EAF"/>
    <w:rsid w:val="22C67236"/>
    <w:rsid w:val="22C81958"/>
    <w:rsid w:val="22C977AC"/>
    <w:rsid w:val="22CF641B"/>
    <w:rsid w:val="22D5147B"/>
    <w:rsid w:val="22D622C7"/>
    <w:rsid w:val="22D93A1C"/>
    <w:rsid w:val="22DD18A7"/>
    <w:rsid w:val="22DD5403"/>
    <w:rsid w:val="22DF0DA2"/>
    <w:rsid w:val="22DF73CD"/>
    <w:rsid w:val="22E20377"/>
    <w:rsid w:val="22E345E0"/>
    <w:rsid w:val="22E52653"/>
    <w:rsid w:val="22E569AE"/>
    <w:rsid w:val="22E76282"/>
    <w:rsid w:val="22E95145"/>
    <w:rsid w:val="22EA7B20"/>
    <w:rsid w:val="22F56BF1"/>
    <w:rsid w:val="22F90E47"/>
    <w:rsid w:val="22FB277B"/>
    <w:rsid w:val="22FD7D58"/>
    <w:rsid w:val="22FF35CB"/>
    <w:rsid w:val="230F7587"/>
    <w:rsid w:val="231531C4"/>
    <w:rsid w:val="231F749E"/>
    <w:rsid w:val="2321413F"/>
    <w:rsid w:val="23251A24"/>
    <w:rsid w:val="232C67F1"/>
    <w:rsid w:val="23344139"/>
    <w:rsid w:val="23345B43"/>
    <w:rsid w:val="23360FB7"/>
    <w:rsid w:val="233A0AA7"/>
    <w:rsid w:val="23403BE4"/>
    <w:rsid w:val="23445482"/>
    <w:rsid w:val="234750CE"/>
    <w:rsid w:val="234D2E95"/>
    <w:rsid w:val="234F5BD5"/>
    <w:rsid w:val="23566F63"/>
    <w:rsid w:val="235F246C"/>
    <w:rsid w:val="237415CC"/>
    <w:rsid w:val="23840081"/>
    <w:rsid w:val="238A4E8A"/>
    <w:rsid w:val="238B1303"/>
    <w:rsid w:val="23900D85"/>
    <w:rsid w:val="239A1BA6"/>
    <w:rsid w:val="23A44173"/>
    <w:rsid w:val="23A80837"/>
    <w:rsid w:val="23B76CB9"/>
    <w:rsid w:val="23BC326A"/>
    <w:rsid w:val="23C17A60"/>
    <w:rsid w:val="23C232D7"/>
    <w:rsid w:val="23CB5BA3"/>
    <w:rsid w:val="23CD6AC9"/>
    <w:rsid w:val="23CF3667"/>
    <w:rsid w:val="23E30B60"/>
    <w:rsid w:val="23E443FD"/>
    <w:rsid w:val="23E629DD"/>
    <w:rsid w:val="23E66539"/>
    <w:rsid w:val="23E72D7E"/>
    <w:rsid w:val="23EA026F"/>
    <w:rsid w:val="23EA508B"/>
    <w:rsid w:val="23EB61A9"/>
    <w:rsid w:val="23EF10D6"/>
    <w:rsid w:val="23F724F4"/>
    <w:rsid w:val="23F91D2C"/>
    <w:rsid w:val="23FA3D93"/>
    <w:rsid w:val="23FE7D27"/>
    <w:rsid w:val="24034E04"/>
    <w:rsid w:val="240939B7"/>
    <w:rsid w:val="240A129F"/>
    <w:rsid w:val="240C0129"/>
    <w:rsid w:val="240E52C2"/>
    <w:rsid w:val="24134E54"/>
    <w:rsid w:val="24135347"/>
    <w:rsid w:val="24170DE9"/>
    <w:rsid w:val="24174257"/>
    <w:rsid w:val="2419690F"/>
    <w:rsid w:val="241A4435"/>
    <w:rsid w:val="242034A3"/>
    <w:rsid w:val="24217571"/>
    <w:rsid w:val="242552B4"/>
    <w:rsid w:val="2426102C"/>
    <w:rsid w:val="24305A06"/>
    <w:rsid w:val="24305D97"/>
    <w:rsid w:val="24373239"/>
    <w:rsid w:val="243A0DA5"/>
    <w:rsid w:val="24443260"/>
    <w:rsid w:val="24457704"/>
    <w:rsid w:val="244D480A"/>
    <w:rsid w:val="24596D0B"/>
    <w:rsid w:val="2460453E"/>
    <w:rsid w:val="246B4C91"/>
    <w:rsid w:val="24765B0F"/>
    <w:rsid w:val="24771B4C"/>
    <w:rsid w:val="247731AD"/>
    <w:rsid w:val="247751C5"/>
    <w:rsid w:val="247C6E9E"/>
    <w:rsid w:val="247E0F32"/>
    <w:rsid w:val="247F2548"/>
    <w:rsid w:val="24860C2C"/>
    <w:rsid w:val="248875F1"/>
    <w:rsid w:val="24903AB7"/>
    <w:rsid w:val="249145FE"/>
    <w:rsid w:val="249441E7"/>
    <w:rsid w:val="249621AB"/>
    <w:rsid w:val="249B154A"/>
    <w:rsid w:val="249C2E52"/>
    <w:rsid w:val="249E485B"/>
    <w:rsid w:val="24A47A11"/>
    <w:rsid w:val="24A92405"/>
    <w:rsid w:val="24AD52A9"/>
    <w:rsid w:val="24AF7273"/>
    <w:rsid w:val="24B53FFA"/>
    <w:rsid w:val="24B61418"/>
    <w:rsid w:val="24B77ED6"/>
    <w:rsid w:val="24B80EEA"/>
    <w:rsid w:val="24BA4846"/>
    <w:rsid w:val="24BA63DB"/>
    <w:rsid w:val="24C50802"/>
    <w:rsid w:val="24C820E3"/>
    <w:rsid w:val="24CF2D77"/>
    <w:rsid w:val="24D601DD"/>
    <w:rsid w:val="24D64800"/>
    <w:rsid w:val="24E46F1D"/>
    <w:rsid w:val="24E567F1"/>
    <w:rsid w:val="24E64821"/>
    <w:rsid w:val="24E94533"/>
    <w:rsid w:val="24F5112A"/>
    <w:rsid w:val="24F715FB"/>
    <w:rsid w:val="24F9229C"/>
    <w:rsid w:val="24FC67A7"/>
    <w:rsid w:val="25007ACF"/>
    <w:rsid w:val="25050C41"/>
    <w:rsid w:val="25076767"/>
    <w:rsid w:val="25084F27"/>
    <w:rsid w:val="25090731"/>
    <w:rsid w:val="251315B0"/>
    <w:rsid w:val="25145328"/>
    <w:rsid w:val="251F746E"/>
    <w:rsid w:val="252C3B2C"/>
    <w:rsid w:val="252F3F10"/>
    <w:rsid w:val="25317C88"/>
    <w:rsid w:val="25367242"/>
    <w:rsid w:val="25386701"/>
    <w:rsid w:val="253908EB"/>
    <w:rsid w:val="253B6DF9"/>
    <w:rsid w:val="25401FA2"/>
    <w:rsid w:val="25407ECB"/>
    <w:rsid w:val="25445C0D"/>
    <w:rsid w:val="25453733"/>
    <w:rsid w:val="25457506"/>
    <w:rsid w:val="25480598"/>
    <w:rsid w:val="254D1A4E"/>
    <w:rsid w:val="2556149D"/>
    <w:rsid w:val="25592D3B"/>
    <w:rsid w:val="255A71DF"/>
    <w:rsid w:val="255F69BB"/>
    <w:rsid w:val="256471D1"/>
    <w:rsid w:val="25695674"/>
    <w:rsid w:val="256A4F48"/>
    <w:rsid w:val="257858B7"/>
    <w:rsid w:val="25827827"/>
    <w:rsid w:val="258D52E9"/>
    <w:rsid w:val="259049AF"/>
    <w:rsid w:val="2593624D"/>
    <w:rsid w:val="259721E1"/>
    <w:rsid w:val="25981AB5"/>
    <w:rsid w:val="259A58CC"/>
    <w:rsid w:val="259D70CC"/>
    <w:rsid w:val="259E75A8"/>
    <w:rsid w:val="259F2E44"/>
    <w:rsid w:val="25A4045A"/>
    <w:rsid w:val="25A97777"/>
    <w:rsid w:val="25AB3597"/>
    <w:rsid w:val="25AC5561"/>
    <w:rsid w:val="25AD72C5"/>
    <w:rsid w:val="25AD78E2"/>
    <w:rsid w:val="25B04D2A"/>
    <w:rsid w:val="25C32FD6"/>
    <w:rsid w:val="25CA090D"/>
    <w:rsid w:val="25CC175F"/>
    <w:rsid w:val="25D2016C"/>
    <w:rsid w:val="25D52D09"/>
    <w:rsid w:val="25D54AB7"/>
    <w:rsid w:val="25D54E86"/>
    <w:rsid w:val="25D8140D"/>
    <w:rsid w:val="25DB7D8E"/>
    <w:rsid w:val="25DD571A"/>
    <w:rsid w:val="25DE670F"/>
    <w:rsid w:val="25DF1492"/>
    <w:rsid w:val="25E62821"/>
    <w:rsid w:val="25F068FA"/>
    <w:rsid w:val="25FA451E"/>
    <w:rsid w:val="25FC2044"/>
    <w:rsid w:val="25FD5DBC"/>
    <w:rsid w:val="260809E9"/>
    <w:rsid w:val="26127ABA"/>
    <w:rsid w:val="26192C41"/>
    <w:rsid w:val="261C5147"/>
    <w:rsid w:val="26242212"/>
    <w:rsid w:val="26247424"/>
    <w:rsid w:val="26265313"/>
    <w:rsid w:val="262B0C7D"/>
    <w:rsid w:val="262F59FD"/>
    <w:rsid w:val="26325420"/>
    <w:rsid w:val="263D7F73"/>
    <w:rsid w:val="263F63D5"/>
    <w:rsid w:val="26416F3C"/>
    <w:rsid w:val="26435EC5"/>
    <w:rsid w:val="26437C73"/>
    <w:rsid w:val="264C2EC3"/>
    <w:rsid w:val="264D0AF2"/>
    <w:rsid w:val="264F486A"/>
    <w:rsid w:val="264F6618"/>
    <w:rsid w:val="26546AF3"/>
    <w:rsid w:val="265B0961"/>
    <w:rsid w:val="265B26B4"/>
    <w:rsid w:val="265E0ECC"/>
    <w:rsid w:val="265F3C06"/>
    <w:rsid w:val="2663431E"/>
    <w:rsid w:val="266B68E2"/>
    <w:rsid w:val="266F2816"/>
    <w:rsid w:val="266F6214"/>
    <w:rsid w:val="26705B30"/>
    <w:rsid w:val="26747E2C"/>
    <w:rsid w:val="26795C3D"/>
    <w:rsid w:val="267B501B"/>
    <w:rsid w:val="267B565F"/>
    <w:rsid w:val="2685028B"/>
    <w:rsid w:val="2689550D"/>
    <w:rsid w:val="268B161A"/>
    <w:rsid w:val="268D75FE"/>
    <w:rsid w:val="26937E02"/>
    <w:rsid w:val="26943F29"/>
    <w:rsid w:val="26955FF5"/>
    <w:rsid w:val="2697330D"/>
    <w:rsid w:val="26995AE5"/>
    <w:rsid w:val="26A56238"/>
    <w:rsid w:val="26A624A5"/>
    <w:rsid w:val="26A744B1"/>
    <w:rsid w:val="26A761E0"/>
    <w:rsid w:val="26AF70B6"/>
    <w:rsid w:val="26B12561"/>
    <w:rsid w:val="26B66625"/>
    <w:rsid w:val="26BA3467"/>
    <w:rsid w:val="26BC7A25"/>
    <w:rsid w:val="26C2328E"/>
    <w:rsid w:val="26C25711"/>
    <w:rsid w:val="26C27698"/>
    <w:rsid w:val="26C32B62"/>
    <w:rsid w:val="26C52DB4"/>
    <w:rsid w:val="26CE55A7"/>
    <w:rsid w:val="26D134D1"/>
    <w:rsid w:val="26D526AA"/>
    <w:rsid w:val="26D66D39"/>
    <w:rsid w:val="26D7594A"/>
    <w:rsid w:val="26D7660D"/>
    <w:rsid w:val="26D954F6"/>
    <w:rsid w:val="26DD00C8"/>
    <w:rsid w:val="26EA27E4"/>
    <w:rsid w:val="26ED1D1A"/>
    <w:rsid w:val="26F15921"/>
    <w:rsid w:val="26F365F2"/>
    <w:rsid w:val="26F62F37"/>
    <w:rsid w:val="26FF27E9"/>
    <w:rsid w:val="26FF300F"/>
    <w:rsid w:val="27027B2E"/>
    <w:rsid w:val="270D0F81"/>
    <w:rsid w:val="271A22E4"/>
    <w:rsid w:val="27231852"/>
    <w:rsid w:val="27277595"/>
    <w:rsid w:val="272B79BF"/>
    <w:rsid w:val="272F714A"/>
    <w:rsid w:val="273677D8"/>
    <w:rsid w:val="27383550"/>
    <w:rsid w:val="273852FE"/>
    <w:rsid w:val="27392E24"/>
    <w:rsid w:val="27403119"/>
    <w:rsid w:val="274517C9"/>
    <w:rsid w:val="274A3283"/>
    <w:rsid w:val="27547C5E"/>
    <w:rsid w:val="275639D6"/>
    <w:rsid w:val="275A34C6"/>
    <w:rsid w:val="275B2D9A"/>
    <w:rsid w:val="275B723E"/>
    <w:rsid w:val="276205CD"/>
    <w:rsid w:val="276775E3"/>
    <w:rsid w:val="276B2776"/>
    <w:rsid w:val="276C144B"/>
    <w:rsid w:val="276C4FA7"/>
    <w:rsid w:val="276E59FE"/>
    <w:rsid w:val="2772641A"/>
    <w:rsid w:val="27743E5C"/>
    <w:rsid w:val="277976C4"/>
    <w:rsid w:val="277F4CDB"/>
    <w:rsid w:val="278505C3"/>
    <w:rsid w:val="2786250D"/>
    <w:rsid w:val="27897122"/>
    <w:rsid w:val="278C564A"/>
    <w:rsid w:val="27910EB2"/>
    <w:rsid w:val="27935170"/>
    <w:rsid w:val="27946C03"/>
    <w:rsid w:val="27996AAE"/>
    <w:rsid w:val="279F5CE9"/>
    <w:rsid w:val="27A04C51"/>
    <w:rsid w:val="27A873CE"/>
    <w:rsid w:val="27B11B79"/>
    <w:rsid w:val="27B34984"/>
    <w:rsid w:val="27B626C7"/>
    <w:rsid w:val="27B66DC9"/>
    <w:rsid w:val="27C22E19"/>
    <w:rsid w:val="27C443CD"/>
    <w:rsid w:val="27C612F6"/>
    <w:rsid w:val="27CE17BE"/>
    <w:rsid w:val="27CE6EE6"/>
    <w:rsid w:val="27D112AE"/>
    <w:rsid w:val="27D50D9F"/>
    <w:rsid w:val="27D74B17"/>
    <w:rsid w:val="27EB6814"/>
    <w:rsid w:val="27EE3C0E"/>
    <w:rsid w:val="27F60D15"/>
    <w:rsid w:val="27F97454"/>
    <w:rsid w:val="27FB6C3E"/>
    <w:rsid w:val="280451E0"/>
    <w:rsid w:val="28126D74"/>
    <w:rsid w:val="28153891"/>
    <w:rsid w:val="281F2148"/>
    <w:rsid w:val="282835C4"/>
    <w:rsid w:val="282B6C11"/>
    <w:rsid w:val="282C5A6C"/>
    <w:rsid w:val="282D4FFC"/>
    <w:rsid w:val="282E6701"/>
    <w:rsid w:val="282F0A40"/>
    <w:rsid w:val="283427BA"/>
    <w:rsid w:val="2835183D"/>
    <w:rsid w:val="28360166"/>
    <w:rsid w:val="28364EC4"/>
    <w:rsid w:val="28397580"/>
    <w:rsid w:val="283C0E1E"/>
    <w:rsid w:val="283C1C24"/>
    <w:rsid w:val="283C2BCC"/>
    <w:rsid w:val="283F0379"/>
    <w:rsid w:val="283F090E"/>
    <w:rsid w:val="283F26BC"/>
    <w:rsid w:val="284319A6"/>
    <w:rsid w:val="284952E9"/>
    <w:rsid w:val="284B72B3"/>
    <w:rsid w:val="284D4DD9"/>
    <w:rsid w:val="28551EE0"/>
    <w:rsid w:val="28553C8E"/>
    <w:rsid w:val="2858552C"/>
    <w:rsid w:val="2859377E"/>
    <w:rsid w:val="285B1CD7"/>
    <w:rsid w:val="285B7E69"/>
    <w:rsid w:val="285D08F3"/>
    <w:rsid w:val="285E5989"/>
    <w:rsid w:val="285F34CC"/>
    <w:rsid w:val="28612632"/>
    <w:rsid w:val="28645547"/>
    <w:rsid w:val="28650375"/>
    <w:rsid w:val="286A598B"/>
    <w:rsid w:val="286E0954"/>
    <w:rsid w:val="28702875"/>
    <w:rsid w:val="28702D10"/>
    <w:rsid w:val="287133B5"/>
    <w:rsid w:val="2874680A"/>
    <w:rsid w:val="28766458"/>
    <w:rsid w:val="28797CFA"/>
    <w:rsid w:val="28814A83"/>
    <w:rsid w:val="28887F0E"/>
    <w:rsid w:val="288B5901"/>
    <w:rsid w:val="288F719F"/>
    <w:rsid w:val="2894210B"/>
    <w:rsid w:val="28952684"/>
    <w:rsid w:val="2895320A"/>
    <w:rsid w:val="28956780"/>
    <w:rsid w:val="289C0120"/>
    <w:rsid w:val="28A2234D"/>
    <w:rsid w:val="28A6182B"/>
    <w:rsid w:val="28B430AA"/>
    <w:rsid w:val="28B46FDB"/>
    <w:rsid w:val="28B92525"/>
    <w:rsid w:val="28B9421C"/>
    <w:rsid w:val="28BE27A6"/>
    <w:rsid w:val="28C815A7"/>
    <w:rsid w:val="28CA0D49"/>
    <w:rsid w:val="28CB21A2"/>
    <w:rsid w:val="28D34CE1"/>
    <w:rsid w:val="28D63020"/>
    <w:rsid w:val="28D9666D"/>
    <w:rsid w:val="28DE0127"/>
    <w:rsid w:val="28DE3220"/>
    <w:rsid w:val="28DE60C3"/>
    <w:rsid w:val="28E05C4D"/>
    <w:rsid w:val="28E13773"/>
    <w:rsid w:val="28E976B6"/>
    <w:rsid w:val="28EC1F83"/>
    <w:rsid w:val="28ED036A"/>
    <w:rsid w:val="28F243A6"/>
    <w:rsid w:val="28F72F97"/>
    <w:rsid w:val="28F96D0F"/>
    <w:rsid w:val="28FB2A87"/>
    <w:rsid w:val="290556B4"/>
    <w:rsid w:val="29057462"/>
    <w:rsid w:val="290B246F"/>
    <w:rsid w:val="290F204E"/>
    <w:rsid w:val="291476A5"/>
    <w:rsid w:val="291678C1"/>
    <w:rsid w:val="291B4ED7"/>
    <w:rsid w:val="291D29FD"/>
    <w:rsid w:val="2920604A"/>
    <w:rsid w:val="2927562A"/>
    <w:rsid w:val="292D7811"/>
    <w:rsid w:val="29310257"/>
    <w:rsid w:val="29347D47"/>
    <w:rsid w:val="293C79BB"/>
    <w:rsid w:val="293D6BFB"/>
    <w:rsid w:val="294A0D31"/>
    <w:rsid w:val="294A57BC"/>
    <w:rsid w:val="294C6E3F"/>
    <w:rsid w:val="29514455"/>
    <w:rsid w:val="295977AD"/>
    <w:rsid w:val="295B52D4"/>
    <w:rsid w:val="295E3EB9"/>
    <w:rsid w:val="29650C85"/>
    <w:rsid w:val="296A19BB"/>
    <w:rsid w:val="296D5007"/>
    <w:rsid w:val="296F0D7F"/>
    <w:rsid w:val="297319E7"/>
    <w:rsid w:val="2973261D"/>
    <w:rsid w:val="29736589"/>
    <w:rsid w:val="29742004"/>
    <w:rsid w:val="2979112F"/>
    <w:rsid w:val="297B3BC8"/>
    <w:rsid w:val="297C64FE"/>
    <w:rsid w:val="297F5DA9"/>
    <w:rsid w:val="29826D04"/>
    <w:rsid w:val="298365D8"/>
    <w:rsid w:val="29851B11"/>
    <w:rsid w:val="298760C9"/>
    <w:rsid w:val="2988000E"/>
    <w:rsid w:val="298A7967"/>
    <w:rsid w:val="298C36DF"/>
    <w:rsid w:val="298D7483"/>
    <w:rsid w:val="298F19EC"/>
    <w:rsid w:val="29936EB5"/>
    <w:rsid w:val="29952E6A"/>
    <w:rsid w:val="299B54DA"/>
    <w:rsid w:val="299D24FB"/>
    <w:rsid w:val="299D266E"/>
    <w:rsid w:val="299D58EC"/>
    <w:rsid w:val="29A44ECD"/>
    <w:rsid w:val="29A70519"/>
    <w:rsid w:val="29AA1DB7"/>
    <w:rsid w:val="29AC5B2F"/>
    <w:rsid w:val="29B43D6F"/>
    <w:rsid w:val="29BD2CE7"/>
    <w:rsid w:val="29BF5862"/>
    <w:rsid w:val="29C50DFA"/>
    <w:rsid w:val="29C643E5"/>
    <w:rsid w:val="29C73B59"/>
    <w:rsid w:val="29C76E0D"/>
    <w:rsid w:val="29CC3360"/>
    <w:rsid w:val="29D05CC2"/>
    <w:rsid w:val="29D3130E"/>
    <w:rsid w:val="29D357B2"/>
    <w:rsid w:val="29D37560"/>
    <w:rsid w:val="29D64538"/>
    <w:rsid w:val="29D67050"/>
    <w:rsid w:val="29DD03DE"/>
    <w:rsid w:val="29DF5F05"/>
    <w:rsid w:val="29E03A2B"/>
    <w:rsid w:val="29EF0399"/>
    <w:rsid w:val="29F251A1"/>
    <w:rsid w:val="29FF0355"/>
    <w:rsid w:val="2A004A26"/>
    <w:rsid w:val="2A027E45"/>
    <w:rsid w:val="2A0475B6"/>
    <w:rsid w:val="2A047719"/>
    <w:rsid w:val="2A086595"/>
    <w:rsid w:val="2A110088"/>
    <w:rsid w:val="2A147350"/>
    <w:rsid w:val="2A175CBD"/>
    <w:rsid w:val="2A1A518F"/>
    <w:rsid w:val="2A1C0F07"/>
    <w:rsid w:val="2A1D315E"/>
    <w:rsid w:val="2A1F4553"/>
    <w:rsid w:val="2A20021E"/>
    <w:rsid w:val="2A2D44F5"/>
    <w:rsid w:val="2A335204"/>
    <w:rsid w:val="2A3A138D"/>
    <w:rsid w:val="2A3C6EB3"/>
    <w:rsid w:val="2A454BC0"/>
    <w:rsid w:val="2A467D32"/>
    <w:rsid w:val="2A473AAA"/>
    <w:rsid w:val="2A495E14"/>
    <w:rsid w:val="2A50295E"/>
    <w:rsid w:val="2A506E67"/>
    <w:rsid w:val="2A564F1C"/>
    <w:rsid w:val="2A5744DB"/>
    <w:rsid w:val="2A7001A7"/>
    <w:rsid w:val="2A706CFE"/>
    <w:rsid w:val="2A7155D3"/>
    <w:rsid w:val="2A781F85"/>
    <w:rsid w:val="2A7A5C2D"/>
    <w:rsid w:val="2A7A79DB"/>
    <w:rsid w:val="2A7B35CA"/>
    <w:rsid w:val="2A824904"/>
    <w:rsid w:val="2A836414"/>
    <w:rsid w:val="2A841DAD"/>
    <w:rsid w:val="2A842608"/>
    <w:rsid w:val="2A8F682B"/>
    <w:rsid w:val="2A900C0E"/>
    <w:rsid w:val="2A924D25"/>
    <w:rsid w:val="2A942D06"/>
    <w:rsid w:val="2A950CB9"/>
    <w:rsid w:val="2A9643FC"/>
    <w:rsid w:val="2A9E13F0"/>
    <w:rsid w:val="2A9F62C6"/>
    <w:rsid w:val="2A9F7442"/>
    <w:rsid w:val="2AA52955"/>
    <w:rsid w:val="2AA66B98"/>
    <w:rsid w:val="2AA97A27"/>
    <w:rsid w:val="2AAD6003"/>
    <w:rsid w:val="2AAE58D7"/>
    <w:rsid w:val="2AB014B5"/>
    <w:rsid w:val="2AB0164F"/>
    <w:rsid w:val="2AB23619"/>
    <w:rsid w:val="2AB24F59"/>
    <w:rsid w:val="2AB50979"/>
    <w:rsid w:val="2AB52686"/>
    <w:rsid w:val="2ABA654B"/>
    <w:rsid w:val="2AC1385C"/>
    <w:rsid w:val="2ACA55EE"/>
    <w:rsid w:val="2ACB72CA"/>
    <w:rsid w:val="2ACD3FAF"/>
    <w:rsid w:val="2AD0584D"/>
    <w:rsid w:val="2AD301CB"/>
    <w:rsid w:val="2AD417E1"/>
    <w:rsid w:val="2AD7648D"/>
    <w:rsid w:val="2ADC3D49"/>
    <w:rsid w:val="2AE61515"/>
    <w:rsid w:val="2AE8703B"/>
    <w:rsid w:val="2AF43C32"/>
    <w:rsid w:val="2AF61758"/>
    <w:rsid w:val="2AFF1BE9"/>
    <w:rsid w:val="2B035C23"/>
    <w:rsid w:val="2B057BED"/>
    <w:rsid w:val="2B147E30"/>
    <w:rsid w:val="2B175DF1"/>
    <w:rsid w:val="2B1B2F6C"/>
    <w:rsid w:val="2B204A27"/>
    <w:rsid w:val="2B23372E"/>
    <w:rsid w:val="2B250F76"/>
    <w:rsid w:val="2B260516"/>
    <w:rsid w:val="2B277B9B"/>
    <w:rsid w:val="2B2A1401"/>
    <w:rsid w:val="2B305FE6"/>
    <w:rsid w:val="2B312790"/>
    <w:rsid w:val="2B33475A"/>
    <w:rsid w:val="2B345DDC"/>
    <w:rsid w:val="2B346B58"/>
    <w:rsid w:val="2B382728"/>
    <w:rsid w:val="2B457FE9"/>
    <w:rsid w:val="2B4864E5"/>
    <w:rsid w:val="2B58619E"/>
    <w:rsid w:val="2B591CE7"/>
    <w:rsid w:val="2B5D3585"/>
    <w:rsid w:val="2B5E2124"/>
    <w:rsid w:val="2B606BD1"/>
    <w:rsid w:val="2B626DED"/>
    <w:rsid w:val="2B681F2A"/>
    <w:rsid w:val="2B6B0F88"/>
    <w:rsid w:val="2B6C58EF"/>
    <w:rsid w:val="2B732DA8"/>
    <w:rsid w:val="2B794137"/>
    <w:rsid w:val="2B796202"/>
    <w:rsid w:val="2B854D0B"/>
    <w:rsid w:val="2B870602"/>
    <w:rsid w:val="2B8925CC"/>
    <w:rsid w:val="2B8B2FAB"/>
    <w:rsid w:val="2B8B5887"/>
    <w:rsid w:val="2B8C3E6A"/>
    <w:rsid w:val="2B8E01D9"/>
    <w:rsid w:val="2B8F423A"/>
    <w:rsid w:val="2B953521"/>
    <w:rsid w:val="2B9E76FA"/>
    <w:rsid w:val="2BA50A88"/>
    <w:rsid w:val="2BA54203"/>
    <w:rsid w:val="2BAA42F0"/>
    <w:rsid w:val="2BAC1E16"/>
    <w:rsid w:val="2BB04CB3"/>
    <w:rsid w:val="2BB5313E"/>
    <w:rsid w:val="2BB94533"/>
    <w:rsid w:val="2BBB02AC"/>
    <w:rsid w:val="2BBB2FE0"/>
    <w:rsid w:val="2BBE7D9C"/>
    <w:rsid w:val="2BC00807"/>
    <w:rsid w:val="2BC03067"/>
    <w:rsid w:val="2BC03B14"/>
    <w:rsid w:val="2BC2788C"/>
    <w:rsid w:val="2BC7343E"/>
    <w:rsid w:val="2BC90C1A"/>
    <w:rsid w:val="2BCF6549"/>
    <w:rsid w:val="2BD01731"/>
    <w:rsid w:val="2BDE46D5"/>
    <w:rsid w:val="2BDF043E"/>
    <w:rsid w:val="2BE14CC4"/>
    <w:rsid w:val="2BE33B62"/>
    <w:rsid w:val="2BEA3551"/>
    <w:rsid w:val="2BEB4F7F"/>
    <w:rsid w:val="2BEE071B"/>
    <w:rsid w:val="2BEF7575"/>
    <w:rsid w:val="2BF67536"/>
    <w:rsid w:val="2C024294"/>
    <w:rsid w:val="2C0A4AEB"/>
    <w:rsid w:val="2C0C162B"/>
    <w:rsid w:val="2C131E96"/>
    <w:rsid w:val="2C170F60"/>
    <w:rsid w:val="2C1B4054"/>
    <w:rsid w:val="2C2E0A7D"/>
    <w:rsid w:val="2C2F6619"/>
    <w:rsid w:val="2C332538"/>
    <w:rsid w:val="2C36476D"/>
    <w:rsid w:val="2C367115"/>
    <w:rsid w:val="2C372028"/>
    <w:rsid w:val="2C3818FC"/>
    <w:rsid w:val="2C3B319A"/>
    <w:rsid w:val="2C477D91"/>
    <w:rsid w:val="2C4C53A8"/>
    <w:rsid w:val="2C4E1120"/>
    <w:rsid w:val="2C4F3433"/>
    <w:rsid w:val="2C5512FE"/>
    <w:rsid w:val="2C5524AE"/>
    <w:rsid w:val="2C55747C"/>
    <w:rsid w:val="2C5854C5"/>
    <w:rsid w:val="2C5A0D8C"/>
    <w:rsid w:val="2C5A3F68"/>
    <w:rsid w:val="2C6426F1"/>
    <w:rsid w:val="2C69617F"/>
    <w:rsid w:val="2C6B3A80"/>
    <w:rsid w:val="2C7212B2"/>
    <w:rsid w:val="2C7566AC"/>
    <w:rsid w:val="2C795B5C"/>
    <w:rsid w:val="2C7E592F"/>
    <w:rsid w:val="2C840A51"/>
    <w:rsid w:val="2C872AF6"/>
    <w:rsid w:val="2C902915"/>
    <w:rsid w:val="2C9103E2"/>
    <w:rsid w:val="2C937E38"/>
    <w:rsid w:val="2C950AFD"/>
    <w:rsid w:val="2C9A25B7"/>
    <w:rsid w:val="2C9E20A7"/>
    <w:rsid w:val="2C9F197B"/>
    <w:rsid w:val="2C9F5E1F"/>
    <w:rsid w:val="2CA177F3"/>
    <w:rsid w:val="2CA23219"/>
    <w:rsid w:val="2CA43435"/>
    <w:rsid w:val="2CAE7DF9"/>
    <w:rsid w:val="2CB035A7"/>
    <w:rsid w:val="2CB96525"/>
    <w:rsid w:val="2CBC077F"/>
    <w:rsid w:val="2CC82C80"/>
    <w:rsid w:val="2CC85EE2"/>
    <w:rsid w:val="2CC86312"/>
    <w:rsid w:val="2CCA30B3"/>
    <w:rsid w:val="2CCD0296"/>
    <w:rsid w:val="2CD71115"/>
    <w:rsid w:val="2CD86C3B"/>
    <w:rsid w:val="2CDF4518"/>
    <w:rsid w:val="2CE37ABA"/>
    <w:rsid w:val="2CE42EE2"/>
    <w:rsid w:val="2CE51A84"/>
    <w:rsid w:val="2CE5527B"/>
    <w:rsid w:val="2CE57671"/>
    <w:rsid w:val="2CE76D85"/>
    <w:rsid w:val="2CE81ECD"/>
    <w:rsid w:val="2CEE531B"/>
    <w:rsid w:val="2CEF2903"/>
    <w:rsid w:val="2CF9763D"/>
    <w:rsid w:val="2D0619FA"/>
    <w:rsid w:val="2D0D2D89"/>
    <w:rsid w:val="2D0F08AF"/>
    <w:rsid w:val="2D1652EF"/>
    <w:rsid w:val="2D1811A5"/>
    <w:rsid w:val="2D1839CC"/>
    <w:rsid w:val="2D1C4D7A"/>
    <w:rsid w:val="2D26573B"/>
    <w:rsid w:val="2D3447B9"/>
    <w:rsid w:val="2D3C197F"/>
    <w:rsid w:val="2D3F0F76"/>
    <w:rsid w:val="2D410C84"/>
    <w:rsid w:val="2D430559"/>
    <w:rsid w:val="2D460049"/>
    <w:rsid w:val="2D480265"/>
    <w:rsid w:val="2D497191"/>
    <w:rsid w:val="2D4C0F77"/>
    <w:rsid w:val="2D556FA6"/>
    <w:rsid w:val="2D5803B1"/>
    <w:rsid w:val="2D611894"/>
    <w:rsid w:val="2D616C31"/>
    <w:rsid w:val="2D643EE1"/>
    <w:rsid w:val="2D673D6A"/>
    <w:rsid w:val="2D6C5B94"/>
    <w:rsid w:val="2D6D7992"/>
    <w:rsid w:val="2D6F3B2A"/>
    <w:rsid w:val="2D713318"/>
    <w:rsid w:val="2D7368E3"/>
    <w:rsid w:val="2D7573F8"/>
    <w:rsid w:val="2D8079C9"/>
    <w:rsid w:val="2D8748E9"/>
    <w:rsid w:val="2D8C0151"/>
    <w:rsid w:val="2D960FD0"/>
    <w:rsid w:val="2D9E7E85"/>
    <w:rsid w:val="2DA21723"/>
    <w:rsid w:val="2DA336ED"/>
    <w:rsid w:val="2DAD00C8"/>
    <w:rsid w:val="2DAE4C4B"/>
    <w:rsid w:val="2DB32EFA"/>
    <w:rsid w:val="2DB6777A"/>
    <w:rsid w:val="2DB73DD3"/>
    <w:rsid w:val="2DB80F46"/>
    <w:rsid w:val="2DBB01DC"/>
    <w:rsid w:val="2DBB4593"/>
    <w:rsid w:val="2DC12029"/>
    <w:rsid w:val="2DCA5054"/>
    <w:rsid w:val="2DCE15AF"/>
    <w:rsid w:val="2DCF6290"/>
    <w:rsid w:val="2DD00881"/>
    <w:rsid w:val="2DD12008"/>
    <w:rsid w:val="2DDA60A5"/>
    <w:rsid w:val="2DE41E90"/>
    <w:rsid w:val="2DE53D06"/>
    <w:rsid w:val="2DEE2BBA"/>
    <w:rsid w:val="2DF301D1"/>
    <w:rsid w:val="2DFD143F"/>
    <w:rsid w:val="2E011250"/>
    <w:rsid w:val="2E0917A2"/>
    <w:rsid w:val="2E0C7AA4"/>
    <w:rsid w:val="2E0E500A"/>
    <w:rsid w:val="2E110657"/>
    <w:rsid w:val="2E146672"/>
    <w:rsid w:val="2E2228F5"/>
    <w:rsid w:val="2E2A5352"/>
    <w:rsid w:val="2E2C34EF"/>
    <w:rsid w:val="2E2E2FB7"/>
    <w:rsid w:val="2E3005EA"/>
    <w:rsid w:val="2E3031D3"/>
    <w:rsid w:val="2E312AA7"/>
    <w:rsid w:val="2E345428"/>
    <w:rsid w:val="2E3A2E51"/>
    <w:rsid w:val="2E3B4CF0"/>
    <w:rsid w:val="2E4346F5"/>
    <w:rsid w:val="2E494401"/>
    <w:rsid w:val="2E4F2F2D"/>
    <w:rsid w:val="2E525FE5"/>
    <w:rsid w:val="2E5271BF"/>
    <w:rsid w:val="2E532A1D"/>
    <w:rsid w:val="2E554EA6"/>
    <w:rsid w:val="2E5829A2"/>
    <w:rsid w:val="2E5B0F11"/>
    <w:rsid w:val="2E6102A1"/>
    <w:rsid w:val="2E6115DE"/>
    <w:rsid w:val="2E612931"/>
    <w:rsid w:val="2E62715D"/>
    <w:rsid w:val="2E666BF4"/>
    <w:rsid w:val="2E67471B"/>
    <w:rsid w:val="2E6764C9"/>
    <w:rsid w:val="2E6D573D"/>
    <w:rsid w:val="2E7110F5"/>
    <w:rsid w:val="2E753E92"/>
    <w:rsid w:val="2E756E38"/>
    <w:rsid w:val="2E7635F8"/>
    <w:rsid w:val="2E781B26"/>
    <w:rsid w:val="2E782484"/>
    <w:rsid w:val="2E8C71AC"/>
    <w:rsid w:val="2E8E1CA7"/>
    <w:rsid w:val="2E9508AA"/>
    <w:rsid w:val="2E9F5C62"/>
    <w:rsid w:val="2EA15E7F"/>
    <w:rsid w:val="2EA17C2D"/>
    <w:rsid w:val="2EA27501"/>
    <w:rsid w:val="2EAC037F"/>
    <w:rsid w:val="2EAC3D49"/>
    <w:rsid w:val="2EB21E3A"/>
    <w:rsid w:val="2EB23BE8"/>
    <w:rsid w:val="2EB55486"/>
    <w:rsid w:val="2EB77450"/>
    <w:rsid w:val="2EBF4557"/>
    <w:rsid w:val="2EC35DF5"/>
    <w:rsid w:val="2ECB2EFB"/>
    <w:rsid w:val="2ECB4CA9"/>
    <w:rsid w:val="2ED527E6"/>
    <w:rsid w:val="2EDC0C65"/>
    <w:rsid w:val="2EE43FBD"/>
    <w:rsid w:val="2EE93382"/>
    <w:rsid w:val="2EEA0214"/>
    <w:rsid w:val="2EF37D5C"/>
    <w:rsid w:val="2EF91817"/>
    <w:rsid w:val="2EFA10EB"/>
    <w:rsid w:val="2EFF3594"/>
    <w:rsid w:val="2F012479"/>
    <w:rsid w:val="2F0F2DE8"/>
    <w:rsid w:val="2F101F2F"/>
    <w:rsid w:val="2F11739B"/>
    <w:rsid w:val="2F1D79A9"/>
    <w:rsid w:val="2F1E74CF"/>
    <w:rsid w:val="2F263FE7"/>
    <w:rsid w:val="2F2B4739"/>
    <w:rsid w:val="2F2D7712"/>
    <w:rsid w:val="2F2E6FE6"/>
    <w:rsid w:val="2F324D29"/>
    <w:rsid w:val="2F326AD7"/>
    <w:rsid w:val="2F367926"/>
    <w:rsid w:val="2F3960B7"/>
    <w:rsid w:val="2F3F643D"/>
    <w:rsid w:val="2F560A17"/>
    <w:rsid w:val="2F5729E1"/>
    <w:rsid w:val="2F642A08"/>
    <w:rsid w:val="2F652935"/>
    <w:rsid w:val="2F6D7B0F"/>
    <w:rsid w:val="2F7471EA"/>
    <w:rsid w:val="2F797A5E"/>
    <w:rsid w:val="2F7D3007"/>
    <w:rsid w:val="2F7E3ACA"/>
    <w:rsid w:val="2F8135BA"/>
    <w:rsid w:val="2F827A5E"/>
    <w:rsid w:val="2F863502"/>
    <w:rsid w:val="2F884949"/>
    <w:rsid w:val="2F8A6913"/>
    <w:rsid w:val="2F8B61E7"/>
    <w:rsid w:val="2F954ADA"/>
    <w:rsid w:val="2F955AF6"/>
    <w:rsid w:val="2F990904"/>
    <w:rsid w:val="2F9C21A2"/>
    <w:rsid w:val="2FAC6889"/>
    <w:rsid w:val="2FAD694E"/>
    <w:rsid w:val="2FAD7DDA"/>
    <w:rsid w:val="2FAF59F5"/>
    <w:rsid w:val="2FB76FDC"/>
    <w:rsid w:val="2FBC2844"/>
    <w:rsid w:val="2FC645BB"/>
    <w:rsid w:val="2FC736C3"/>
    <w:rsid w:val="2FC83556"/>
    <w:rsid w:val="2FCA4F61"/>
    <w:rsid w:val="2FCC075E"/>
    <w:rsid w:val="2FCF2577"/>
    <w:rsid w:val="2FD02AD6"/>
    <w:rsid w:val="2FD55B5A"/>
    <w:rsid w:val="2FD55DF3"/>
    <w:rsid w:val="2FDB2DCE"/>
    <w:rsid w:val="2FDB75E9"/>
    <w:rsid w:val="2FDC44EE"/>
    <w:rsid w:val="2FDC74FE"/>
    <w:rsid w:val="2FDF6A6B"/>
    <w:rsid w:val="2FE06533"/>
    <w:rsid w:val="2FE30F4E"/>
    <w:rsid w:val="2FE34275"/>
    <w:rsid w:val="2FE4642D"/>
    <w:rsid w:val="2FEC3129"/>
    <w:rsid w:val="2FF206FB"/>
    <w:rsid w:val="2FFB4CA4"/>
    <w:rsid w:val="2FFD0E93"/>
    <w:rsid w:val="300264A9"/>
    <w:rsid w:val="30054147"/>
    <w:rsid w:val="30077F63"/>
    <w:rsid w:val="300C37CC"/>
    <w:rsid w:val="300C7328"/>
    <w:rsid w:val="300F5CEA"/>
    <w:rsid w:val="3010416A"/>
    <w:rsid w:val="301D7787"/>
    <w:rsid w:val="301D7FDB"/>
    <w:rsid w:val="301F4C22"/>
    <w:rsid w:val="30201025"/>
    <w:rsid w:val="30277371"/>
    <w:rsid w:val="302854B8"/>
    <w:rsid w:val="3029057D"/>
    <w:rsid w:val="302B69D3"/>
    <w:rsid w:val="30354AD0"/>
    <w:rsid w:val="303555CC"/>
    <w:rsid w:val="303845C1"/>
    <w:rsid w:val="30406FD1"/>
    <w:rsid w:val="304545E8"/>
    <w:rsid w:val="304940D8"/>
    <w:rsid w:val="304A079B"/>
    <w:rsid w:val="304F36B8"/>
    <w:rsid w:val="30534F57"/>
    <w:rsid w:val="305A62E5"/>
    <w:rsid w:val="305B205D"/>
    <w:rsid w:val="30645601"/>
    <w:rsid w:val="306A59F8"/>
    <w:rsid w:val="306C6018"/>
    <w:rsid w:val="306F4BF5"/>
    <w:rsid w:val="30724DD6"/>
    <w:rsid w:val="307853BE"/>
    <w:rsid w:val="307F5D4C"/>
    <w:rsid w:val="308415B4"/>
    <w:rsid w:val="30872E52"/>
    <w:rsid w:val="308C66BA"/>
    <w:rsid w:val="3091372F"/>
    <w:rsid w:val="30961104"/>
    <w:rsid w:val="3098505F"/>
    <w:rsid w:val="30986B93"/>
    <w:rsid w:val="309A4933"/>
    <w:rsid w:val="309D2676"/>
    <w:rsid w:val="309F63EE"/>
    <w:rsid w:val="30A12E33"/>
    <w:rsid w:val="30A21A3A"/>
    <w:rsid w:val="30A52836"/>
    <w:rsid w:val="30A7115A"/>
    <w:rsid w:val="30A73705"/>
    <w:rsid w:val="30AB4D93"/>
    <w:rsid w:val="30B11567"/>
    <w:rsid w:val="30B26121"/>
    <w:rsid w:val="30B57283"/>
    <w:rsid w:val="30B579BF"/>
    <w:rsid w:val="30B65658"/>
    <w:rsid w:val="30BA6D84"/>
    <w:rsid w:val="30BB3295"/>
    <w:rsid w:val="30C9346B"/>
    <w:rsid w:val="30CB0F91"/>
    <w:rsid w:val="30D4653A"/>
    <w:rsid w:val="30D77936"/>
    <w:rsid w:val="30D835ED"/>
    <w:rsid w:val="30DB7D9F"/>
    <w:rsid w:val="30DD6F16"/>
    <w:rsid w:val="30E6401D"/>
    <w:rsid w:val="30E83A79"/>
    <w:rsid w:val="30EB33E1"/>
    <w:rsid w:val="30EE1123"/>
    <w:rsid w:val="30F32296"/>
    <w:rsid w:val="30F73B34"/>
    <w:rsid w:val="30F878AC"/>
    <w:rsid w:val="31012C04"/>
    <w:rsid w:val="31046251"/>
    <w:rsid w:val="3106021B"/>
    <w:rsid w:val="31093867"/>
    <w:rsid w:val="3115220C"/>
    <w:rsid w:val="31197C45"/>
    <w:rsid w:val="311D12C6"/>
    <w:rsid w:val="311F308B"/>
    <w:rsid w:val="312143D9"/>
    <w:rsid w:val="31264419"/>
    <w:rsid w:val="3129746C"/>
    <w:rsid w:val="312B1A2F"/>
    <w:rsid w:val="31322DBE"/>
    <w:rsid w:val="31327262"/>
    <w:rsid w:val="313A6116"/>
    <w:rsid w:val="313C538A"/>
    <w:rsid w:val="313E59E6"/>
    <w:rsid w:val="313F54DB"/>
    <w:rsid w:val="31434FCB"/>
    <w:rsid w:val="314629EF"/>
    <w:rsid w:val="314851F1"/>
    <w:rsid w:val="314A45AB"/>
    <w:rsid w:val="314D409C"/>
    <w:rsid w:val="31552F50"/>
    <w:rsid w:val="315A7776"/>
    <w:rsid w:val="315F16D9"/>
    <w:rsid w:val="316230CA"/>
    <w:rsid w:val="316A6035"/>
    <w:rsid w:val="316B4522"/>
    <w:rsid w:val="317038E6"/>
    <w:rsid w:val="317558B3"/>
    <w:rsid w:val="317C6D20"/>
    <w:rsid w:val="317D6336"/>
    <w:rsid w:val="317F3B29"/>
    <w:rsid w:val="3180757A"/>
    <w:rsid w:val="31833038"/>
    <w:rsid w:val="31854FEF"/>
    <w:rsid w:val="318555E4"/>
    <w:rsid w:val="31865853"/>
    <w:rsid w:val="318850D4"/>
    <w:rsid w:val="318B6972"/>
    <w:rsid w:val="318C4058"/>
    <w:rsid w:val="318E6273"/>
    <w:rsid w:val="31905D36"/>
    <w:rsid w:val="319121DA"/>
    <w:rsid w:val="31921AAF"/>
    <w:rsid w:val="3192385D"/>
    <w:rsid w:val="319424A5"/>
    <w:rsid w:val="31943A79"/>
    <w:rsid w:val="3195334D"/>
    <w:rsid w:val="3199108F"/>
    <w:rsid w:val="31A57A34"/>
    <w:rsid w:val="31A677D0"/>
    <w:rsid w:val="31B03453"/>
    <w:rsid w:val="31B0789C"/>
    <w:rsid w:val="31B41A25"/>
    <w:rsid w:val="31B41DD4"/>
    <w:rsid w:val="31B61C41"/>
    <w:rsid w:val="31B71C9E"/>
    <w:rsid w:val="31B732C3"/>
    <w:rsid w:val="31BA2267"/>
    <w:rsid w:val="31BC58DA"/>
    <w:rsid w:val="31BD2FCF"/>
    <w:rsid w:val="31BE4652"/>
    <w:rsid w:val="31C003CA"/>
    <w:rsid w:val="31C00DA6"/>
    <w:rsid w:val="31CA1248"/>
    <w:rsid w:val="31CF1812"/>
    <w:rsid w:val="31D200FD"/>
    <w:rsid w:val="31D52836"/>
    <w:rsid w:val="31D64091"/>
    <w:rsid w:val="31D75713"/>
    <w:rsid w:val="31DD1110"/>
    <w:rsid w:val="31E0281A"/>
    <w:rsid w:val="31EB11BF"/>
    <w:rsid w:val="31EE13DB"/>
    <w:rsid w:val="31EF25F4"/>
    <w:rsid w:val="31F14BB1"/>
    <w:rsid w:val="31F2079F"/>
    <w:rsid w:val="31F255AF"/>
    <w:rsid w:val="31F77B64"/>
    <w:rsid w:val="31FB3AF8"/>
    <w:rsid w:val="320039CE"/>
    <w:rsid w:val="320A5AE9"/>
    <w:rsid w:val="320B4BD2"/>
    <w:rsid w:val="320C7AB3"/>
    <w:rsid w:val="320F75A3"/>
    <w:rsid w:val="321150C9"/>
    <w:rsid w:val="32123AF0"/>
    <w:rsid w:val="321C75CA"/>
    <w:rsid w:val="321D1D06"/>
    <w:rsid w:val="321D3A6E"/>
    <w:rsid w:val="322070BA"/>
    <w:rsid w:val="322A6600"/>
    <w:rsid w:val="32342B66"/>
    <w:rsid w:val="32385168"/>
    <w:rsid w:val="323B0398"/>
    <w:rsid w:val="323E1390"/>
    <w:rsid w:val="323E39E4"/>
    <w:rsid w:val="323E5792"/>
    <w:rsid w:val="324E07EA"/>
    <w:rsid w:val="325161E5"/>
    <w:rsid w:val="32523F5D"/>
    <w:rsid w:val="32566454"/>
    <w:rsid w:val="325B6344"/>
    <w:rsid w:val="32655415"/>
    <w:rsid w:val="326920C0"/>
    <w:rsid w:val="326B4842"/>
    <w:rsid w:val="326D1CBA"/>
    <w:rsid w:val="3271024F"/>
    <w:rsid w:val="32715B68"/>
    <w:rsid w:val="32751A7E"/>
    <w:rsid w:val="32765427"/>
    <w:rsid w:val="327A0EC0"/>
    <w:rsid w:val="327A6AF2"/>
    <w:rsid w:val="327B4FB4"/>
    <w:rsid w:val="327D518A"/>
    <w:rsid w:val="32805DAB"/>
    <w:rsid w:val="328062C5"/>
    <w:rsid w:val="3281224F"/>
    <w:rsid w:val="32851613"/>
    <w:rsid w:val="328C4750"/>
    <w:rsid w:val="329027F6"/>
    <w:rsid w:val="32A93554"/>
    <w:rsid w:val="32B1215D"/>
    <w:rsid w:val="32B2743A"/>
    <w:rsid w:val="32B334A9"/>
    <w:rsid w:val="32B53CA7"/>
    <w:rsid w:val="32BA306B"/>
    <w:rsid w:val="32CC40EF"/>
    <w:rsid w:val="32CE04BE"/>
    <w:rsid w:val="32CE3007"/>
    <w:rsid w:val="32D61E6F"/>
    <w:rsid w:val="32DB5E9A"/>
    <w:rsid w:val="32DD31FD"/>
    <w:rsid w:val="32E23B47"/>
    <w:rsid w:val="32E4458C"/>
    <w:rsid w:val="32E73282"/>
    <w:rsid w:val="32F01183"/>
    <w:rsid w:val="32F04CDF"/>
    <w:rsid w:val="32F6606D"/>
    <w:rsid w:val="32FA0755"/>
    <w:rsid w:val="32FA0DA8"/>
    <w:rsid w:val="32FD22FD"/>
    <w:rsid w:val="330662B0"/>
    <w:rsid w:val="330A65B4"/>
    <w:rsid w:val="330B38C7"/>
    <w:rsid w:val="330E3B79"/>
    <w:rsid w:val="330F60CC"/>
    <w:rsid w:val="331309CD"/>
    <w:rsid w:val="33176749"/>
    <w:rsid w:val="33184235"/>
    <w:rsid w:val="331D184C"/>
    <w:rsid w:val="331D35FA"/>
    <w:rsid w:val="33235DEF"/>
    <w:rsid w:val="3329614A"/>
    <w:rsid w:val="332B5D17"/>
    <w:rsid w:val="332C31B3"/>
    <w:rsid w:val="332E1CAB"/>
    <w:rsid w:val="33304B60"/>
    <w:rsid w:val="33310A59"/>
    <w:rsid w:val="33361796"/>
    <w:rsid w:val="33370B5F"/>
    <w:rsid w:val="333A024F"/>
    <w:rsid w:val="333F6A58"/>
    <w:rsid w:val="334A3B6B"/>
    <w:rsid w:val="334D2131"/>
    <w:rsid w:val="334D51BC"/>
    <w:rsid w:val="334F16BF"/>
    <w:rsid w:val="33550FE6"/>
    <w:rsid w:val="33571C4D"/>
    <w:rsid w:val="335F00B6"/>
    <w:rsid w:val="33604E27"/>
    <w:rsid w:val="3361798A"/>
    <w:rsid w:val="336631F3"/>
    <w:rsid w:val="3369683F"/>
    <w:rsid w:val="336970F4"/>
    <w:rsid w:val="3371013C"/>
    <w:rsid w:val="337376BE"/>
    <w:rsid w:val="33746DD8"/>
    <w:rsid w:val="337C47C4"/>
    <w:rsid w:val="337F36C7"/>
    <w:rsid w:val="33802506"/>
    <w:rsid w:val="33884F17"/>
    <w:rsid w:val="338B0EAB"/>
    <w:rsid w:val="338C61BF"/>
    <w:rsid w:val="33927790"/>
    <w:rsid w:val="33962A97"/>
    <w:rsid w:val="339E0BDF"/>
    <w:rsid w:val="33A022D5"/>
    <w:rsid w:val="33A37FA3"/>
    <w:rsid w:val="33A855B9"/>
    <w:rsid w:val="33AB6E58"/>
    <w:rsid w:val="33AE06F6"/>
    <w:rsid w:val="33B27D57"/>
    <w:rsid w:val="33B421B0"/>
    <w:rsid w:val="33B7001B"/>
    <w:rsid w:val="33B96FA5"/>
    <w:rsid w:val="33BC29FD"/>
    <w:rsid w:val="33BC2E13"/>
    <w:rsid w:val="33C0280E"/>
    <w:rsid w:val="33C361B3"/>
    <w:rsid w:val="33C543BD"/>
    <w:rsid w:val="33CF0D98"/>
    <w:rsid w:val="33D20888"/>
    <w:rsid w:val="33D24B7B"/>
    <w:rsid w:val="33DE722D"/>
    <w:rsid w:val="33DE7A75"/>
    <w:rsid w:val="33E16D1D"/>
    <w:rsid w:val="33EF4F96"/>
    <w:rsid w:val="33F47E32"/>
    <w:rsid w:val="33FC5905"/>
    <w:rsid w:val="33FE56CA"/>
    <w:rsid w:val="34012F1B"/>
    <w:rsid w:val="340622E0"/>
    <w:rsid w:val="340E1496"/>
    <w:rsid w:val="340F7177"/>
    <w:rsid w:val="340F73E6"/>
    <w:rsid w:val="341472E4"/>
    <w:rsid w:val="341B67C5"/>
    <w:rsid w:val="341D307C"/>
    <w:rsid w:val="34237336"/>
    <w:rsid w:val="342750AF"/>
    <w:rsid w:val="342F7A89"/>
    <w:rsid w:val="34343FC0"/>
    <w:rsid w:val="343B422E"/>
    <w:rsid w:val="34403A44"/>
    <w:rsid w:val="34404ADF"/>
    <w:rsid w:val="344057F2"/>
    <w:rsid w:val="344B50C9"/>
    <w:rsid w:val="344C23E9"/>
    <w:rsid w:val="344C4197"/>
    <w:rsid w:val="344D7F0F"/>
    <w:rsid w:val="345029CF"/>
    <w:rsid w:val="34515C51"/>
    <w:rsid w:val="34533777"/>
    <w:rsid w:val="34542E93"/>
    <w:rsid w:val="34550433"/>
    <w:rsid w:val="34565015"/>
    <w:rsid w:val="34580D8D"/>
    <w:rsid w:val="34602FDD"/>
    <w:rsid w:val="346333F2"/>
    <w:rsid w:val="34645984"/>
    <w:rsid w:val="3467447F"/>
    <w:rsid w:val="346911EC"/>
    <w:rsid w:val="346D5797"/>
    <w:rsid w:val="34703567"/>
    <w:rsid w:val="34762F98"/>
    <w:rsid w:val="347656B7"/>
    <w:rsid w:val="34796F56"/>
    <w:rsid w:val="34802092"/>
    <w:rsid w:val="34806536"/>
    <w:rsid w:val="34822315"/>
    <w:rsid w:val="34873421"/>
    <w:rsid w:val="34897199"/>
    <w:rsid w:val="348A4CBF"/>
    <w:rsid w:val="348B300C"/>
    <w:rsid w:val="348C0A37"/>
    <w:rsid w:val="348E2A01"/>
    <w:rsid w:val="34906BAC"/>
    <w:rsid w:val="34951ECC"/>
    <w:rsid w:val="3498562E"/>
    <w:rsid w:val="349B2A17"/>
    <w:rsid w:val="349F41F7"/>
    <w:rsid w:val="34A46DF0"/>
    <w:rsid w:val="34AA710F"/>
    <w:rsid w:val="34AE6BFF"/>
    <w:rsid w:val="34AF2977"/>
    <w:rsid w:val="34AF4725"/>
    <w:rsid w:val="34B306BA"/>
    <w:rsid w:val="34B81C83"/>
    <w:rsid w:val="34C14383"/>
    <w:rsid w:val="34C93A39"/>
    <w:rsid w:val="34CA0ED9"/>
    <w:rsid w:val="34D126EC"/>
    <w:rsid w:val="34D616D8"/>
    <w:rsid w:val="34D66156"/>
    <w:rsid w:val="34D94987"/>
    <w:rsid w:val="34DB376C"/>
    <w:rsid w:val="34DF325D"/>
    <w:rsid w:val="34EE16F2"/>
    <w:rsid w:val="34EF03DE"/>
    <w:rsid w:val="34EF0FC6"/>
    <w:rsid w:val="34F0546A"/>
    <w:rsid w:val="350031D3"/>
    <w:rsid w:val="35004C19"/>
    <w:rsid w:val="350727B3"/>
    <w:rsid w:val="350C3202"/>
    <w:rsid w:val="35123632"/>
    <w:rsid w:val="351A58A5"/>
    <w:rsid w:val="351A5A93"/>
    <w:rsid w:val="351D5B33"/>
    <w:rsid w:val="35215623"/>
    <w:rsid w:val="3526336A"/>
    <w:rsid w:val="352D221A"/>
    <w:rsid w:val="353335A8"/>
    <w:rsid w:val="35350B70"/>
    <w:rsid w:val="35357321"/>
    <w:rsid w:val="3538602B"/>
    <w:rsid w:val="353B0B1D"/>
    <w:rsid w:val="353B24CA"/>
    <w:rsid w:val="35496928"/>
    <w:rsid w:val="354B36CB"/>
    <w:rsid w:val="354B6B44"/>
    <w:rsid w:val="354C01C6"/>
    <w:rsid w:val="354D5BFB"/>
    <w:rsid w:val="354D6418"/>
    <w:rsid w:val="35586B6B"/>
    <w:rsid w:val="355C77E1"/>
    <w:rsid w:val="35613C72"/>
    <w:rsid w:val="3563249F"/>
    <w:rsid w:val="35635C3C"/>
    <w:rsid w:val="35650FA3"/>
    <w:rsid w:val="356B689E"/>
    <w:rsid w:val="356C2617"/>
    <w:rsid w:val="356E638F"/>
    <w:rsid w:val="357207F2"/>
    <w:rsid w:val="357240D1"/>
    <w:rsid w:val="357339A5"/>
    <w:rsid w:val="35760FBE"/>
    <w:rsid w:val="357A11D7"/>
    <w:rsid w:val="3580163E"/>
    <w:rsid w:val="35825CA7"/>
    <w:rsid w:val="35833D31"/>
    <w:rsid w:val="358B6F41"/>
    <w:rsid w:val="35951755"/>
    <w:rsid w:val="359A7184"/>
    <w:rsid w:val="359B1442"/>
    <w:rsid w:val="35A149B6"/>
    <w:rsid w:val="35A63D7A"/>
    <w:rsid w:val="35B50461"/>
    <w:rsid w:val="35B53FBD"/>
    <w:rsid w:val="35B91D00"/>
    <w:rsid w:val="35BC76F1"/>
    <w:rsid w:val="35C75C95"/>
    <w:rsid w:val="35C773D6"/>
    <w:rsid w:val="35CB1A33"/>
    <w:rsid w:val="35CC2F71"/>
    <w:rsid w:val="35CF507F"/>
    <w:rsid w:val="35D30F8E"/>
    <w:rsid w:val="35DB75A1"/>
    <w:rsid w:val="35DC59EE"/>
    <w:rsid w:val="35E87EEF"/>
    <w:rsid w:val="35E93C67"/>
    <w:rsid w:val="35EA2894"/>
    <w:rsid w:val="35ED3757"/>
    <w:rsid w:val="35EF4C65"/>
    <w:rsid w:val="35F25212"/>
    <w:rsid w:val="35F9034E"/>
    <w:rsid w:val="35FA7C22"/>
    <w:rsid w:val="35FB1202"/>
    <w:rsid w:val="360413AA"/>
    <w:rsid w:val="36050AA1"/>
    <w:rsid w:val="360867E3"/>
    <w:rsid w:val="360B2D37"/>
    <w:rsid w:val="360F7B72"/>
    <w:rsid w:val="36195DA0"/>
    <w:rsid w:val="36215FC8"/>
    <w:rsid w:val="36254EC5"/>
    <w:rsid w:val="36302B76"/>
    <w:rsid w:val="3630680D"/>
    <w:rsid w:val="36315D3A"/>
    <w:rsid w:val="363825A6"/>
    <w:rsid w:val="36394BEF"/>
    <w:rsid w:val="363B0967"/>
    <w:rsid w:val="3644567E"/>
    <w:rsid w:val="364A2958"/>
    <w:rsid w:val="364C4922"/>
    <w:rsid w:val="36507921"/>
    <w:rsid w:val="36545E50"/>
    <w:rsid w:val="36592A97"/>
    <w:rsid w:val="365A6A30"/>
    <w:rsid w:val="365E1446"/>
    <w:rsid w:val="365E6403"/>
    <w:rsid w:val="36624145"/>
    <w:rsid w:val="36637533"/>
    <w:rsid w:val="366559E4"/>
    <w:rsid w:val="36681030"/>
    <w:rsid w:val="366E2AEA"/>
    <w:rsid w:val="36730100"/>
    <w:rsid w:val="367714D5"/>
    <w:rsid w:val="36794FEB"/>
    <w:rsid w:val="367D0F7F"/>
    <w:rsid w:val="367E0853"/>
    <w:rsid w:val="3681393B"/>
    <w:rsid w:val="3681419A"/>
    <w:rsid w:val="368A3DF1"/>
    <w:rsid w:val="369260AD"/>
    <w:rsid w:val="36943E69"/>
    <w:rsid w:val="36944BFA"/>
    <w:rsid w:val="369D33CF"/>
    <w:rsid w:val="36A111C5"/>
    <w:rsid w:val="36A75D66"/>
    <w:rsid w:val="36AC3612"/>
    <w:rsid w:val="36B06652"/>
    <w:rsid w:val="36B424C7"/>
    <w:rsid w:val="36B50719"/>
    <w:rsid w:val="36B6623F"/>
    <w:rsid w:val="36BD5820"/>
    <w:rsid w:val="36C13DB6"/>
    <w:rsid w:val="36C47130"/>
    <w:rsid w:val="36C62A73"/>
    <w:rsid w:val="36C7044C"/>
    <w:rsid w:val="36C73FA8"/>
    <w:rsid w:val="36CE0556"/>
    <w:rsid w:val="36D32BC4"/>
    <w:rsid w:val="36DA111C"/>
    <w:rsid w:val="36DB5CA6"/>
    <w:rsid w:val="36DF7544"/>
    <w:rsid w:val="36E034DA"/>
    <w:rsid w:val="36E27034"/>
    <w:rsid w:val="36EB4B1F"/>
    <w:rsid w:val="36EE608B"/>
    <w:rsid w:val="36F154C9"/>
    <w:rsid w:val="36FA413E"/>
    <w:rsid w:val="36FB00F6"/>
    <w:rsid w:val="36FF4A43"/>
    <w:rsid w:val="3700570C"/>
    <w:rsid w:val="37123663"/>
    <w:rsid w:val="37125486"/>
    <w:rsid w:val="3715740A"/>
    <w:rsid w:val="37180CA8"/>
    <w:rsid w:val="3720190B"/>
    <w:rsid w:val="37213AEB"/>
    <w:rsid w:val="372907BF"/>
    <w:rsid w:val="372E3A42"/>
    <w:rsid w:val="37305FF2"/>
    <w:rsid w:val="37332FDB"/>
    <w:rsid w:val="37375D11"/>
    <w:rsid w:val="37376A33"/>
    <w:rsid w:val="373C4433"/>
    <w:rsid w:val="3747231F"/>
    <w:rsid w:val="3747333B"/>
    <w:rsid w:val="374C2700"/>
    <w:rsid w:val="375110FC"/>
    <w:rsid w:val="37533A8E"/>
    <w:rsid w:val="375907F6"/>
    <w:rsid w:val="375B6998"/>
    <w:rsid w:val="375D05C6"/>
    <w:rsid w:val="37647A49"/>
    <w:rsid w:val="37672E6A"/>
    <w:rsid w:val="376B0DD8"/>
    <w:rsid w:val="376D0FF4"/>
    <w:rsid w:val="37757EA8"/>
    <w:rsid w:val="377D4444"/>
    <w:rsid w:val="378B3228"/>
    <w:rsid w:val="379245B6"/>
    <w:rsid w:val="3793032E"/>
    <w:rsid w:val="379320DC"/>
    <w:rsid w:val="37971BCD"/>
    <w:rsid w:val="379C71E3"/>
    <w:rsid w:val="37AE72B0"/>
    <w:rsid w:val="37B55BE7"/>
    <w:rsid w:val="37B564F7"/>
    <w:rsid w:val="37C4498C"/>
    <w:rsid w:val="37C910AC"/>
    <w:rsid w:val="37CB5D1A"/>
    <w:rsid w:val="37CE4EB3"/>
    <w:rsid w:val="37D41ABC"/>
    <w:rsid w:val="37DE5A4E"/>
    <w:rsid w:val="37DF2259"/>
    <w:rsid w:val="37E73965"/>
    <w:rsid w:val="37E7787E"/>
    <w:rsid w:val="37E80261"/>
    <w:rsid w:val="37EE75BC"/>
    <w:rsid w:val="37EF1A09"/>
    <w:rsid w:val="37F04075"/>
    <w:rsid w:val="37F30DCD"/>
    <w:rsid w:val="37F7266B"/>
    <w:rsid w:val="37F830B3"/>
    <w:rsid w:val="37F86F59"/>
    <w:rsid w:val="37F91B2A"/>
    <w:rsid w:val="37F9231C"/>
    <w:rsid w:val="37FB2104"/>
    <w:rsid w:val="37FF59C4"/>
    <w:rsid w:val="38006422"/>
    <w:rsid w:val="3802643A"/>
    <w:rsid w:val="38033FE9"/>
    <w:rsid w:val="380B25BB"/>
    <w:rsid w:val="3817332C"/>
    <w:rsid w:val="381C0324"/>
    <w:rsid w:val="381C20D2"/>
    <w:rsid w:val="382120F6"/>
    <w:rsid w:val="382221C6"/>
    <w:rsid w:val="382316B2"/>
    <w:rsid w:val="382611A3"/>
    <w:rsid w:val="38297F3C"/>
    <w:rsid w:val="382A6ED2"/>
    <w:rsid w:val="38305B7D"/>
    <w:rsid w:val="38312021"/>
    <w:rsid w:val="383523CC"/>
    <w:rsid w:val="383733B0"/>
    <w:rsid w:val="3838582C"/>
    <w:rsid w:val="38451629"/>
    <w:rsid w:val="384821C3"/>
    <w:rsid w:val="384B18C4"/>
    <w:rsid w:val="384E2B2B"/>
    <w:rsid w:val="38500D2A"/>
    <w:rsid w:val="38544223"/>
    <w:rsid w:val="38637D01"/>
    <w:rsid w:val="38645B5F"/>
    <w:rsid w:val="386666E4"/>
    <w:rsid w:val="38675D29"/>
    <w:rsid w:val="3872263A"/>
    <w:rsid w:val="3873074E"/>
    <w:rsid w:val="38765C86"/>
    <w:rsid w:val="387D5D44"/>
    <w:rsid w:val="388008B3"/>
    <w:rsid w:val="3886639C"/>
    <w:rsid w:val="38896D41"/>
    <w:rsid w:val="388A20A7"/>
    <w:rsid w:val="38944A2F"/>
    <w:rsid w:val="389731AD"/>
    <w:rsid w:val="389D6705"/>
    <w:rsid w:val="389E359A"/>
    <w:rsid w:val="38A01134"/>
    <w:rsid w:val="38A071A7"/>
    <w:rsid w:val="38A13033"/>
    <w:rsid w:val="38A816A5"/>
    <w:rsid w:val="38AF2F46"/>
    <w:rsid w:val="38B8629F"/>
    <w:rsid w:val="38BB18EB"/>
    <w:rsid w:val="38BD38B5"/>
    <w:rsid w:val="38C033A5"/>
    <w:rsid w:val="38C641BE"/>
    <w:rsid w:val="38C70290"/>
    <w:rsid w:val="38C74734"/>
    <w:rsid w:val="38C8225A"/>
    <w:rsid w:val="38D004F4"/>
    <w:rsid w:val="38D11671"/>
    <w:rsid w:val="38D64977"/>
    <w:rsid w:val="38D7229A"/>
    <w:rsid w:val="38E17D08"/>
    <w:rsid w:val="38ED3A6E"/>
    <w:rsid w:val="38ED5EE9"/>
    <w:rsid w:val="38EE78A6"/>
    <w:rsid w:val="38F4784B"/>
    <w:rsid w:val="38F8669B"/>
    <w:rsid w:val="38FB357D"/>
    <w:rsid w:val="38FE0D31"/>
    <w:rsid w:val="390037A2"/>
    <w:rsid w:val="3905525C"/>
    <w:rsid w:val="39055B44"/>
    <w:rsid w:val="3905700A"/>
    <w:rsid w:val="39065067"/>
    <w:rsid w:val="390E5EBF"/>
    <w:rsid w:val="390F0F9B"/>
    <w:rsid w:val="391330CA"/>
    <w:rsid w:val="391A2595"/>
    <w:rsid w:val="391B05DB"/>
    <w:rsid w:val="391F00CC"/>
    <w:rsid w:val="391F2C90"/>
    <w:rsid w:val="39241B86"/>
    <w:rsid w:val="39264A36"/>
    <w:rsid w:val="3938121A"/>
    <w:rsid w:val="393D1448"/>
    <w:rsid w:val="39462890"/>
    <w:rsid w:val="3948702E"/>
    <w:rsid w:val="394C2E8B"/>
    <w:rsid w:val="39537D75"/>
    <w:rsid w:val="395435A5"/>
    <w:rsid w:val="39584887"/>
    <w:rsid w:val="39621846"/>
    <w:rsid w:val="39661562"/>
    <w:rsid w:val="3969383E"/>
    <w:rsid w:val="396C7FAA"/>
    <w:rsid w:val="396E2827"/>
    <w:rsid w:val="3971644D"/>
    <w:rsid w:val="397A3554"/>
    <w:rsid w:val="39815F30"/>
    <w:rsid w:val="39817A85"/>
    <w:rsid w:val="39873EC3"/>
    <w:rsid w:val="398E5251"/>
    <w:rsid w:val="398E6E86"/>
    <w:rsid w:val="39987E7E"/>
    <w:rsid w:val="399C227B"/>
    <w:rsid w:val="39A14F85"/>
    <w:rsid w:val="39A32CCC"/>
    <w:rsid w:val="39A71E6F"/>
    <w:rsid w:val="39A84565"/>
    <w:rsid w:val="39AC2F99"/>
    <w:rsid w:val="39B22E89"/>
    <w:rsid w:val="39B822CE"/>
    <w:rsid w:val="39BB5C8D"/>
    <w:rsid w:val="39C24EFB"/>
    <w:rsid w:val="39C40C73"/>
    <w:rsid w:val="39C4792F"/>
    <w:rsid w:val="39C72511"/>
    <w:rsid w:val="39CC0C92"/>
    <w:rsid w:val="39D43DF0"/>
    <w:rsid w:val="39D76BE6"/>
    <w:rsid w:val="39D95CDA"/>
    <w:rsid w:val="39D97287"/>
    <w:rsid w:val="39DD05F6"/>
    <w:rsid w:val="39DF6CCE"/>
    <w:rsid w:val="39E23AB6"/>
    <w:rsid w:val="39E36545"/>
    <w:rsid w:val="39E76710"/>
    <w:rsid w:val="39EA1700"/>
    <w:rsid w:val="39EB1601"/>
    <w:rsid w:val="39F2758E"/>
    <w:rsid w:val="39F3557E"/>
    <w:rsid w:val="39FA031B"/>
    <w:rsid w:val="39FD13E3"/>
    <w:rsid w:val="39FE2691"/>
    <w:rsid w:val="3A053765"/>
    <w:rsid w:val="3A0D261A"/>
    <w:rsid w:val="3A0F7273"/>
    <w:rsid w:val="3A133241"/>
    <w:rsid w:val="3A15327D"/>
    <w:rsid w:val="3A155D7D"/>
    <w:rsid w:val="3A185405"/>
    <w:rsid w:val="3A1F5EA9"/>
    <w:rsid w:val="3A2160C5"/>
    <w:rsid w:val="3A217E73"/>
    <w:rsid w:val="3A26309A"/>
    <w:rsid w:val="3A2762EE"/>
    <w:rsid w:val="3A2E0608"/>
    <w:rsid w:val="3A2F07E2"/>
    <w:rsid w:val="3A30455A"/>
    <w:rsid w:val="3A325BDD"/>
    <w:rsid w:val="3A347BA7"/>
    <w:rsid w:val="3A361B71"/>
    <w:rsid w:val="3A3C2EFF"/>
    <w:rsid w:val="3A3D4F53"/>
    <w:rsid w:val="3A3D6694"/>
    <w:rsid w:val="3A3E793E"/>
    <w:rsid w:val="3A3F0FB4"/>
    <w:rsid w:val="3A3F654C"/>
    <w:rsid w:val="3A451DB4"/>
    <w:rsid w:val="3A4554C0"/>
    <w:rsid w:val="3A4B6C9E"/>
    <w:rsid w:val="3A52627F"/>
    <w:rsid w:val="3A541FF7"/>
    <w:rsid w:val="3A5C5C73"/>
    <w:rsid w:val="3A5D7F4E"/>
    <w:rsid w:val="3A5F274A"/>
    <w:rsid w:val="3A6400FD"/>
    <w:rsid w:val="3A652CCE"/>
    <w:rsid w:val="3A687850"/>
    <w:rsid w:val="3A6A7A6C"/>
    <w:rsid w:val="3A6D130B"/>
    <w:rsid w:val="3A7601BF"/>
    <w:rsid w:val="3A7B3A28"/>
    <w:rsid w:val="3A7B57D6"/>
    <w:rsid w:val="3A7F2D56"/>
    <w:rsid w:val="3A89770A"/>
    <w:rsid w:val="3A916E4E"/>
    <w:rsid w:val="3A9643BE"/>
    <w:rsid w:val="3A9C574C"/>
    <w:rsid w:val="3A9D6889"/>
    <w:rsid w:val="3AA20FB4"/>
    <w:rsid w:val="3AA661B2"/>
    <w:rsid w:val="3AA86CE8"/>
    <w:rsid w:val="3AAA60BB"/>
    <w:rsid w:val="3AAC1E33"/>
    <w:rsid w:val="3AAD713E"/>
    <w:rsid w:val="3AAE452D"/>
    <w:rsid w:val="3AB17449"/>
    <w:rsid w:val="3AB412B2"/>
    <w:rsid w:val="3ABB0191"/>
    <w:rsid w:val="3ABC7B9C"/>
    <w:rsid w:val="3ABE1B66"/>
    <w:rsid w:val="3AC62888"/>
    <w:rsid w:val="3AC75726"/>
    <w:rsid w:val="3AC76C6D"/>
    <w:rsid w:val="3AC96ADB"/>
    <w:rsid w:val="3ACD1B62"/>
    <w:rsid w:val="3AD01F1E"/>
    <w:rsid w:val="3AD46C94"/>
    <w:rsid w:val="3AD60179"/>
    <w:rsid w:val="3AD924FC"/>
    <w:rsid w:val="3ADB44B4"/>
    <w:rsid w:val="3ADD6169"/>
    <w:rsid w:val="3ADE5C5A"/>
    <w:rsid w:val="3ADF7F71"/>
    <w:rsid w:val="3AE157E3"/>
    <w:rsid w:val="3AE315CD"/>
    <w:rsid w:val="3AE3337B"/>
    <w:rsid w:val="3AE6618E"/>
    <w:rsid w:val="3AE8273F"/>
    <w:rsid w:val="3AE945BB"/>
    <w:rsid w:val="3AEC31E6"/>
    <w:rsid w:val="3AEE244B"/>
    <w:rsid w:val="3AFC1070"/>
    <w:rsid w:val="3AFC4F2B"/>
    <w:rsid w:val="3B027CA5"/>
    <w:rsid w:val="3B077069"/>
    <w:rsid w:val="3B0A0908"/>
    <w:rsid w:val="3B0A6B5A"/>
    <w:rsid w:val="3B184F27"/>
    <w:rsid w:val="3B1A3241"/>
    <w:rsid w:val="3B1B0D67"/>
    <w:rsid w:val="3B21462B"/>
    <w:rsid w:val="3B2220F5"/>
    <w:rsid w:val="3B2350B9"/>
    <w:rsid w:val="3B2E6E59"/>
    <w:rsid w:val="3B31058A"/>
    <w:rsid w:val="3B3977BC"/>
    <w:rsid w:val="3B3A5A9B"/>
    <w:rsid w:val="3B3A743F"/>
    <w:rsid w:val="3B3E6803"/>
    <w:rsid w:val="3B3F2CA7"/>
    <w:rsid w:val="3B3F6576"/>
    <w:rsid w:val="3B401561"/>
    <w:rsid w:val="3B415017"/>
    <w:rsid w:val="3B4C1CE5"/>
    <w:rsid w:val="3B51577D"/>
    <w:rsid w:val="3B561D9F"/>
    <w:rsid w:val="3B5D137F"/>
    <w:rsid w:val="3B6224F2"/>
    <w:rsid w:val="3B6B3A9C"/>
    <w:rsid w:val="3B6E70E8"/>
    <w:rsid w:val="3B713DAE"/>
    <w:rsid w:val="3B762441"/>
    <w:rsid w:val="3B7A5A8D"/>
    <w:rsid w:val="3B7D557D"/>
    <w:rsid w:val="3B7E4EA7"/>
    <w:rsid w:val="3B8406BA"/>
    <w:rsid w:val="3B8763FC"/>
    <w:rsid w:val="3B8B3833"/>
    <w:rsid w:val="3B8C756F"/>
    <w:rsid w:val="3B8D0D14"/>
    <w:rsid w:val="3B915597"/>
    <w:rsid w:val="3B964F65"/>
    <w:rsid w:val="3B974891"/>
    <w:rsid w:val="3B9F3746"/>
    <w:rsid w:val="3BA823FC"/>
    <w:rsid w:val="3BB72406"/>
    <w:rsid w:val="3BB84807"/>
    <w:rsid w:val="3BBC611C"/>
    <w:rsid w:val="3BBF7944"/>
    <w:rsid w:val="3BC02A4E"/>
    <w:rsid w:val="3BC211E2"/>
    <w:rsid w:val="3BD43D6B"/>
    <w:rsid w:val="3BD80A06"/>
    <w:rsid w:val="3BD827B4"/>
    <w:rsid w:val="3BE12B3C"/>
    <w:rsid w:val="3BE3642D"/>
    <w:rsid w:val="3BF205FF"/>
    <w:rsid w:val="3BFA6BCE"/>
    <w:rsid w:val="3BFE0815"/>
    <w:rsid w:val="3BFE66BE"/>
    <w:rsid w:val="3C004876"/>
    <w:rsid w:val="3C0B19F1"/>
    <w:rsid w:val="3C103F98"/>
    <w:rsid w:val="3C131A3E"/>
    <w:rsid w:val="3C171A5F"/>
    <w:rsid w:val="3C175980"/>
    <w:rsid w:val="3C213BAF"/>
    <w:rsid w:val="3C290172"/>
    <w:rsid w:val="3C29300F"/>
    <w:rsid w:val="3C2B3D1A"/>
    <w:rsid w:val="3C2B6D87"/>
    <w:rsid w:val="3C2B7832"/>
    <w:rsid w:val="3C2C4053"/>
    <w:rsid w:val="3C395948"/>
    <w:rsid w:val="3C3D6ABB"/>
    <w:rsid w:val="3C434910"/>
    <w:rsid w:val="3C487939"/>
    <w:rsid w:val="3C4B1FA8"/>
    <w:rsid w:val="3C574020"/>
    <w:rsid w:val="3C597D99"/>
    <w:rsid w:val="3C5A45CF"/>
    <w:rsid w:val="3C600D3F"/>
    <w:rsid w:val="3C667DC0"/>
    <w:rsid w:val="3C681D8A"/>
    <w:rsid w:val="3C68787F"/>
    <w:rsid w:val="3C6B187A"/>
    <w:rsid w:val="3C6B4DFB"/>
    <w:rsid w:val="3C700C3E"/>
    <w:rsid w:val="3C7544A7"/>
    <w:rsid w:val="3C7603D2"/>
    <w:rsid w:val="3C7655B7"/>
    <w:rsid w:val="3C7E77FF"/>
    <w:rsid w:val="3C8077EA"/>
    <w:rsid w:val="3C81292C"/>
    <w:rsid w:val="3C88242C"/>
    <w:rsid w:val="3C8B6976"/>
    <w:rsid w:val="3C8C2BC5"/>
    <w:rsid w:val="3C8F1A03"/>
    <w:rsid w:val="3C8F2821"/>
    <w:rsid w:val="3C9012E0"/>
    <w:rsid w:val="3C9E57AB"/>
    <w:rsid w:val="3CA01BC2"/>
    <w:rsid w:val="3CA03531"/>
    <w:rsid w:val="3CA50080"/>
    <w:rsid w:val="3CAF79B9"/>
    <w:rsid w:val="3CB32506"/>
    <w:rsid w:val="3CB63D30"/>
    <w:rsid w:val="3CBB4F2E"/>
    <w:rsid w:val="3CBC1920"/>
    <w:rsid w:val="3CBC3E83"/>
    <w:rsid w:val="3CBD666B"/>
    <w:rsid w:val="3CC86A29"/>
    <w:rsid w:val="3CCA65A0"/>
    <w:rsid w:val="3CCD1D80"/>
    <w:rsid w:val="3CCF005B"/>
    <w:rsid w:val="3CD967E3"/>
    <w:rsid w:val="3CDB20A0"/>
    <w:rsid w:val="3CDE204C"/>
    <w:rsid w:val="3CE35102"/>
    <w:rsid w:val="3CE60F00"/>
    <w:rsid w:val="3CFD25D6"/>
    <w:rsid w:val="3D037D04"/>
    <w:rsid w:val="3D0715A3"/>
    <w:rsid w:val="3D0F414A"/>
    <w:rsid w:val="3D103642"/>
    <w:rsid w:val="3D145A6E"/>
    <w:rsid w:val="3D1B5254"/>
    <w:rsid w:val="3D1D50D0"/>
    <w:rsid w:val="3D25222F"/>
    <w:rsid w:val="3D2832C7"/>
    <w:rsid w:val="3D2A1DC6"/>
    <w:rsid w:val="3D2E2FD3"/>
    <w:rsid w:val="3D2E4D81"/>
    <w:rsid w:val="3D356E4E"/>
    <w:rsid w:val="3D394B53"/>
    <w:rsid w:val="3D3A1136"/>
    <w:rsid w:val="3D3B749E"/>
    <w:rsid w:val="3D3E0322"/>
    <w:rsid w:val="3D3E0D3C"/>
    <w:rsid w:val="3D4124DC"/>
    <w:rsid w:val="3D42082D"/>
    <w:rsid w:val="3D472518"/>
    <w:rsid w:val="3D483969"/>
    <w:rsid w:val="3D4A148F"/>
    <w:rsid w:val="3D4B0059"/>
    <w:rsid w:val="3D4F2F4A"/>
    <w:rsid w:val="3D524314"/>
    <w:rsid w:val="3D5567B2"/>
    <w:rsid w:val="3D566086"/>
    <w:rsid w:val="3D5B369C"/>
    <w:rsid w:val="3D5D11C3"/>
    <w:rsid w:val="3D5D5666"/>
    <w:rsid w:val="3D6562C9"/>
    <w:rsid w:val="3D6632CE"/>
    <w:rsid w:val="3D66348F"/>
    <w:rsid w:val="3D6658FE"/>
    <w:rsid w:val="3D6A2EE3"/>
    <w:rsid w:val="3D6A386C"/>
    <w:rsid w:val="3D6C7658"/>
    <w:rsid w:val="3D7A7FC6"/>
    <w:rsid w:val="3D7F382F"/>
    <w:rsid w:val="3D7F5D88"/>
    <w:rsid w:val="3D8250CD"/>
    <w:rsid w:val="3D831949"/>
    <w:rsid w:val="3D8B040A"/>
    <w:rsid w:val="3D8C5F4C"/>
    <w:rsid w:val="3D8E3A72"/>
    <w:rsid w:val="3D912D0A"/>
    <w:rsid w:val="3D931088"/>
    <w:rsid w:val="3D954E00"/>
    <w:rsid w:val="3D9B65E3"/>
    <w:rsid w:val="3D9D1F07"/>
    <w:rsid w:val="3DA52B6A"/>
    <w:rsid w:val="3DA9265A"/>
    <w:rsid w:val="3DAF1B5E"/>
    <w:rsid w:val="3DAF5796"/>
    <w:rsid w:val="3DB35286"/>
    <w:rsid w:val="3DB646B6"/>
    <w:rsid w:val="3DB73C74"/>
    <w:rsid w:val="3DB8289D"/>
    <w:rsid w:val="3DBC05DF"/>
    <w:rsid w:val="3DBF40D8"/>
    <w:rsid w:val="3DC27020"/>
    <w:rsid w:val="3DC56D68"/>
    <w:rsid w:val="3DCC6348"/>
    <w:rsid w:val="3DD31485"/>
    <w:rsid w:val="3DD441F1"/>
    <w:rsid w:val="3DD6576A"/>
    <w:rsid w:val="3DD86A9B"/>
    <w:rsid w:val="3DDA7882"/>
    <w:rsid w:val="3DDF607B"/>
    <w:rsid w:val="3DE15BC8"/>
    <w:rsid w:val="3DE37306"/>
    <w:rsid w:val="3DE47B36"/>
    <w:rsid w:val="3DE74F30"/>
    <w:rsid w:val="3DE93370"/>
    <w:rsid w:val="3DEB0EC4"/>
    <w:rsid w:val="3DEB4836"/>
    <w:rsid w:val="3DEE62BF"/>
    <w:rsid w:val="3DF0662A"/>
    <w:rsid w:val="3DF5589F"/>
    <w:rsid w:val="3DFA2EB5"/>
    <w:rsid w:val="3DFD1787"/>
    <w:rsid w:val="3E00245E"/>
    <w:rsid w:val="3E02162D"/>
    <w:rsid w:val="3E062D99"/>
    <w:rsid w:val="3E067AAC"/>
    <w:rsid w:val="3E10092B"/>
    <w:rsid w:val="3E104F52"/>
    <w:rsid w:val="3E172AA3"/>
    <w:rsid w:val="3E1864B0"/>
    <w:rsid w:val="3E1C457E"/>
    <w:rsid w:val="3E1E2BFE"/>
    <w:rsid w:val="3E1F46CA"/>
    <w:rsid w:val="3E1F552D"/>
    <w:rsid w:val="3E237209"/>
    <w:rsid w:val="3E253286"/>
    <w:rsid w:val="3E29379B"/>
    <w:rsid w:val="3E344619"/>
    <w:rsid w:val="3E3839DE"/>
    <w:rsid w:val="3E3A1504"/>
    <w:rsid w:val="3E3D2DA2"/>
    <w:rsid w:val="3E407E8E"/>
    <w:rsid w:val="3E4504D0"/>
    <w:rsid w:val="3E453D00"/>
    <w:rsid w:val="3E467EA9"/>
    <w:rsid w:val="3E4D4B98"/>
    <w:rsid w:val="3E5129D7"/>
    <w:rsid w:val="3E54320C"/>
    <w:rsid w:val="3E555110"/>
    <w:rsid w:val="3E5A3954"/>
    <w:rsid w:val="3E5C147A"/>
    <w:rsid w:val="3E5D51F2"/>
    <w:rsid w:val="3E5E3444"/>
    <w:rsid w:val="3E60767B"/>
    <w:rsid w:val="3E6B3DB3"/>
    <w:rsid w:val="3E7210B7"/>
    <w:rsid w:val="3E755785"/>
    <w:rsid w:val="3E7C747A"/>
    <w:rsid w:val="3E822812"/>
    <w:rsid w:val="3E8310FD"/>
    <w:rsid w:val="3E845132"/>
    <w:rsid w:val="3E860BED"/>
    <w:rsid w:val="3E86299B"/>
    <w:rsid w:val="3E8B6203"/>
    <w:rsid w:val="3E8D1F7B"/>
    <w:rsid w:val="3E906080"/>
    <w:rsid w:val="3E95498C"/>
    <w:rsid w:val="3E962118"/>
    <w:rsid w:val="3E9B1F29"/>
    <w:rsid w:val="3E9F7300"/>
    <w:rsid w:val="3EA13331"/>
    <w:rsid w:val="3EA6303D"/>
    <w:rsid w:val="3EA80B63"/>
    <w:rsid w:val="3EA90D87"/>
    <w:rsid w:val="3EAD642E"/>
    <w:rsid w:val="3EB05E1A"/>
    <w:rsid w:val="3EB47508"/>
    <w:rsid w:val="3EB56AD2"/>
    <w:rsid w:val="3EB56CCB"/>
    <w:rsid w:val="3EB56DDC"/>
    <w:rsid w:val="3EBC016B"/>
    <w:rsid w:val="3EBE3EE3"/>
    <w:rsid w:val="3EBF502E"/>
    <w:rsid w:val="3ECD05CA"/>
    <w:rsid w:val="3ECD2378"/>
    <w:rsid w:val="3ED41958"/>
    <w:rsid w:val="3EDA6843"/>
    <w:rsid w:val="3EDD6FEC"/>
    <w:rsid w:val="3EE27D90"/>
    <w:rsid w:val="3EE85004"/>
    <w:rsid w:val="3EEB139D"/>
    <w:rsid w:val="3EEC4EF4"/>
    <w:rsid w:val="3EED43A1"/>
    <w:rsid w:val="3EEE268B"/>
    <w:rsid w:val="3EF15791"/>
    <w:rsid w:val="3EF525B1"/>
    <w:rsid w:val="3EF67B21"/>
    <w:rsid w:val="3EF75647"/>
    <w:rsid w:val="3EF814B4"/>
    <w:rsid w:val="3EF9316D"/>
    <w:rsid w:val="3EFC4A0B"/>
    <w:rsid w:val="3EFF5CC0"/>
    <w:rsid w:val="3F00274D"/>
    <w:rsid w:val="3F051C53"/>
    <w:rsid w:val="3F075CC4"/>
    <w:rsid w:val="3F0A7362"/>
    <w:rsid w:val="3F0F4D0A"/>
    <w:rsid w:val="3F134B07"/>
    <w:rsid w:val="3F161F71"/>
    <w:rsid w:val="3F171845"/>
    <w:rsid w:val="3F20694C"/>
    <w:rsid w:val="3F214472"/>
    <w:rsid w:val="3F2261CC"/>
    <w:rsid w:val="3F2327AF"/>
    <w:rsid w:val="3F30369F"/>
    <w:rsid w:val="3F3146B5"/>
    <w:rsid w:val="3F3E6DD2"/>
    <w:rsid w:val="3F453306"/>
    <w:rsid w:val="3F4C7741"/>
    <w:rsid w:val="3F566811"/>
    <w:rsid w:val="3F586A17"/>
    <w:rsid w:val="3F5B0647"/>
    <w:rsid w:val="3F5D7549"/>
    <w:rsid w:val="3F634A8A"/>
    <w:rsid w:val="3F652489"/>
    <w:rsid w:val="3F6525B0"/>
    <w:rsid w:val="3F676329"/>
    <w:rsid w:val="3F685210"/>
    <w:rsid w:val="3F6853D5"/>
    <w:rsid w:val="3F6902F3"/>
    <w:rsid w:val="3F697D51"/>
    <w:rsid w:val="3F6D3AA2"/>
    <w:rsid w:val="3F6F51DD"/>
    <w:rsid w:val="3F715648"/>
    <w:rsid w:val="3F7A3EC1"/>
    <w:rsid w:val="3F7D5B12"/>
    <w:rsid w:val="3F7D5B4C"/>
    <w:rsid w:val="3F84625B"/>
    <w:rsid w:val="3F87756C"/>
    <w:rsid w:val="3F89502B"/>
    <w:rsid w:val="3F914419"/>
    <w:rsid w:val="3F93536F"/>
    <w:rsid w:val="3F991855"/>
    <w:rsid w:val="3F9D61EE"/>
    <w:rsid w:val="3FA52D38"/>
    <w:rsid w:val="3FA64167"/>
    <w:rsid w:val="3FA7706D"/>
    <w:rsid w:val="3FAF7BD7"/>
    <w:rsid w:val="3FB11EA9"/>
    <w:rsid w:val="3FB35A12"/>
    <w:rsid w:val="3FB613E3"/>
    <w:rsid w:val="3FBD419A"/>
    <w:rsid w:val="3FBF580A"/>
    <w:rsid w:val="3FC217B1"/>
    <w:rsid w:val="3FC4792F"/>
    <w:rsid w:val="3FCB2D5B"/>
    <w:rsid w:val="3FCD55F4"/>
    <w:rsid w:val="3FCE45FA"/>
    <w:rsid w:val="3FD35E75"/>
    <w:rsid w:val="3FD575AC"/>
    <w:rsid w:val="3FD85478"/>
    <w:rsid w:val="3FDA2F9E"/>
    <w:rsid w:val="3FDB41B5"/>
    <w:rsid w:val="3FDB6FF4"/>
    <w:rsid w:val="3FE56D55"/>
    <w:rsid w:val="3FE94F8F"/>
    <w:rsid w:val="3FF343DB"/>
    <w:rsid w:val="3FF7787D"/>
    <w:rsid w:val="3FFC1167"/>
    <w:rsid w:val="3FFE3A45"/>
    <w:rsid w:val="3FFF47B3"/>
    <w:rsid w:val="400627B6"/>
    <w:rsid w:val="400718BA"/>
    <w:rsid w:val="40077B0C"/>
    <w:rsid w:val="40095632"/>
    <w:rsid w:val="40104C12"/>
    <w:rsid w:val="4020600A"/>
    <w:rsid w:val="402204A1"/>
    <w:rsid w:val="4024536D"/>
    <w:rsid w:val="402507DC"/>
    <w:rsid w:val="402814CD"/>
    <w:rsid w:val="40296E63"/>
    <w:rsid w:val="402B37FA"/>
    <w:rsid w:val="402D2248"/>
    <w:rsid w:val="402E6E46"/>
    <w:rsid w:val="40316936"/>
    <w:rsid w:val="403322C1"/>
    <w:rsid w:val="403A3A3D"/>
    <w:rsid w:val="403B7942"/>
    <w:rsid w:val="403F3B8A"/>
    <w:rsid w:val="40460634"/>
    <w:rsid w:val="40466196"/>
    <w:rsid w:val="404E74E8"/>
    <w:rsid w:val="4052541B"/>
    <w:rsid w:val="40564282"/>
    <w:rsid w:val="40572841"/>
    <w:rsid w:val="4057639D"/>
    <w:rsid w:val="405A7913"/>
    <w:rsid w:val="405B6095"/>
    <w:rsid w:val="40657FDE"/>
    <w:rsid w:val="40661095"/>
    <w:rsid w:val="406805AA"/>
    <w:rsid w:val="4068695F"/>
    <w:rsid w:val="40692574"/>
    <w:rsid w:val="4074504C"/>
    <w:rsid w:val="407A652F"/>
    <w:rsid w:val="407C4056"/>
    <w:rsid w:val="407D76F5"/>
    <w:rsid w:val="40806076"/>
    <w:rsid w:val="40864ED4"/>
    <w:rsid w:val="40916EC8"/>
    <w:rsid w:val="4092048B"/>
    <w:rsid w:val="409A0980"/>
    <w:rsid w:val="409C64A6"/>
    <w:rsid w:val="409E5184"/>
    <w:rsid w:val="409F15FF"/>
    <w:rsid w:val="409F22FD"/>
    <w:rsid w:val="40A315E2"/>
    <w:rsid w:val="40AA0BC3"/>
    <w:rsid w:val="40AE417A"/>
    <w:rsid w:val="40B51316"/>
    <w:rsid w:val="40B70553"/>
    <w:rsid w:val="40B76E3C"/>
    <w:rsid w:val="40BB2DD0"/>
    <w:rsid w:val="40BC6B48"/>
    <w:rsid w:val="40BE01CA"/>
    <w:rsid w:val="40C17CBA"/>
    <w:rsid w:val="40C31C84"/>
    <w:rsid w:val="40C34FB5"/>
    <w:rsid w:val="40CB28E7"/>
    <w:rsid w:val="40DB6278"/>
    <w:rsid w:val="40DC2D46"/>
    <w:rsid w:val="40DF6392"/>
    <w:rsid w:val="40E13EB9"/>
    <w:rsid w:val="40E25413"/>
    <w:rsid w:val="40E25916"/>
    <w:rsid w:val="40E37C31"/>
    <w:rsid w:val="40E65973"/>
    <w:rsid w:val="40E85247"/>
    <w:rsid w:val="40E8793D"/>
    <w:rsid w:val="40EB11DB"/>
    <w:rsid w:val="40ED7946"/>
    <w:rsid w:val="40F005A0"/>
    <w:rsid w:val="40FF5A27"/>
    <w:rsid w:val="4100242A"/>
    <w:rsid w:val="410127AD"/>
    <w:rsid w:val="41036525"/>
    <w:rsid w:val="41061B71"/>
    <w:rsid w:val="41073406"/>
    <w:rsid w:val="410773D1"/>
    <w:rsid w:val="410F03F7"/>
    <w:rsid w:val="4110479E"/>
    <w:rsid w:val="41114A04"/>
    <w:rsid w:val="411676E2"/>
    <w:rsid w:val="41195D48"/>
    <w:rsid w:val="411A2C84"/>
    <w:rsid w:val="411B4114"/>
    <w:rsid w:val="411E04AF"/>
    <w:rsid w:val="411E6EBB"/>
    <w:rsid w:val="412344D1"/>
    <w:rsid w:val="412546ED"/>
    <w:rsid w:val="41261227"/>
    <w:rsid w:val="41285F8B"/>
    <w:rsid w:val="41297E4A"/>
    <w:rsid w:val="412D5350"/>
    <w:rsid w:val="412D6CD6"/>
    <w:rsid w:val="41320BB8"/>
    <w:rsid w:val="413606A8"/>
    <w:rsid w:val="41371047"/>
    <w:rsid w:val="413761CE"/>
    <w:rsid w:val="41384420"/>
    <w:rsid w:val="41395AA3"/>
    <w:rsid w:val="413B4DE9"/>
    <w:rsid w:val="41401527"/>
    <w:rsid w:val="414601C0"/>
    <w:rsid w:val="41467F5B"/>
    <w:rsid w:val="41517290"/>
    <w:rsid w:val="41540B2E"/>
    <w:rsid w:val="41545805"/>
    <w:rsid w:val="4157154C"/>
    <w:rsid w:val="415E3A0E"/>
    <w:rsid w:val="41614FF9"/>
    <w:rsid w:val="416A064C"/>
    <w:rsid w:val="416C231C"/>
    <w:rsid w:val="41766A58"/>
    <w:rsid w:val="417C4D58"/>
    <w:rsid w:val="417D0085"/>
    <w:rsid w:val="417E7288"/>
    <w:rsid w:val="41820D27"/>
    <w:rsid w:val="41831414"/>
    <w:rsid w:val="41852AAA"/>
    <w:rsid w:val="418A09F4"/>
    <w:rsid w:val="41943621"/>
    <w:rsid w:val="4198167F"/>
    <w:rsid w:val="4199221E"/>
    <w:rsid w:val="41A76EB0"/>
    <w:rsid w:val="41AE20FE"/>
    <w:rsid w:val="41AF3FB7"/>
    <w:rsid w:val="41B14658"/>
    <w:rsid w:val="41B63641"/>
    <w:rsid w:val="41B810BD"/>
    <w:rsid w:val="41B82E6B"/>
    <w:rsid w:val="41C05B83"/>
    <w:rsid w:val="41C061C4"/>
    <w:rsid w:val="41C51A2C"/>
    <w:rsid w:val="41C63689"/>
    <w:rsid w:val="41CD7BCF"/>
    <w:rsid w:val="41D028AB"/>
    <w:rsid w:val="41D46317"/>
    <w:rsid w:val="41E06866"/>
    <w:rsid w:val="41E3752A"/>
    <w:rsid w:val="41E53E7C"/>
    <w:rsid w:val="41EA0655"/>
    <w:rsid w:val="41F06AA9"/>
    <w:rsid w:val="41F320F5"/>
    <w:rsid w:val="41F53BA3"/>
    <w:rsid w:val="41F63994"/>
    <w:rsid w:val="41FD11C6"/>
    <w:rsid w:val="420254C2"/>
    <w:rsid w:val="420D6715"/>
    <w:rsid w:val="42113129"/>
    <w:rsid w:val="42187DF8"/>
    <w:rsid w:val="421A1D78"/>
    <w:rsid w:val="421B789E"/>
    <w:rsid w:val="421D2E5F"/>
    <w:rsid w:val="421D7172"/>
    <w:rsid w:val="421F738E"/>
    <w:rsid w:val="4220360C"/>
    <w:rsid w:val="422420A8"/>
    <w:rsid w:val="42242A28"/>
    <w:rsid w:val="42294DF3"/>
    <w:rsid w:val="42295B17"/>
    <w:rsid w:val="422E137F"/>
    <w:rsid w:val="423275E6"/>
    <w:rsid w:val="42377BEE"/>
    <w:rsid w:val="42392B60"/>
    <w:rsid w:val="423D7123"/>
    <w:rsid w:val="42415557"/>
    <w:rsid w:val="4242307D"/>
    <w:rsid w:val="424566C9"/>
    <w:rsid w:val="42470693"/>
    <w:rsid w:val="424741EF"/>
    <w:rsid w:val="424B55BC"/>
    <w:rsid w:val="4251142E"/>
    <w:rsid w:val="4251506E"/>
    <w:rsid w:val="42554146"/>
    <w:rsid w:val="42562684"/>
    <w:rsid w:val="425E624A"/>
    <w:rsid w:val="426923B8"/>
    <w:rsid w:val="426B45E0"/>
    <w:rsid w:val="42736FB4"/>
    <w:rsid w:val="4278084D"/>
    <w:rsid w:val="427C5B2B"/>
    <w:rsid w:val="427E44E6"/>
    <w:rsid w:val="42862F6A"/>
    <w:rsid w:val="428E1E1E"/>
    <w:rsid w:val="42982C9D"/>
    <w:rsid w:val="429B2544"/>
    <w:rsid w:val="429C18FA"/>
    <w:rsid w:val="42A653BA"/>
    <w:rsid w:val="42A72EE0"/>
    <w:rsid w:val="42AC2E27"/>
    <w:rsid w:val="42AD1B8F"/>
    <w:rsid w:val="42B23D5F"/>
    <w:rsid w:val="42B813B2"/>
    <w:rsid w:val="42B9333F"/>
    <w:rsid w:val="42C85330"/>
    <w:rsid w:val="42CA554C"/>
    <w:rsid w:val="42CB7A99"/>
    <w:rsid w:val="42CD3FD6"/>
    <w:rsid w:val="42D80B91"/>
    <w:rsid w:val="42D812EB"/>
    <w:rsid w:val="42E357DD"/>
    <w:rsid w:val="42E83C24"/>
    <w:rsid w:val="42ED4D97"/>
    <w:rsid w:val="42F64163"/>
    <w:rsid w:val="42FE5101"/>
    <w:rsid w:val="430462D0"/>
    <w:rsid w:val="430B346F"/>
    <w:rsid w:val="430D5439"/>
    <w:rsid w:val="431466D8"/>
    <w:rsid w:val="43192030"/>
    <w:rsid w:val="43201866"/>
    <w:rsid w:val="43236A0A"/>
    <w:rsid w:val="43252C4B"/>
    <w:rsid w:val="432602A9"/>
    <w:rsid w:val="43266E38"/>
    <w:rsid w:val="43282273"/>
    <w:rsid w:val="43291B47"/>
    <w:rsid w:val="432D7889"/>
    <w:rsid w:val="43324AC2"/>
    <w:rsid w:val="433607FF"/>
    <w:rsid w:val="43372938"/>
    <w:rsid w:val="43394480"/>
    <w:rsid w:val="4342435E"/>
    <w:rsid w:val="434626F9"/>
    <w:rsid w:val="4347073B"/>
    <w:rsid w:val="4348021F"/>
    <w:rsid w:val="434B5F61"/>
    <w:rsid w:val="43577BBB"/>
    <w:rsid w:val="435C3CCA"/>
    <w:rsid w:val="435E1315"/>
    <w:rsid w:val="435E2926"/>
    <w:rsid w:val="435E3EE6"/>
    <w:rsid w:val="435E7877"/>
    <w:rsid w:val="435F53D1"/>
    <w:rsid w:val="4365224C"/>
    <w:rsid w:val="43655F7F"/>
    <w:rsid w:val="436F2E39"/>
    <w:rsid w:val="43760B92"/>
    <w:rsid w:val="43765BE6"/>
    <w:rsid w:val="43772091"/>
    <w:rsid w:val="43786DC8"/>
    <w:rsid w:val="437B6846"/>
    <w:rsid w:val="43841508"/>
    <w:rsid w:val="43846407"/>
    <w:rsid w:val="4387343D"/>
    <w:rsid w:val="43890033"/>
    <w:rsid w:val="438D1DAF"/>
    <w:rsid w:val="439134E8"/>
    <w:rsid w:val="43914A7E"/>
    <w:rsid w:val="439155EC"/>
    <w:rsid w:val="43917E18"/>
    <w:rsid w:val="4397110D"/>
    <w:rsid w:val="439B2A45"/>
    <w:rsid w:val="439D67BD"/>
    <w:rsid w:val="43A35D9D"/>
    <w:rsid w:val="43AE4076"/>
    <w:rsid w:val="43B27D8E"/>
    <w:rsid w:val="43B458B4"/>
    <w:rsid w:val="43B462D0"/>
    <w:rsid w:val="43BB4E95"/>
    <w:rsid w:val="43BD1491"/>
    <w:rsid w:val="43BD46FF"/>
    <w:rsid w:val="43C51E84"/>
    <w:rsid w:val="43C55D14"/>
    <w:rsid w:val="43C57150"/>
    <w:rsid w:val="43CC52F4"/>
    <w:rsid w:val="43CE1D1D"/>
    <w:rsid w:val="43D03D38"/>
    <w:rsid w:val="43D44D4F"/>
    <w:rsid w:val="43D877F5"/>
    <w:rsid w:val="43DB72E5"/>
    <w:rsid w:val="43E91A02"/>
    <w:rsid w:val="43EA6644"/>
    <w:rsid w:val="43EF2D90"/>
    <w:rsid w:val="43F403A7"/>
    <w:rsid w:val="43F6411F"/>
    <w:rsid w:val="43FB0C50"/>
    <w:rsid w:val="43FE3539"/>
    <w:rsid w:val="43FE7FBC"/>
    <w:rsid w:val="44061E3D"/>
    <w:rsid w:val="44067D66"/>
    <w:rsid w:val="440A3726"/>
    <w:rsid w:val="440C3A50"/>
    <w:rsid w:val="44103BAB"/>
    <w:rsid w:val="441B1DD7"/>
    <w:rsid w:val="441B705A"/>
    <w:rsid w:val="441D60C9"/>
    <w:rsid w:val="441E71D2"/>
    <w:rsid w:val="441F0B81"/>
    <w:rsid w:val="441F3676"/>
    <w:rsid w:val="44226CC2"/>
    <w:rsid w:val="442A5B49"/>
    <w:rsid w:val="442C7B41"/>
    <w:rsid w:val="44315157"/>
    <w:rsid w:val="4432576B"/>
    <w:rsid w:val="44396285"/>
    <w:rsid w:val="443B7D84"/>
    <w:rsid w:val="443F5AC6"/>
    <w:rsid w:val="4444102C"/>
    <w:rsid w:val="44450C02"/>
    <w:rsid w:val="444E2B02"/>
    <w:rsid w:val="44501A81"/>
    <w:rsid w:val="44580BC7"/>
    <w:rsid w:val="445826E4"/>
    <w:rsid w:val="445C6678"/>
    <w:rsid w:val="445D7CFA"/>
    <w:rsid w:val="44627A06"/>
    <w:rsid w:val="446333FF"/>
    <w:rsid w:val="447859E5"/>
    <w:rsid w:val="447B2A49"/>
    <w:rsid w:val="448903F9"/>
    <w:rsid w:val="448D1F05"/>
    <w:rsid w:val="4493196E"/>
    <w:rsid w:val="44953195"/>
    <w:rsid w:val="449D5D1E"/>
    <w:rsid w:val="44A07623"/>
    <w:rsid w:val="44A122DD"/>
    <w:rsid w:val="44A65B45"/>
    <w:rsid w:val="44A76A19"/>
    <w:rsid w:val="44A91191"/>
    <w:rsid w:val="44A973E3"/>
    <w:rsid w:val="44AA33B7"/>
    <w:rsid w:val="44BB053D"/>
    <w:rsid w:val="44BB226E"/>
    <w:rsid w:val="44BC2C73"/>
    <w:rsid w:val="44BC7116"/>
    <w:rsid w:val="44BD7BE5"/>
    <w:rsid w:val="44BE3A3B"/>
    <w:rsid w:val="44C9538F"/>
    <w:rsid w:val="44CB55AC"/>
    <w:rsid w:val="44D04970"/>
    <w:rsid w:val="44D0671E"/>
    <w:rsid w:val="44D74953"/>
    <w:rsid w:val="44DC1E56"/>
    <w:rsid w:val="44DC505E"/>
    <w:rsid w:val="44F3065E"/>
    <w:rsid w:val="44F468B0"/>
    <w:rsid w:val="44F54C4A"/>
    <w:rsid w:val="44FB75C1"/>
    <w:rsid w:val="44FF34A7"/>
    <w:rsid w:val="450D34CE"/>
    <w:rsid w:val="450E47FA"/>
    <w:rsid w:val="450F36EA"/>
    <w:rsid w:val="45101210"/>
    <w:rsid w:val="451333CC"/>
    <w:rsid w:val="45155B43"/>
    <w:rsid w:val="45163F52"/>
    <w:rsid w:val="451906CE"/>
    <w:rsid w:val="451B0980"/>
    <w:rsid w:val="451D14A3"/>
    <w:rsid w:val="451E56DB"/>
    <w:rsid w:val="45216F7A"/>
    <w:rsid w:val="45237196"/>
    <w:rsid w:val="45246A6A"/>
    <w:rsid w:val="4528655A"/>
    <w:rsid w:val="452B7DF8"/>
    <w:rsid w:val="452F5D1D"/>
    <w:rsid w:val="453236C3"/>
    <w:rsid w:val="45350C77"/>
    <w:rsid w:val="45366DBD"/>
    <w:rsid w:val="453915B0"/>
    <w:rsid w:val="453B44DF"/>
    <w:rsid w:val="454021E6"/>
    <w:rsid w:val="45440EBA"/>
    <w:rsid w:val="45442C68"/>
    <w:rsid w:val="45451881"/>
    <w:rsid w:val="454964D0"/>
    <w:rsid w:val="45525299"/>
    <w:rsid w:val="455C6204"/>
    <w:rsid w:val="455E01CE"/>
    <w:rsid w:val="45605CF4"/>
    <w:rsid w:val="45633A36"/>
    <w:rsid w:val="45637592"/>
    <w:rsid w:val="456B28EB"/>
    <w:rsid w:val="456C495C"/>
    <w:rsid w:val="456F23DB"/>
    <w:rsid w:val="456F4189"/>
    <w:rsid w:val="45725A27"/>
    <w:rsid w:val="45777C5A"/>
    <w:rsid w:val="457C1EE7"/>
    <w:rsid w:val="457C68A6"/>
    <w:rsid w:val="45800144"/>
    <w:rsid w:val="458361FD"/>
    <w:rsid w:val="4584768D"/>
    <w:rsid w:val="458704BD"/>
    <w:rsid w:val="458E66C0"/>
    <w:rsid w:val="459308C3"/>
    <w:rsid w:val="45965BB9"/>
    <w:rsid w:val="459C17A1"/>
    <w:rsid w:val="45A16D05"/>
    <w:rsid w:val="45A74367"/>
    <w:rsid w:val="45B2270B"/>
    <w:rsid w:val="45C1250B"/>
    <w:rsid w:val="45C656E1"/>
    <w:rsid w:val="45C85F51"/>
    <w:rsid w:val="45CA13BF"/>
    <w:rsid w:val="45D251D8"/>
    <w:rsid w:val="45D65FB6"/>
    <w:rsid w:val="45E10CC7"/>
    <w:rsid w:val="45EA1A61"/>
    <w:rsid w:val="45F3021D"/>
    <w:rsid w:val="45F42696"/>
    <w:rsid w:val="45FB3C6E"/>
    <w:rsid w:val="45FE72BB"/>
    <w:rsid w:val="45FF375F"/>
    <w:rsid w:val="46073D4D"/>
    <w:rsid w:val="460D5750"/>
    <w:rsid w:val="4618414C"/>
    <w:rsid w:val="46184820"/>
    <w:rsid w:val="461B3AA5"/>
    <w:rsid w:val="461E4E80"/>
    <w:rsid w:val="46236D21"/>
    <w:rsid w:val="462A00B0"/>
    <w:rsid w:val="462F3918"/>
    <w:rsid w:val="46345C9D"/>
    <w:rsid w:val="46346DE5"/>
    <w:rsid w:val="463507E4"/>
    <w:rsid w:val="463B22BD"/>
    <w:rsid w:val="46435FB5"/>
    <w:rsid w:val="4644057C"/>
    <w:rsid w:val="464B69A4"/>
    <w:rsid w:val="465A0995"/>
    <w:rsid w:val="46601D24"/>
    <w:rsid w:val="466E4989"/>
    <w:rsid w:val="46733805"/>
    <w:rsid w:val="46761E5A"/>
    <w:rsid w:val="467C4DAF"/>
    <w:rsid w:val="4682613E"/>
    <w:rsid w:val="46843C64"/>
    <w:rsid w:val="468477C0"/>
    <w:rsid w:val="468A6DA0"/>
    <w:rsid w:val="468F4EFD"/>
    <w:rsid w:val="4690085B"/>
    <w:rsid w:val="4691012F"/>
    <w:rsid w:val="46933EA7"/>
    <w:rsid w:val="469A0A3E"/>
    <w:rsid w:val="469B0FAE"/>
    <w:rsid w:val="469B1418"/>
    <w:rsid w:val="469E49A5"/>
    <w:rsid w:val="469F0A9E"/>
    <w:rsid w:val="46A00372"/>
    <w:rsid w:val="46A12B12"/>
    <w:rsid w:val="46A247E0"/>
    <w:rsid w:val="46AE2A8F"/>
    <w:rsid w:val="46AF74C3"/>
    <w:rsid w:val="46B02544"/>
    <w:rsid w:val="46B1257F"/>
    <w:rsid w:val="46B33089"/>
    <w:rsid w:val="46B5206F"/>
    <w:rsid w:val="46B86C48"/>
    <w:rsid w:val="46BB6641"/>
    <w:rsid w:val="46BF4C9C"/>
    <w:rsid w:val="46C027C2"/>
    <w:rsid w:val="46C202E8"/>
    <w:rsid w:val="46CB1893"/>
    <w:rsid w:val="46CC73B9"/>
    <w:rsid w:val="46CE58C7"/>
    <w:rsid w:val="46D00C57"/>
    <w:rsid w:val="46D40026"/>
    <w:rsid w:val="46E44703"/>
    <w:rsid w:val="46E6047B"/>
    <w:rsid w:val="46E97F6B"/>
    <w:rsid w:val="46EA4B04"/>
    <w:rsid w:val="46F25071"/>
    <w:rsid w:val="4701087D"/>
    <w:rsid w:val="47024B89"/>
    <w:rsid w:val="4703102D"/>
    <w:rsid w:val="470F656B"/>
    <w:rsid w:val="471072A6"/>
    <w:rsid w:val="4712301E"/>
    <w:rsid w:val="471274C2"/>
    <w:rsid w:val="471660D6"/>
    <w:rsid w:val="47191E08"/>
    <w:rsid w:val="471E558B"/>
    <w:rsid w:val="4720273D"/>
    <w:rsid w:val="472B681F"/>
    <w:rsid w:val="472C45CF"/>
    <w:rsid w:val="472E4D38"/>
    <w:rsid w:val="47305B9A"/>
    <w:rsid w:val="473067B8"/>
    <w:rsid w:val="473C62ED"/>
    <w:rsid w:val="473D5848"/>
    <w:rsid w:val="474072B6"/>
    <w:rsid w:val="474D22A8"/>
    <w:rsid w:val="47517D3A"/>
    <w:rsid w:val="475A49C5"/>
    <w:rsid w:val="475C698F"/>
    <w:rsid w:val="475F15EE"/>
    <w:rsid w:val="475F1FDB"/>
    <w:rsid w:val="47606109"/>
    <w:rsid w:val="4765510B"/>
    <w:rsid w:val="47677934"/>
    <w:rsid w:val="476A3B83"/>
    <w:rsid w:val="476A4B03"/>
    <w:rsid w:val="4770221E"/>
    <w:rsid w:val="4771702F"/>
    <w:rsid w:val="47727F60"/>
    <w:rsid w:val="47743CD8"/>
    <w:rsid w:val="477C0DDF"/>
    <w:rsid w:val="477C52AB"/>
    <w:rsid w:val="477E7E6B"/>
    <w:rsid w:val="4783216D"/>
    <w:rsid w:val="478B4B7E"/>
    <w:rsid w:val="478C7274"/>
    <w:rsid w:val="47954D42"/>
    <w:rsid w:val="47973E16"/>
    <w:rsid w:val="479779C7"/>
    <w:rsid w:val="479D2798"/>
    <w:rsid w:val="47A3396B"/>
    <w:rsid w:val="47AA383E"/>
    <w:rsid w:val="47AF4D11"/>
    <w:rsid w:val="47B265AF"/>
    <w:rsid w:val="47BB36B5"/>
    <w:rsid w:val="47C12FC5"/>
    <w:rsid w:val="47C167F2"/>
    <w:rsid w:val="47C3256A"/>
    <w:rsid w:val="47C45A79"/>
    <w:rsid w:val="47C6205A"/>
    <w:rsid w:val="47C63E08"/>
    <w:rsid w:val="47CA38F8"/>
    <w:rsid w:val="47CC58C3"/>
    <w:rsid w:val="47CF53B3"/>
    <w:rsid w:val="47D01E78"/>
    <w:rsid w:val="47D97FDF"/>
    <w:rsid w:val="47DE0F8B"/>
    <w:rsid w:val="47E210AF"/>
    <w:rsid w:val="47E70377"/>
    <w:rsid w:val="47EC1AC1"/>
    <w:rsid w:val="47ED5839"/>
    <w:rsid w:val="47F14892"/>
    <w:rsid w:val="47F46889"/>
    <w:rsid w:val="47FA3CDB"/>
    <w:rsid w:val="47FD4E22"/>
    <w:rsid w:val="4800731A"/>
    <w:rsid w:val="480337B7"/>
    <w:rsid w:val="480706A9"/>
    <w:rsid w:val="480D1A37"/>
    <w:rsid w:val="481334F1"/>
    <w:rsid w:val="481E6D74"/>
    <w:rsid w:val="4823125B"/>
    <w:rsid w:val="482555B1"/>
    <w:rsid w:val="48286174"/>
    <w:rsid w:val="482A083B"/>
    <w:rsid w:val="483671E0"/>
    <w:rsid w:val="48382F58"/>
    <w:rsid w:val="48384D06"/>
    <w:rsid w:val="483E5F65"/>
    <w:rsid w:val="483F4329"/>
    <w:rsid w:val="48455675"/>
    <w:rsid w:val="484F02A2"/>
    <w:rsid w:val="48507E7F"/>
    <w:rsid w:val="485E2423"/>
    <w:rsid w:val="4860039E"/>
    <w:rsid w:val="48623B31"/>
    <w:rsid w:val="48627FD5"/>
    <w:rsid w:val="48691363"/>
    <w:rsid w:val="486A0C38"/>
    <w:rsid w:val="486A50DB"/>
    <w:rsid w:val="486D2E7C"/>
    <w:rsid w:val="4870256A"/>
    <w:rsid w:val="48733CAB"/>
    <w:rsid w:val="48743864"/>
    <w:rsid w:val="48792D90"/>
    <w:rsid w:val="4883037A"/>
    <w:rsid w:val="4885562E"/>
    <w:rsid w:val="48861F15"/>
    <w:rsid w:val="488B752C"/>
    <w:rsid w:val="48931F3C"/>
    <w:rsid w:val="489649C6"/>
    <w:rsid w:val="489839F7"/>
    <w:rsid w:val="489D100D"/>
    <w:rsid w:val="489D2DBB"/>
    <w:rsid w:val="48A06010"/>
    <w:rsid w:val="48A33681"/>
    <w:rsid w:val="48A44C18"/>
    <w:rsid w:val="48A64F46"/>
    <w:rsid w:val="48A8612B"/>
    <w:rsid w:val="48AB76AF"/>
    <w:rsid w:val="48B16866"/>
    <w:rsid w:val="48B2033C"/>
    <w:rsid w:val="48B331F5"/>
    <w:rsid w:val="48B34AFA"/>
    <w:rsid w:val="48B87BF5"/>
    <w:rsid w:val="48BA396D"/>
    <w:rsid w:val="48BD520B"/>
    <w:rsid w:val="48C26CC5"/>
    <w:rsid w:val="48C51174"/>
    <w:rsid w:val="48CA75D0"/>
    <w:rsid w:val="48CC78D8"/>
    <w:rsid w:val="48CF5E2F"/>
    <w:rsid w:val="48D16F09"/>
    <w:rsid w:val="48D77AA7"/>
    <w:rsid w:val="48D80297"/>
    <w:rsid w:val="48F30C2D"/>
    <w:rsid w:val="48FD7CFE"/>
    <w:rsid w:val="49020B0D"/>
    <w:rsid w:val="49025F37"/>
    <w:rsid w:val="490270C2"/>
    <w:rsid w:val="49050213"/>
    <w:rsid w:val="49066BB2"/>
    <w:rsid w:val="490A3A59"/>
    <w:rsid w:val="490B241B"/>
    <w:rsid w:val="490B5F77"/>
    <w:rsid w:val="4910358D"/>
    <w:rsid w:val="49137521"/>
    <w:rsid w:val="4916491B"/>
    <w:rsid w:val="491A440C"/>
    <w:rsid w:val="49261E5D"/>
    <w:rsid w:val="492D05E3"/>
    <w:rsid w:val="492D5B98"/>
    <w:rsid w:val="492E6F80"/>
    <w:rsid w:val="4930309E"/>
    <w:rsid w:val="49310A7D"/>
    <w:rsid w:val="49312EDF"/>
    <w:rsid w:val="49351245"/>
    <w:rsid w:val="493A2D00"/>
    <w:rsid w:val="493A4AAE"/>
    <w:rsid w:val="49423962"/>
    <w:rsid w:val="494816FA"/>
    <w:rsid w:val="494F67AB"/>
    <w:rsid w:val="49513989"/>
    <w:rsid w:val="495140F2"/>
    <w:rsid w:val="495777FB"/>
    <w:rsid w:val="49583186"/>
    <w:rsid w:val="495F62C2"/>
    <w:rsid w:val="496008C3"/>
    <w:rsid w:val="49613F0A"/>
    <w:rsid w:val="49661852"/>
    <w:rsid w:val="49663AF5"/>
    <w:rsid w:val="496833C9"/>
    <w:rsid w:val="4970701E"/>
    <w:rsid w:val="49830203"/>
    <w:rsid w:val="49885819"/>
    <w:rsid w:val="49900B72"/>
    <w:rsid w:val="4994779D"/>
    <w:rsid w:val="49973CAE"/>
    <w:rsid w:val="499866DB"/>
    <w:rsid w:val="49996E4F"/>
    <w:rsid w:val="49A26661"/>
    <w:rsid w:val="49A5593B"/>
    <w:rsid w:val="49AB59AC"/>
    <w:rsid w:val="49B06C48"/>
    <w:rsid w:val="49B22896"/>
    <w:rsid w:val="49B37A2C"/>
    <w:rsid w:val="49B44860"/>
    <w:rsid w:val="49B900C8"/>
    <w:rsid w:val="49C2133F"/>
    <w:rsid w:val="49C6610C"/>
    <w:rsid w:val="49C66341"/>
    <w:rsid w:val="49D942C7"/>
    <w:rsid w:val="49E8275C"/>
    <w:rsid w:val="49E8450A"/>
    <w:rsid w:val="49E84536"/>
    <w:rsid w:val="49EA64D4"/>
    <w:rsid w:val="49EC224C"/>
    <w:rsid w:val="49ED7DE9"/>
    <w:rsid w:val="49EF5898"/>
    <w:rsid w:val="49F11610"/>
    <w:rsid w:val="49F17862"/>
    <w:rsid w:val="49F32D8A"/>
    <w:rsid w:val="49F53D7A"/>
    <w:rsid w:val="49F8402B"/>
    <w:rsid w:val="49FB248F"/>
    <w:rsid w:val="49FD6207"/>
    <w:rsid w:val="4A08695A"/>
    <w:rsid w:val="4A0C644A"/>
    <w:rsid w:val="4A1022B2"/>
    <w:rsid w:val="4A11580F"/>
    <w:rsid w:val="4A20307B"/>
    <w:rsid w:val="4A204D3C"/>
    <w:rsid w:val="4A2A68D0"/>
    <w:rsid w:val="4A2D016F"/>
    <w:rsid w:val="4A2F023C"/>
    <w:rsid w:val="4A3D2AA8"/>
    <w:rsid w:val="4A404346"/>
    <w:rsid w:val="4A484FD6"/>
    <w:rsid w:val="4A4A6F73"/>
    <w:rsid w:val="4A4C6847"/>
    <w:rsid w:val="4A5B0308"/>
    <w:rsid w:val="4A5B2F2E"/>
    <w:rsid w:val="4A617E1F"/>
    <w:rsid w:val="4A62606A"/>
    <w:rsid w:val="4A631DE2"/>
    <w:rsid w:val="4A653DAC"/>
    <w:rsid w:val="4A6656BF"/>
    <w:rsid w:val="4A727F0E"/>
    <w:rsid w:val="4A7A7858"/>
    <w:rsid w:val="4A7B35D0"/>
    <w:rsid w:val="4A82670C"/>
    <w:rsid w:val="4A897A9B"/>
    <w:rsid w:val="4A9326C8"/>
    <w:rsid w:val="4A946440"/>
    <w:rsid w:val="4A9604E4"/>
    <w:rsid w:val="4A977AF4"/>
    <w:rsid w:val="4A985F30"/>
    <w:rsid w:val="4AA44A08"/>
    <w:rsid w:val="4AAB5291"/>
    <w:rsid w:val="4AAE0FE3"/>
    <w:rsid w:val="4AB4263E"/>
    <w:rsid w:val="4AB43F3D"/>
    <w:rsid w:val="4AB4661C"/>
    <w:rsid w:val="4AB54F8C"/>
    <w:rsid w:val="4ABB577A"/>
    <w:rsid w:val="4ABC333D"/>
    <w:rsid w:val="4ABF0300"/>
    <w:rsid w:val="4ABF6843"/>
    <w:rsid w:val="4AC061F1"/>
    <w:rsid w:val="4AC46D25"/>
    <w:rsid w:val="4AC83F74"/>
    <w:rsid w:val="4ACC6820"/>
    <w:rsid w:val="4AD5073A"/>
    <w:rsid w:val="4AD625B4"/>
    <w:rsid w:val="4AD6479B"/>
    <w:rsid w:val="4ADA5129"/>
    <w:rsid w:val="4ADB5E1D"/>
    <w:rsid w:val="4ADF6F8E"/>
    <w:rsid w:val="4AE178D7"/>
    <w:rsid w:val="4AE57855"/>
    <w:rsid w:val="4AEB3B3F"/>
    <w:rsid w:val="4AEE5DFE"/>
    <w:rsid w:val="4AF64B7C"/>
    <w:rsid w:val="4AF917E4"/>
    <w:rsid w:val="4AFD3FE5"/>
    <w:rsid w:val="4B026900"/>
    <w:rsid w:val="4B0610EB"/>
    <w:rsid w:val="4B0615B6"/>
    <w:rsid w:val="4B0C247A"/>
    <w:rsid w:val="4B0D06CC"/>
    <w:rsid w:val="4B101F6A"/>
    <w:rsid w:val="4B103D18"/>
    <w:rsid w:val="4B174A50"/>
    <w:rsid w:val="4B1F5D09"/>
    <w:rsid w:val="4B2652EA"/>
    <w:rsid w:val="4B3044A9"/>
    <w:rsid w:val="4B320132"/>
    <w:rsid w:val="4B34391F"/>
    <w:rsid w:val="4B343B38"/>
    <w:rsid w:val="4B3B1E75"/>
    <w:rsid w:val="4B3C21F8"/>
    <w:rsid w:val="4B3F54DC"/>
    <w:rsid w:val="4B421ECE"/>
    <w:rsid w:val="4B4614E8"/>
    <w:rsid w:val="4B475260"/>
    <w:rsid w:val="4B49547C"/>
    <w:rsid w:val="4B4A0F01"/>
    <w:rsid w:val="4B4B4D7A"/>
    <w:rsid w:val="4B4F0F1E"/>
    <w:rsid w:val="4B507FA1"/>
    <w:rsid w:val="4B531E57"/>
    <w:rsid w:val="4B5A126D"/>
    <w:rsid w:val="4B5D25A1"/>
    <w:rsid w:val="4B5D2CD5"/>
    <w:rsid w:val="4B62575E"/>
    <w:rsid w:val="4B693428"/>
    <w:rsid w:val="4B7F16E3"/>
    <w:rsid w:val="4B7F49FA"/>
    <w:rsid w:val="4B8169C4"/>
    <w:rsid w:val="4B83098E"/>
    <w:rsid w:val="4B83273C"/>
    <w:rsid w:val="4B8464B4"/>
    <w:rsid w:val="4B85213F"/>
    <w:rsid w:val="4B885A79"/>
    <w:rsid w:val="4B895879"/>
    <w:rsid w:val="4B8A513A"/>
    <w:rsid w:val="4B8D3EC0"/>
    <w:rsid w:val="4B922FB7"/>
    <w:rsid w:val="4B9318F2"/>
    <w:rsid w:val="4B942074"/>
    <w:rsid w:val="4B9F1B78"/>
    <w:rsid w:val="4BA9144B"/>
    <w:rsid w:val="4BAB3A41"/>
    <w:rsid w:val="4BB46D99"/>
    <w:rsid w:val="4BB5041C"/>
    <w:rsid w:val="4BB548C0"/>
    <w:rsid w:val="4BB87F0C"/>
    <w:rsid w:val="4BBA1ED6"/>
    <w:rsid w:val="4BBC0AAB"/>
    <w:rsid w:val="4BBC268C"/>
    <w:rsid w:val="4BBF1D08"/>
    <w:rsid w:val="4BC30D8B"/>
    <w:rsid w:val="4BC4638C"/>
    <w:rsid w:val="4BD56D10"/>
    <w:rsid w:val="4BD771EC"/>
    <w:rsid w:val="4BF058F8"/>
    <w:rsid w:val="4BF47196"/>
    <w:rsid w:val="4BF947AC"/>
    <w:rsid w:val="4BFC429C"/>
    <w:rsid w:val="4BFD7185"/>
    <w:rsid w:val="4BFF0565"/>
    <w:rsid w:val="4C0017A1"/>
    <w:rsid w:val="4C084AEB"/>
    <w:rsid w:val="4C0D0258"/>
    <w:rsid w:val="4C1415E6"/>
    <w:rsid w:val="4C143394"/>
    <w:rsid w:val="4C150FD8"/>
    <w:rsid w:val="4C177328"/>
    <w:rsid w:val="4C194E4E"/>
    <w:rsid w:val="4C2128C3"/>
    <w:rsid w:val="4C217FD0"/>
    <w:rsid w:val="4C2F4E4F"/>
    <w:rsid w:val="4C327CBE"/>
    <w:rsid w:val="4C392989"/>
    <w:rsid w:val="4C3D0087"/>
    <w:rsid w:val="4C3E3B4F"/>
    <w:rsid w:val="4C3F7C92"/>
    <w:rsid w:val="4C415DC1"/>
    <w:rsid w:val="4C443EC1"/>
    <w:rsid w:val="4C455C43"/>
    <w:rsid w:val="4C4A5008"/>
    <w:rsid w:val="4C5058C9"/>
    <w:rsid w:val="4C523365"/>
    <w:rsid w:val="4C5672E5"/>
    <w:rsid w:val="4C590ECC"/>
    <w:rsid w:val="4C6E3A7F"/>
    <w:rsid w:val="4C714C8A"/>
    <w:rsid w:val="4C716A38"/>
    <w:rsid w:val="4C7402D7"/>
    <w:rsid w:val="4C784AD5"/>
    <w:rsid w:val="4C7D71E6"/>
    <w:rsid w:val="4C894B76"/>
    <w:rsid w:val="4C8A6EEA"/>
    <w:rsid w:val="4C8F6C95"/>
    <w:rsid w:val="4C940979"/>
    <w:rsid w:val="4C98546D"/>
    <w:rsid w:val="4C9A3174"/>
    <w:rsid w:val="4C9E6E2B"/>
    <w:rsid w:val="4CA010CC"/>
    <w:rsid w:val="4CAC0D83"/>
    <w:rsid w:val="4CAC2535"/>
    <w:rsid w:val="4CAE6E28"/>
    <w:rsid w:val="4CB1104F"/>
    <w:rsid w:val="4CB22BAD"/>
    <w:rsid w:val="4CB86415"/>
    <w:rsid w:val="4CB933F8"/>
    <w:rsid w:val="4CBB4158"/>
    <w:rsid w:val="4CBB6DED"/>
    <w:rsid w:val="4CC44A4F"/>
    <w:rsid w:val="4CCE1B34"/>
    <w:rsid w:val="4CD11B43"/>
    <w:rsid w:val="4CD9638C"/>
    <w:rsid w:val="4CDB0356"/>
    <w:rsid w:val="4CDD7C2A"/>
    <w:rsid w:val="4CE27936"/>
    <w:rsid w:val="4CEE7DBE"/>
    <w:rsid w:val="4CFA1020"/>
    <w:rsid w:val="4CFE0BB0"/>
    <w:rsid w:val="4CFF53E0"/>
    <w:rsid w:val="4D03140D"/>
    <w:rsid w:val="4D06034A"/>
    <w:rsid w:val="4D0D641F"/>
    <w:rsid w:val="4D0E24D9"/>
    <w:rsid w:val="4D146C63"/>
    <w:rsid w:val="4D155616"/>
    <w:rsid w:val="4D1B0752"/>
    <w:rsid w:val="4D226E03"/>
    <w:rsid w:val="4D272911"/>
    <w:rsid w:val="4D275349"/>
    <w:rsid w:val="4D2770F7"/>
    <w:rsid w:val="4D297313"/>
    <w:rsid w:val="4D2B308B"/>
    <w:rsid w:val="4D2E0486"/>
    <w:rsid w:val="4D2E66D8"/>
    <w:rsid w:val="4D302867"/>
    <w:rsid w:val="4D32283B"/>
    <w:rsid w:val="4D330192"/>
    <w:rsid w:val="4D391625"/>
    <w:rsid w:val="4D3936D7"/>
    <w:rsid w:val="4D397978"/>
    <w:rsid w:val="4D3A32CE"/>
    <w:rsid w:val="4D3E6229"/>
    <w:rsid w:val="4D461C73"/>
    <w:rsid w:val="4D491763"/>
    <w:rsid w:val="4D4952BF"/>
    <w:rsid w:val="4D4B7289"/>
    <w:rsid w:val="4D4D1254"/>
    <w:rsid w:val="4D5048A0"/>
    <w:rsid w:val="4D507F44"/>
    <w:rsid w:val="4D5254D6"/>
    <w:rsid w:val="4D55587D"/>
    <w:rsid w:val="4D565C2E"/>
    <w:rsid w:val="4D5D0D6B"/>
    <w:rsid w:val="4D5F0F87"/>
    <w:rsid w:val="4D61483D"/>
    <w:rsid w:val="4D6214D1"/>
    <w:rsid w:val="4D6C1CC4"/>
    <w:rsid w:val="4D722A68"/>
    <w:rsid w:val="4D737564"/>
    <w:rsid w:val="4D754306"/>
    <w:rsid w:val="4D761E2D"/>
    <w:rsid w:val="4D777400"/>
    <w:rsid w:val="4D7A191D"/>
    <w:rsid w:val="4D7B1AE2"/>
    <w:rsid w:val="4D7B7443"/>
    <w:rsid w:val="4D7D31BB"/>
    <w:rsid w:val="4D7F6F33"/>
    <w:rsid w:val="4D810EFD"/>
    <w:rsid w:val="4D8471DD"/>
    <w:rsid w:val="4D894DA5"/>
    <w:rsid w:val="4D8B3B2A"/>
    <w:rsid w:val="4D924398"/>
    <w:rsid w:val="4D956757"/>
    <w:rsid w:val="4D965002"/>
    <w:rsid w:val="4D9A69B6"/>
    <w:rsid w:val="4D9C1BAA"/>
    <w:rsid w:val="4DA60964"/>
    <w:rsid w:val="4DAA371F"/>
    <w:rsid w:val="4DAB41CC"/>
    <w:rsid w:val="4DAB7D28"/>
    <w:rsid w:val="4DAE5A6A"/>
    <w:rsid w:val="4DB61CC2"/>
    <w:rsid w:val="4DBA2E3E"/>
    <w:rsid w:val="4DBA440F"/>
    <w:rsid w:val="4DBA6E7C"/>
    <w:rsid w:val="4DC31F45"/>
    <w:rsid w:val="4DC70853"/>
    <w:rsid w:val="4DC808DA"/>
    <w:rsid w:val="4DCC3C40"/>
    <w:rsid w:val="4DCD7C9F"/>
    <w:rsid w:val="4DD10B11"/>
    <w:rsid w:val="4DD43DBB"/>
    <w:rsid w:val="4DD74FC1"/>
    <w:rsid w:val="4DDD3C5A"/>
    <w:rsid w:val="4DDF3E76"/>
    <w:rsid w:val="4DE44FE8"/>
    <w:rsid w:val="4DE65ED7"/>
    <w:rsid w:val="4DE869D8"/>
    <w:rsid w:val="4DEA4CF4"/>
    <w:rsid w:val="4DEA6294"/>
    <w:rsid w:val="4DED0341"/>
    <w:rsid w:val="4DF23BA9"/>
    <w:rsid w:val="4DF25957"/>
    <w:rsid w:val="4DF30C68"/>
    <w:rsid w:val="4DF73844"/>
    <w:rsid w:val="4DFC03F6"/>
    <w:rsid w:val="4E0A5FB9"/>
    <w:rsid w:val="4E1E674C"/>
    <w:rsid w:val="4E200716"/>
    <w:rsid w:val="4E235B10"/>
    <w:rsid w:val="4E271F62"/>
    <w:rsid w:val="4E2B0E69"/>
    <w:rsid w:val="4E3B5550"/>
    <w:rsid w:val="4E3D3451"/>
    <w:rsid w:val="4E3E7A36"/>
    <w:rsid w:val="4E4A131D"/>
    <w:rsid w:val="4E56317A"/>
    <w:rsid w:val="4E5A4A86"/>
    <w:rsid w:val="4E600B13"/>
    <w:rsid w:val="4E656129"/>
    <w:rsid w:val="4E6824AE"/>
    <w:rsid w:val="4E6879C7"/>
    <w:rsid w:val="4E710F72"/>
    <w:rsid w:val="4E726A98"/>
    <w:rsid w:val="4E7561CB"/>
    <w:rsid w:val="4E772300"/>
    <w:rsid w:val="4E7773B0"/>
    <w:rsid w:val="4E7937FC"/>
    <w:rsid w:val="4E7D1A3E"/>
    <w:rsid w:val="4E7E368F"/>
    <w:rsid w:val="4E7E5B06"/>
    <w:rsid w:val="4E854A1D"/>
    <w:rsid w:val="4E861570"/>
    <w:rsid w:val="4E872A00"/>
    <w:rsid w:val="4E8862BB"/>
    <w:rsid w:val="4E8B55DA"/>
    <w:rsid w:val="4E8C5DAC"/>
    <w:rsid w:val="4E8F764A"/>
    <w:rsid w:val="4E942825"/>
    <w:rsid w:val="4E944C60"/>
    <w:rsid w:val="4E9609D8"/>
    <w:rsid w:val="4E9904C8"/>
    <w:rsid w:val="4E9E788D"/>
    <w:rsid w:val="4EA3285D"/>
    <w:rsid w:val="4EA50C1B"/>
    <w:rsid w:val="4EB175C0"/>
    <w:rsid w:val="4EB470B0"/>
    <w:rsid w:val="4EBA7275"/>
    <w:rsid w:val="4EBB3F9B"/>
    <w:rsid w:val="4EBC7D13"/>
    <w:rsid w:val="4EC217CD"/>
    <w:rsid w:val="4EC5306C"/>
    <w:rsid w:val="4EC92B5C"/>
    <w:rsid w:val="4ED02BF9"/>
    <w:rsid w:val="4ED11A10"/>
    <w:rsid w:val="4ED141EC"/>
    <w:rsid w:val="4EE74D90"/>
    <w:rsid w:val="4EE869F3"/>
    <w:rsid w:val="4EE94FAC"/>
    <w:rsid w:val="4EEF633A"/>
    <w:rsid w:val="4EF1271E"/>
    <w:rsid w:val="4EF13E61"/>
    <w:rsid w:val="4EF57A60"/>
    <w:rsid w:val="4EF851EF"/>
    <w:rsid w:val="4EFC1E0A"/>
    <w:rsid w:val="4EFE032C"/>
    <w:rsid w:val="4EFF35F5"/>
    <w:rsid w:val="4F041BE5"/>
    <w:rsid w:val="4F041DE6"/>
    <w:rsid w:val="4F0C0C9A"/>
    <w:rsid w:val="4F1418FD"/>
    <w:rsid w:val="4F155DA1"/>
    <w:rsid w:val="4F1813ED"/>
    <w:rsid w:val="4F18319B"/>
    <w:rsid w:val="4F1A33B7"/>
    <w:rsid w:val="4F1D45B9"/>
    <w:rsid w:val="4F1D4C56"/>
    <w:rsid w:val="4F247D92"/>
    <w:rsid w:val="4F2619C0"/>
    <w:rsid w:val="4F277882"/>
    <w:rsid w:val="4F2E6E63"/>
    <w:rsid w:val="4F351F9F"/>
    <w:rsid w:val="4F3877A3"/>
    <w:rsid w:val="4F3B50DC"/>
    <w:rsid w:val="4F457D08"/>
    <w:rsid w:val="4F4B1139"/>
    <w:rsid w:val="4F4E3061"/>
    <w:rsid w:val="4F4F2935"/>
    <w:rsid w:val="4F564B0B"/>
    <w:rsid w:val="4F587A3C"/>
    <w:rsid w:val="4F5B577E"/>
    <w:rsid w:val="4F5F2D15"/>
    <w:rsid w:val="4F604EFF"/>
    <w:rsid w:val="4F6463E1"/>
    <w:rsid w:val="4F691C49"/>
    <w:rsid w:val="4F6E54B1"/>
    <w:rsid w:val="4F6E725F"/>
    <w:rsid w:val="4F737FDA"/>
    <w:rsid w:val="4F764366"/>
    <w:rsid w:val="4F781E8C"/>
    <w:rsid w:val="4F797EA5"/>
    <w:rsid w:val="4F7A31D5"/>
    <w:rsid w:val="4F7A3E56"/>
    <w:rsid w:val="4F7D56F4"/>
    <w:rsid w:val="4F7D74A2"/>
    <w:rsid w:val="4F864A50"/>
    <w:rsid w:val="4F876573"/>
    <w:rsid w:val="4F8C5937"/>
    <w:rsid w:val="4F8E16AF"/>
    <w:rsid w:val="4F934F18"/>
    <w:rsid w:val="4F9D688E"/>
    <w:rsid w:val="4FA2515B"/>
    <w:rsid w:val="4FA26F09"/>
    <w:rsid w:val="4FA72771"/>
    <w:rsid w:val="4FAC7D88"/>
    <w:rsid w:val="4FAE3B00"/>
    <w:rsid w:val="4FB24B8D"/>
    <w:rsid w:val="4FB8672C"/>
    <w:rsid w:val="4FB940D4"/>
    <w:rsid w:val="4FC012C2"/>
    <w:rsid w:val="4FC25B8B"/>
    <w:rsid w:val="4FC76025"/>
    <w:rsid w:val="4FC9093A"/>
    <w:rsid w:val="4FCE5F50"/>
    <w:rsid w:val="4FD60B72"/>
    <w:rsid w:val="4FD734E3"/>
    <w:rsid w:val="4FD74E04"/>
    <w:rsid w:val="4FD80D7B"/>
    <w:rsid w:val="4FD9188E"/>
    <w:rsid w:val="4FE6773D"/>
    <w:rsid w:val="4FF10611"/>
    <w:rsid w:val="4FF534DD"/>
    <w:rsid w:val="4FFA63EE"/>
    <w:rsid w:val="4FFC70D0"/>
    <w:rsid w:val="4FFF120E"/>
    <w:rsid w:val="4FFF25AD"/>
    <w:rsid w:val="50021CA8"/>
    <w:rsid w:val="50047BC4"/>
    <w:rsid w:val="500B11F4"/>
    <w:rsid w:val="50100316"/>
    <w:rsid w:val="501034CA"/>
    <w:rsid w:val="50111EE2"/>
    <w:rsid w:val="50130D0F"/>
    <w:rsid w:val="50154D74"/>
    <w:rsid w:val="50181F31"/>
    <w:rsid w:val="50184C79"/>
    <w:rsid w:val="5019366F"/>
    <w:rsid w:val="501D198E"/>
    <w:rsid w:val="501D5EB6"/>
    <w:rsid w:val="501F1883"/>
    <w:rsid w:val="50203E3B"/>
    <w:rsid w:val="50242014"/>
    <w:rsid w:val="50291B99"/>
    <w:rsid w:val="502C20D5"/>
    <w:rsid w:val="50302767"/>
    <w:rsid w:val="50395ABF"/>
    <w:rsid w:val="503B1837"/>
    <w:rsid w:val="503B4B64"/>
    <w:rsid w:val="503C1161"/>
    <w:rsid w:val="50446212"/>
    <w:rsid w:val="50504BB7"/>
    <w:rsid w:val="50544178"/>
    <w:rsid w:val="505446A7"/>
    <w:rsid w:val="5055041F"/>
    <w:rsid w:val="505D19CA"/>
    <w:rsid w:val="506803D7"/>
    <w:rsid w:val="506A211C"/>
    <w:rsid w:val="506A3ECB"/>
    <w:rsid w:val="506B7C43"/>
    <w:rsid w:val="506D06F3"/>
    <w:rsid w:val="50715259"/>
    <w:rsid w:val="50720FD1"/>
    <w:rsid w:val="50795EBC"/>
    <w:rsid w:val="507F33CD"/>
    <w:rsid w:val="50845DD3"/>
    <w:rsid w:val="50863838"/>
    <w:rsid w:val="508B2217"/>
    <w:rsid w:val="508B5BEF"/>
    <w:rsid w:val="508E4512"/>
    <w:rsid w:val="509727E6"/>
    <w:rsid w:val="509A148C"/>
    <w:rsid w:val="50AE2FA4"/>
    <w:rsid w:val="50BE043C"/>
    <w:rsid w:val="50C02456"/>
    <w:rsid w:val="50C35389"/>
    <w:rsid w:val="50C63DF0"/>
    <w:rsid w:val="50C64E79"/>
    <w:rsid w:val="50CF2E6B"/>
    <w:rsid w:val="50D15CF8"/>
    <w:rsid w:val="50D32E51"/>
    <w:rsid w:val="50D94BAC"/>
    <w:rsid w:val="50DB3A34"/>
    <w:rsid w:val="50DB6B76"/>
    <w:rsid w:val="50DD28EE"/>
    <w:rsid w:val="50DE54A3"/>
    <w:rsid w:val="50E772C9"/>
    <w:rsid w:val="50EB3F82"/>
    <w:rsid w:val="50EF273F"/>
    <w:rsid w:val="50F6750C"/>
    <w:rsid w:val="50FC6397"/>
    <w:rsid w:val="50FE0AB7"/>
    <w:rsid w:val="50FF2147"/>
    <w:rsid w:val="51022355"/>
    <w:rsid w:val="51071719"/>
    <w:rsid w:val="510A745C"/>
    <w:rsid w:val="510C31D4"/>
    <w:rsid w:val="510E1AF6"/>
    <w:rsid w:val="510F4A72"/>
    <w:rsid w:val="510F659C"/>
    <w:rsid w:val="51112598"/>
    <w:rsid w:val="51115C9D"/>
    <w:rsid w:val="51167000"/>
    <w:rsid w:val="51172EEC"/>
    <w:rsid w:val="5119769F"/>
    <w:rsid w:val="511A4E37"/>
    <w:rsid w:val="511B25B4"/>
    <w:rsid w:val="511B5857"/>
    <w:rsid w:val="511C460C"/>
    <w:rsid w:val="51215792"/>
    <w:rsid w:val="51220188"/>
    <w:rsid w:val="512463D9"/>
    <w:rsid w:val="5126587F"/>
    <w:rsid w:val="512C2F2E"/>
    <w:rsid w:val="512C526D"/>
    <w:rsid w:val="51316796"/>
    <w:rsid w:val="513444D8"/>
    <w:rsid w:val="51361FFF"/>
    <w:rsid w:val="51426BF5"/>
    <w:rsid w:val="5144296E"/>
    <w:rsid w:val="514566E6"/>
    <w:rsid w:val="514B3CFC"/>
    <w:rsid w:val="514F70CF"/>
    <w:rsid w:val="51513130"/>
    <w:rsid w:val="515406D7"/>
    <w:rsid w:val="51592273"/>
    <w:rsid w:val="515F79A9"/>
    <w:rsid w:val="51644DBE"/>
    <w:rsid w:val="51656957"/>
    <w:rsid w:val="516C5A20"/>
    <w:rsid w:val="516E79EA"/>
    <w:rsid w:val="516F72BF"/>
    <w:rsid w:val="51713037"/>
    <w:rsid w:val="517448D5"/>
    <w:rsid w:val="51750D79"/>
    <w:rsid w:val="51755AC9"/>
    <w:rsid w:val="517625A1"/>
    <w:rsid w:val="51782617"/>
    <w:rsid w:val="5179233C"/>
    <w:rsid w:val="517D384B"/>
    <w:rsid w:val="517D48A7"/>
    <w:rsid w:val="517D7C2E"/>
    <w:rsid w:val="5184720E"/>
    <w:rsid w:val="51864D34"/>
    <w:rsid w:val="51883BC9"/>
    <w:rsid w:val="518A5306"/>
    <w:rsid w:val="518A6A6A"/>
    <w:rsid w:val="518B234A"/>
    <w:rsid w:val="51960CEF"/>
    <w:rsid w:val="51961864"/>
    <w:rsid w:val="51972CF4"/>
    <w:rsid w:val="519D2F0D"/>
    <w:rsid w:val="51A27694"/>
    <w:rsid w:val="51A4340C"/>
    <w:rsid w:val="51A93000"/>
    <w:rsid w:val="51AB479B"/>
    <w:rsid w:val="51AE7211"/>
    <w:rsid w:val="51B0342B"/>
    <w:rsid w:val="51B11685"/>
    <w:rsid w:val="51BF1FF4"/>
    <w:rsid w:val="51C040AA"/>
    <w:rsid w:val="51C656CD"/>
    <w:rsid w:val="51C969CF"/>
    <w:rsid w:val="51CB0999"/>
    <w:rsid w:val="51CD2963"/>
    <w:rsid w:val="51D51818"/>
    <w:rsid w:val="51D52972"/>
    <w:rsid w:val="51D707AF"/>
    <w:rsid w:val="51DA6E2E"/>
    <w:rsid w:val="51DC0DF8"/>
    <w:rsid w:val="51DC26E1"/>
    <w:rsid w:val="51DC2BA6"/>
    <w:rsid w:val="51DF61F2"/>
    <w:rsid w:val="51E04CFD"/>
    <w:rsid w:val="51E52F6E"/>
    <w:rsid w:val="51EC53F1"/>
    <w:rsid w:val="51F2562C"/>
    <w:rsid w:val="51F83758"/>
    <w:rsid w:val="51F85506"/>
    <w:rsid w:val="51FE0D6E"/>
    <w:rsid w:val="51FE7BC8"/>
    <w:rsid w:val="52065E75"/>
    <w:rsid w:val="52075749"/>
    <w:rsid w:val="520774F7"/>
    <w:rsid w:val="521045E8"/>
    <w:rsid w:val="521265C8"/>
    <w:rsid w:val="5217255D"/>
    <w:rsid w:val="52263E21"/>
    <w:rsid w:val="522742EF"/>
    <w:rsid w:val="522B57B2"/>
    <w:rsid w:val="522D3402"/>
    <w:rsid w:val="52320A18"/>
    <w:rsid w:val="5233653E"/>
    <w:rsid w:val="52353901"/>
    <w:rsid w:val="5237032A"/>
    <w:rsid w:val="52550093"/>
    <w:rsid w:val="525564B4"/>
    <w:rsid w:val="525E1F65"/>
    <w:rsid w:val="52605AD9"/>
    <w:rsid w:val="52627586"/>
    <w:rsid w:val="52650B61"/>
    <w:rsid w:val="526D3847"/>
    <w:rsid w:val="526F3EB7"/>
    <w:rsid w:val="52756035"/>
    <w:rsid w:val="527E0DBE"/>
    <w:rsid w:val="527F186C"/>
    <w:rsid w:val="527F1CB8"/>
    <w:rsid w:val="5281374D"/>
    <w:rsid w:val="5283444E"/>
    <w:rsid w:val="52860D64"/>
    <w:rsid w:val="528648C0"/>
    <w:rsid w:val="52880638"/>
    <w:rsid w:val="52887ADE"/>
    <w:rsid w:val="528D5C4E"/>
    <w:rsid w:val="5290573F"/>
    <w:rsid w:val="529171EE"/>
    <w:rsid w:val="5294799F"/>
    <w:rsid w:val="52961E90"/>
    <w:rsid w:val="529B480F"/>
    <w:rsid w:val="529B516A"/>
    <w:rsid w:val="529D3985"/>
    <w:rsid w:val="529E1C09"/>
    <w:rsid w:val="529E60AD"/>
    <w:rsid w:val="529F0DD2"/>
    <w:rsid w:val="529F7B67"/>
    <w:rsid w:val="52A5743C"/>
    <w:rsid w:val="52AB0BCC"/>
    <w:rsid w:val="52AB2948"/>
    <w:rsid w:val="52B72CCB"/>
    <w:rsid w:val="52C34E27"/>
    <w:rsid w:val="52C5188C"/>
    <w:rsid w:val="52C553E8"/>
    <w:rsid w:val="52C673B2"/>
    <w:rsid w:val="52C94C60"/>
    <w:rsid w:val="52CF44B9"/>
    <w:rsid w:val="52D40E84"/>
    <w:rsid w:val="52D86EEF"/>
    <w:rsid w:val="52E2243E"/>
    <w:rsid w:val="52EA12F3"/>
    <w:rsid w:val="52ED34D9"/>
    <w:rsid w:val="52EF778C"/>
    <w:rsid w:val="52F60C57"/>
    <w:rsid w:val="52F97788"/>
    <w:rsid w:val="52FB52AE"/>
    <w:rsid w:val="53080462"/>
    <w:rsid w:val="53083527"/>
    <w:rsid w:val="53095C1D"/>
    <w:rsid w:val="530A4577"/>
    <w:rsid w:val="530A54F1"/>
    <w:rsid w:val="53154EDF"/>
    <w:rsid w:val="53193986"/>
    <w:rsid w:val="53197D00"/>
    <w:rsid w:val="531C2344"/>
    <w:rsid w:val="531F79B0"/>
    <w:rsid w:val="53220A8C"/>
    <w:rsid w:val="5325232B"/>
    <w:rsid w:val="532841F2"/>
    <w:rsid w:val="532A7941"/>
    <w:rsid w:val="532E7431"/>
    <w:rsid w:val="532F31A9"/>
    <w:rsid w:val="53332C9A"/>
    <w:rsid w:val="533C684B"/>
    <w:rsid w:val="533D58C6"/>
    <w:rsid w:val="534529CD"/>
    <w:rsid w:val="53476745"/>
    <w:rsid w:val="534A1D91"/>
    <w:rsid w:val="535624E4"/>
    <w:rsid w:val="535844AE"/>
    <w:rsid w:val="53610DA9"/>
    <w:rsid w:val="53654E1D"/>
    <w:rsid w:val="53670B95"/>
    <w:rsid w:val="53682EE2"/>
    <w:rsid w:val="536A6FA8"/>
    <w:rsid w:val="536A7743"/>
    <w:rsid w:val="5373753A"/>
    <w:rsid w:val="538057C2"/>
    <w:rsid w:val="53823120"/>
    <w:rsid w:val="538319B8"/>
    <w:rsid w:val="53831A46"/>
    <w:rsid w:val="538708F0"/>
    <w:rsid w:val="538B4884"/>
    <w:rsid w:val="538C23AA"/>
    <w:rsid w:val="538C567B"/>
    <w:rsid w:val="539620A7"/>
    <w:rsid w:val="539A3FDC"/>
    <w:rsid w:val="539D3711"/>
    <w:rsid w:val="53A2396F"/>
    <w:rsid w:val="53A27BFA"/>
    <w:rsid w:val="53A45945"/>
    <w:rsid w:val="53AA375B"/>
    <w:rsid w:val="53B45F49"/>
    <w:rsid w:val="53B75E62"/>
    <w:rsid w:val="53B768FB"/>
    <w:rsid w:val="53BC2E44"/>
    <w:rsid w:val="53BF7EAA"/>
    <w:rsid w:val="53C17610"/>
    <w:rsid w:val="53C441A7"/>
    <w:rsid w:val="53CB1124"/>
    <w:rsid w:val="53CE5FB7"/>
    <w:rsid w:val="53D5512C"/>
    <w:rsid w:val="53D578AD"/>
    <w:rsid w:val="53D71491"/>
    <w:rsid w:val="53DB3461"/>
    <w:rsid w:val="53DB6E8D"/>
    <w:rsid w:val="53E45634"/>
    <w:rsid w:val="53E53868"/>
    <w:rsid w:val="53EC2E48"/>
    <w:rsid w:val="53EC5A2E"/>
    <w:rsid w:val="53F1045F"/>
    <w:rsid w:val="53FA5565"/>
    <w:rsid w:val="53FB278B"/>
    <w:rsid w:val="53FC5B12"/>
    <w:rsid w:val="54071B43"/>
    <w:rsid w:val="541008E5"/>
    <w:rsid w:val="54120B01"/>
    <w:rsid w:val="541B0CC2"/>
    <w:rsid w:val="541E1BA7"/>
    <w:rsid w:val="54225E48"/>
    <w:rsid w:val="54293073"/>
    <w:rsid w:val="542D3AD6"/>
    <w:rsid w:val="542E16B3"/>
    <w:rsid w:val="54316AAD"/>
    <w:rsid w:val="54324CFF"/>
    <w:rsid w:val="54375959"/>
    <w:rsid w:val="543842E0"/>
    <w:rsid w:val="54416CB3"/>
    <w:rsid w:val="544B35ED"/>
    <w:rsid w:val="544D7D8B"/>
    <w:rsid w:val="544E765F"/>
    <w:rsid w:val="545028F9"/>
    <w:rsid w:val="54541F87"/>
    <w:rsid w:val="54542E1F"/>
    <w:rsid w:val="5455683A"/>
    <w:rsid w:val="54556C40"/>
    <w:rsid w:val="545B23F7"/>
    <w:rsid w:val="54660E4D"/>
    <w:rsid w:val="546926EB"/>
    <w:rsid w:val="547075D6"/>
    <w:rsid w:val="54752E3E"/>
    <w:rsid w:val="547A6B9C"/>
    <w:rsid w:val="54821F61"/>
    <w:rsid w:val="54876977"/>
    <w:rsid w:val="548901E4"/>
    <w:rsid w:val="54901A26"/>
    <w:rsid w:val="54907C78"/>
    <w:rsid w:val="54977258"/>
    <w:rsid w:val="54996B2C"/>
    <w:rsid w:val="549B6C4C"/>
    <w:rsid w:val="549B6D34"/>
    <w:rsid w:val="549D6FE7"/>
    <w:rsid w:val="549E0D64"/>
    <w:rsid w:val="549E2609"/>
    <w:rsid w:val="54A274E9"/>
    <w:rsid w:val="54AB4AB2"/>
    <w:rsid w:val="54AE00FE"/>
    <w:rsid w:val="54B25E40"/>
    <w:rsid w:val="54B40BE7"/>
    <w:rsid w:val="54B43966"/>
    <w:rsid w:val="54B86B3E"/>
    <w:rsid w:val="54BD498D"/>
    <w:rsid w:val="54BE1B36"/>
    <w:rsid w:val="54C31DFB"/>
    <w:rsid w:val="54C33BA9"/>
    <w:rsid w:val="54C87F4D"/>
    <w:rsid w:val="54CF3934"/>
    <w:rsid w:val="54D643D5"/>
    <w:rsid w:val="54DB48BA"/>
    <w:rsid w:val="54E032F7"/>
    <w:rsid w:val="54E0637C"/>
    <w:rsid w:val="54E43252"/>
    <w:rsid w:val="54E44588"/>
    <w:rsid w:val="54EA1131"/>
    <w:rsid w:val="54EA42A5"/>
    <w:rsid w:val="54EE1700"/>
    <w:rsid w:val="54EF0E42"/>
    <w:rsid w:val="54F16968"/>
    <w:rsid w:val="54F226E1"/>
    <w:rsid w:val="54F304E9"/>
    <w:rsid w:val="54FB77E7"/>
    <w:rsid w:val="54FE72D7"/>
    <w:rsid w:val="55004DFD"/>
    <w:rsid w:val="5503044A"/>
    <w:rsid w:val="550A5C7C"/>
    <w:rsid w:val="550A7A2A"/>
    <w:rsid w:val="550E1F63"/>
    <w:rsid w:val="550F6DEF"/>
    <w:rsid w:val="55182ABF"/>
    <w:rsid w:val="551B39E5"/>
    <w:rsid w:val="551D6CB2"/>
    <w:rsid w:val="55222156"/>
    <w:rsid w:val="5523289A"/>
    <w:rsid w:val="55232D59"/>
    <w:rsid w:val="5528419E"/>
    <w:rsid w:val="552F02D2"/>
    <w:rsid w:val="55320D2F"/>
    <w:rsid w:val="55326F81"/>
    <w:rsid w:val="55342CF9"/>
    <w:rsid w:val="553920BD"/>
    <w:rsid w:val="553C57C6"/>
    <w:rsid w:val="55406AAF"/>
    <w:rsid w:val="55432F3C"/>
    <w:rsid w:val="55482300"/>
    <w:rsid w:val="554A791A"/>
    <w:rsid w:val="554B1941"/>
    <w:rsid w:val="554D7917"/>
    <w:rsid w:val="554E7F0C"/>
    <w:rsid w:val="55517407"/>
    <w:rsid w:val="55560EC1"/>
    <w:rsid w:val="55564A1D"/>
    <w:rsid w:val="55581E8F"/>
    <w:rsid w:val="55582054"/>
    <w:rsid w:val="555E0513"/>
    <w:rsid w:val="555E1B24"/>
    <w:rsid w:val="556153AE"/>
    <w:rsid w:val="556610C3"/>
    <w:rsid w:val="55676C2B"/>
    <w:rsid w:val="556A04C9"/>
    <w:rsid w:val="556B765C"/>
    <w:rsid w:val="55700909"/>
    <w:rsid w:val="55733821"/>
    <w:rsid w:val="557355CF"/>
    <w:rsid w:val="55752CD1"/>
    <w:rsid w:val="55762097"/>
    <w:rsid w:val="5583158B"/>
    <w:rsid w:val="558A2919"/>
    <w:rsid w:val="558D41B7"/>
    <w:rsid w:val="558E065B"/>
    <w:rsid w:val="55935C72"/>
    <w:rsid w:val="559C6D1C"/>
    <w:rsid w:val="55A80C53"/>
    <w:rsid w:val="55AF1596"/>
    <w:rsid w:val="55B61960"/>
    <w:rsid w:val="55B6374E"/>
    <w:rsid w:val="55B66898"/>
    <w:rsid w:val="55B81234"/>
    <w:rsid w:val="55B96C01"/>
    <w:rsid w:val="55BD684B"/>
    <w:rsid w:val="55BF0815"/>
    <w:rsid w:val="55BF6CAA"/>
    <w:rsid w:val="55C0251B"/>
    <w:rsid w:val="55C723EE"/>
    <w:rsid w:val="55CA2D47"/>
    <w:rsid w:val="55CB540B"/>
    <w:rsid w:val="55D02A22"/>
    <w:rsid w:val="55D10548"/>
    <w:rsid w:val="55E4027B"/>
    <w:rsid w:val="55E709FD"/>
    <w:rsid w:val="55E71B19"/>
    <w:rsid w:val="55E83428"/>
    <w:rsid w:val="55EA33B8"/>
    <w:rsid w:val="55EB15A9"/>
    <w:rsid w:val="55EC35D4"/>
    <w:rsid w:val="55EF10B1"/>
    <w:rsid w:val="55F17E3D"/>
    <w:rsid w:val="55F37F7B"/>
    <w:rsid w:val="55FA2FD9"/>
    <w:rsid w:val="560162DD"/>
    <w:rsid w:val="560501F2"/>
    <w:rsid w:val="560A34D0"/>
    <w:rsid w:val="560E52F8"/>
    <w:rsid w:val="560E70A6"/>
    <w:rsid w:val="56114DE8"/>
    <w:rsid w:val="56130B60"/>
    <w:rsid w:val="5613290E"/>
    <w:rsid w:val="561346BC"/>
    <w:rsid w:val="561F12B3"/>
    <w:rsid w:val="56262642"/>
    <w:rsid w:val="562B7C58"/>
    <w:rsid w:val="562E14F6"/>
    <w:rsid w:val="562E7748"/>
    <w:rsid w:val="5630116D"/>
    <w:rsid w:val="56332FB1"/>
    <w:rsid w:val="563C00B7"/>
    <w:rsid w:val="563C147E"/>
    <w:rsid w:val="563D5BDD"/>
    <w:rsid w:val="56417537"/>
    <w:rsid w:val="56431446"/>
    <w:rsid w:val="56440D1A"/>
    <w:rsid w:val="56466840"/>
    <w:rsid w:val="56483449"/>
    <w:rsid w:val="564D4072"/>
    <w:rsid w:val="564F3020"/>
    <w:rsid w:val="56510FA5"/>
    <w:rsid w:val="56535401"/>
    <w:rsid w:val="56633896"/>
    <w:rsid w:val="56674A08"/>
    <w:rsid w:val="566B364B"/>
    <w:rsid w:val="566E5D97"/>
    <w:rsid w:val="566E7EBE"/>
    <w:rsid w:val="567333AD"/>
    <w:rsid w:val="5675682A"/>
    <w:rsid w:val="56766C89"/>
    <w:rsid w:val="56775382"/>
    <w:rsid w:val="567F7FA4"/>
    <w:rsid w:val="56854CB5"/>
    <w:rsid w:val="56890E23"/>
    <w:rsid w:val="568E01E7"/>
    <w:rsid w:val="56905D0D"/>
    <w:rsid w:val="56914581"/>
    <w:rsid w:val="569752EE"/>
    <w:rsid w:val="569F23F4"/>
    <w:rsid w:val="56A30136"/>
    <w:rsid w:val="56A47A0A"/>
    <w:rsid w:val="56A9296F"/>
    <w:rsid w:val="56AB2B47"/>
    <w:rsid w:val="56AB528F"/>
    <w:rsid w:val="56B12EC7"/>
    <w:rsid w:val="56BD287A"/>
    <w:rsid w:val="56C32E84"/>
    <w:rsid w:val="56C84AD2"/>
    <w:rsid w:val="56C97471"/>
    <w:rsid w:val="56CA1443"/>
    <w:rsid w:val="56CF5DCB"/>
    <w:rsid w:val="56D27B8C"/>
    <w:rsid w:val="56D4209E"/>
    <w:rsid w:val="56D5019B"/>
    <w:rsid w:val="56D66333"/>
    <w:rsid w:val="56D71B8E"/>
    <w:rsid w:val="56D94B0E"/>
    <w:rsid w:val="56DA2EDE"/>
    <w:rsid w:val="56DE4CCA"/>
    <w:rsid w:val="56E37A63"/>
    <w:rsid w:val="56EB2A6D"/>
    <w:rsid w:val="56ED13B1"/>
    <w:rsid w:val="56F02C50"/>
    <w:rsid w:val="56F30E63"/>
    <w:rsid w:val="56F6276E"/>
    <w:rsid w:val="56FC6477"/>
    <w:rsid w:val="570404A9"/>
    <w:rsid w:val="570B1838"/>
    <w:rsid w:val="57250B4B"/>
    <w:rsid w:val="5728063B"/>
    <w:rsid w:val="57291C6D"/>
    <w:rsid w:val="57295295"/>
    <w:rsid w:val="572A16C1"/>
    <w:rsid w:val="572F5526"/>
    <w:rsid w:val="573214BA"/>
    <w:rsid w:val="57342B3C"/>
    <w:rsid w:val="57390CC0"/>
    <w:rsid w:val="573B1AA2"/>
    <w:rsid w:val="574014E1"/>
    <w:rsid w:val="574134AB"/>
    <w:rsid w:val="57460AC2"/>
    <w:rsid w:val="574B7E86"/>
    <w:rsid w:val="574F45FB"/>
    <w:rsid w:val="575136EE"/>
    <w:rsid w:val="57546DC1"/>
    <w:rsid w:val="57603DA4"/>
    <w:rsid w:val="57664DCE"/>
    <w:rsid w:val="57672E44"/>
    <w:rsid w:val="576A2A02"/>
    <w:rsid w:val="576C0528"/>
    <w:rsid w:val="57711FE2"/>
    <w:rsid w:val="57713D91"/>
    <w:rsid w:val="57740CC0"/>
    <w:rsid w:val="577943F2"/>
    <w:rsid w:val="577B3068"/>
    <w:rsid w:val="577E200A"/>
    <w:rsid w:val="57874DBC"/>
    <w:rsid w:val="57875362"/>
    <w:rsid w:val="578754CF"/>
    <w:rsid w:val="57882E88"/>
    <w:rsid w:val="578C4726"/>
    <w:rsid w:val="5791441A"/>
    <w:rsid w:val="579537AA"/>
    <w:rsid w:val="5797131D"/>
    <w:rsid w:val="5798782B"/>
    <w:rsid w:val="579A28A8"/>
    <w:rsid w:val="579B6926"/>
    <w:rsid w:val="57A04676"/>
    <w:rsid w:val="57A05E6D"/>
    <w:rsid w:val="57A557E8"/>
    <w:rsid w:val="57AD4DFB"/>
    <w:rsid w:val="57AE0B41"/>
    <w:rsid w:val="57AE2E6B"/>
    <w:rsid w:val="57B46714"/>
    <w:rsid w:val="57B91E48"/>
    <w:rsid w:val="57BC665E"/>
    <w:rsid w:val="57BF2D4E"/>
    <w:rsid w:val="57C33EC0"/>
    <w:rsid w:val="57C60A5D"/>
    <w:rsid w:val="57CC0775"/>
    <w:rsid w:val="57CD7125"/>
    <w:rsid w:val="57D4431F"/>
    <w:rsid w:val="57DA7B88"/>
    <w:rsid w:val="57E44562"/>
    <w:rsid w:val="57E52089"/>
    <w:rsid w:val="57E62D59"/>
    <w:rsid w:val="57E63BF7"/>
    <w:rsid w:val="57E91B79"/>
    <w:rsid w:val="57E97DCB"/>
    <w:rsid w:val="57EC3417"/>
    <w:rsid w:val="57EE53E1"/>
    <w:rsid w:val="57EF0931"/>
    <w:rsid w:val="57EF6F2D"/>
    <w:rsid w:val="57F0777E"/>
    <w:rsid w:val="57F43110"/>
    <w:rsid w:val="57F66044"/>
    <w:rsid w:val="57FA3318"/>
    <w:rsid w:val="57FB18AC"/>
    <w:rsid w:val="57FB5D50"/>
    <w:rsid w:val="57FC57AF"/>
    <w:rsid w:val="580746F5"/>
    <w:rsid w:val="58084289"/>
    <w:rsid w:val="581110D0"/>
    <w:rsid w:val="58152F97"/>
    <w:rsid w:val="58174588"/>
    <w:rsid w:val="581754FA"/>
    <w:rsid w:val="581D5CC6"/>
    <w:rsid w:val="582467B0"/>
    <w:rsid w:val="582A0916"/>
    <w:rsid w:val="582B2779"/>
    <w:rsid w:val="582C5F09"/>
    <w:rsid w:val="582C7CB7"/>
    <w:rsid w:val="58300E4A"/>
    <w:rsid w:val="583152CE"/>
    <w:rsid w:val="58320689"/>
    <w:rsid w:val="583A0626"/>
    <w:rsid w:val="583B24FC"/>
    <w:rsid w:val="583F79EB"/>
    <w:rsid w:val="58492617"/>
    <w:rsid w:val="585119A0"/>
    <w:rsid w:val="5851771E"/>
    <w:rsid w:val="5855720E"/>
    <w:rsid w:val="585B234B"/>
    <w:rsid w:val="585B36D8"/>
    <w:rsid w:val="58627CD5"/>
    <w:rsid w:val="58627EBD"/>
    <w:rsid w:val="58733B38"/>
    <w:rsid w:val="587358E6"/>
    <w:rsid w:val="587753D7"/>
    <w:rsid w:val="587B46E8"/>
    <w:rsid w:val="587D0513"/>
    <w:rsid w:val="587D1F7A"/>
    <w:rsid w:val="587F0ECB"/>
    <w:rsid w:val="5882708A"/>
    <w:rsid w:val="58850CE1"/>
    <w:rsid w:val="588875E4"/>
    <w:rsid w:val="588B5FCD"/>
    <w:rsid w:val="588E44CE"/>
    <w:rsid w:val="589A10C5"/>
    <w:rsid w:val="589D0BB5"/>
    <w:rsid w:val="58A05393"/>
    <w:rsid w:val="58AC56A8"/>
    <w:rsid w:val="58B71C77"/>
    <w:rsid w:val="58B74216"/>
    <w:rsid w:val="58B806BF"/>
    <w:rsid w:val="58B8779D"/>
    <w:rsid w:val="58B959EF"/>
    <w:rsid w:val="58BE1257"/>
    <w:rsid w:val="58BF28DA"/>
    <w:rsid w:val="58C252AC"/>
    <w:rsid w:val="58C46142"/>
    <w:rsid w:val="58CB74D0"/>
    <w:rsid w:val="58CD4FF7"/>
    <w:rsid w:val="58D04AE7"/>
    <w:rsid w:val="58D15A07"/>
    <w:rsid w:val="58D40D30"/>
    <w:rsid w:val="58DB24F3"/>
    <w:rsid w:val="58DE7204"/>
    <w:rsid w:val="58DF4D2A"/>
    <w:rsid w:val="58E16CF4"/>
    <w:rsid w:val="58EC79C8"/>
    <w:rsid w:val="58ED4BF9"/>
    <w:rsid w:val="58F1179F"/>
    <w:rsid w:val="58F20645"/>
    <w:rsid w:val="58F20F01"/>
    <w:rsid w:val="58F5279F"/>
    <w:rsid w:val="58F77CC8"/>
    <w:rsid w:val="58FC58DC"/>
    <w:rsid w:val="58FF48A0"/>
    <w:rsid w:val="5906675A"/>
    <w:rsid w:val="59080725"/>
    <w:rsid w:val="590B1FC3"/>
    <w:rsid w:val="59106838"/>
    <w:rsid w:val="591075D9"/>
    <w:rsid w:val="59154BEF"/>
    <w:rsid w:val="59162E41"/>
    <w:rsid w:val="59172716"/>
    <w:rsid w:val="591946E0"/>
    <w:rsid w:val="59195206"/>
    <w:rsid w:val="591A4A11"/>
    <w:rsid w:val="591E5852"/>
    <w:rsid w:val="592866D1"/>
    <w:rsid w:val="592A2449"/>
    <w:rsid w:val="592B4413"/>
    <w:rsid w:val="592C54D8"/>
    <w:rsid w:val="59302762"/>
    <w:rsid w:val="5934151A"/>
    <w:rsid w:val="59374B66"/>
    <w:rsid w:val="593C03CE"/>
    <w:rsid w:val="595262F8"/>
    <w:rsid w:val="59530646"/>
    <w:rsid w:val="5954396A"/>
    <w:rsid w:val="59547B16"/>
    <w:rsid w:val="595B0854"/>
    <w:rsid w:val="59607E94"/>
    <w:rsid w:val="59637709"/>
    <w:rsid w:val="596516D3"/>
    <w:rsid w:val="596733BB"/>
    <w:rsid w:val="596C0CB3"/>
    <w:rsid w:val="596D67DA"/>
    <w:rsid w:val="596F20E3"/>
    <w:rsid w:val="59701E26"/>
    <w:rsid w:val="59771406"/>
    <w:rsid w:val="597B0EF6"/>
    <w:rsid w:val="597C07CB"/>
    <w:rsid w:val="597C6A1D"/>
    <w:rsid w:val="597E4B39"/>
    <w:rsid w:val="598220BE"/>
    <w:rsid w:val="5984098A"/>
    <w:rsid w:val="59845D68"/>
    <w:rsid w:val="598D4786"/>
    <w:rsid w:val="599609D8"/>
    <w:rsid w:val="59967ADE"/>
    <w:rsid w:val="59A10232"/>
    <w:rsid w:val="59A147C5"/>
    <w:rsid w:val="59A2217E"/>
    <w:rsid w:val="59A321FB"/>
    <w:rsid w:val="59A55F73"/>
    <w:rsid w:val="59A57D21"/>
    <w:rsid w:val="59A60AFF"/>
    <w:rsid w:val="59A71F8F"/>
    <w:rsid w:val="59A73A9A"/>
    <w:rsid w:val="59A82DE1"/>
    <w:rsid w:val="59A87812"/>
    <w:rsid w:val="59AA17FC"/>
    <w:rsid w:val="59AA2AE2"/>
    <w:rsid w:val="59AA327E"/>
    <w:rsid w:val="59AF0BA0"/>
    <w:rsid w:val="59AF294E"/>
    <w:rsid w:val="59C53F20"/>
    <w:rsid w:val="59C90057"/>
    <w:rsid w:val="59CA67B9"/>
    <w:rsid w:val="59CD3428"/>
    <w:rsid w:val="59CF2FF0"/>
    <w:rsid w:val="59D2663D"/>
    <w:rsid w:val="59DA7910"/>
    <w:rsid w:val="59DE1A77"/>
    <w:rsid w:val="59DE4A87"/>
    <w:rsid w:val="59E00D5A"/>
    <w:rsid w:val="59E36A9C"/>
    <w:rsid w:val="59E720E8"/>
    <w:rsid w:val="59E77376"/>
    <w:rsid w:val="59EC06C3"/>
    <w:rsid w:val="59EC6032"/>
    <w:rsid w:val="59EE16C8"/>
    <w:rsid w:val="59EE4D9E"/>
    <w:rsid w:val="59F20A8D"/>
    <w:rsid w:val="59F64A21"/>
    <w:rsid w:val="59F82222"/>
    <w:rsid w:val="59FC4B45"/>
    <w:rsid w:val="59FE7432"/>
    <w:rsid w:val="59FF3B7C"/>
    <w:rsid w:val="5A0233C6"/>
    <w:rsid w:val="5A054C64"/>
    <w:rsid w:val="5A096502"/>
    <w:rsid w:val="5A0A5DD6"/>
    <w:rsid w:val="5A0D02E3"/>
    <w:rsid w:val="5A116A7D"/>
    <w:rsid w:val="5A13112F"/>
    <w:rsid w:val="5A174F19"/>
    <w:rsid w:val="5A1924BD"/>
    <w:rsid w:val="5A1A0B70"/>
    <w:rsid w:val="5A1D5B0A"/>
    <w:rsid w:val="5A1D6815"/>
    <w:rsid w:val="5A201A9E"/>
    <w:rsid w:val="5A221372"/>
    <w:rsid w:val="5A2377A6"/>
    <w:rsid w:val="5A2473B3"/>
    <w:rsid w:val="5A2636CF"/>
    <w:rsid w:val="5A2E41BB"/>
    <w:rsid w:val="5A2F3A8F"/>
    <w:rsid w:val="5A2F40A2"/>
    <w:rsid w:val="5A2F4F1B"/>
    <w:rsid w:val="5A3612C1"/>
    <w:rsid w:val="5A366BCB"/>
    <w:rsid w:val="5A407A4A"/>
    <w:rsid w:val="5A413FC5"/>
    <w:rsid w:val="5A44753A"/>
    <w:rsid w:val="5A4B135E"/>
    <w:rsid w:val="5A544D62"/>
    <w:rsid w:val="5A581546"/>
    <w:rsid w:val="5A58350E"/>
    <w:rsid w:val="5A596DE6"/>
    <w:rsid w:val="5A5A124E"/>
    <w:rsid w:val="5A5F6122"/>
    <w:rsid w:val="5A627E29"/>
    <w:rsid w:val="5A643169"/>
    <w:rsid w:val="5A693FDA"/>
    <w:rsid w:val="5A6E2809"/>
    <w:rsid w:val="5A7445FC"/>
    <w:rsid w:val="5A7A0BDD"/>
    <w:rsid w:val="5A7F0572"/>
    <w:rsid w:val="5A8262B5"/>
    <w:rsid w:val="5A836C53"/>
    <w:rsid w:val="5A84202D"/>
    <w:rsid w:val="5A8703E3"/>
    <w:rsid w:val="5A8913F1"/>
    <w:rsid w:val="5A8B6F17"/>
    <w:rsid w:val="5A8D7133"/>
    <w:rsid w:val="5AA004E9"/>
    <w:rsid w:val="5AA20705"/>
    <w:rsid w:val="5AA47FD9"/>
    <w:rsid w:val="5AAC50E0"/>
    <w:rsid w:val="5AB67D0C"/>
    <w:rsid w:val="5AC05DA1"/>
    <w:rsid w:val="5AC8016B"/>
    <w:rsid w:val="5AC95C92"/>
    <w:rsid w:val="5ACC25F8"/>
    <w:rsid w:val="5AD00DCE"/>
    <w:rsid w:val="5AD102F4"/>
    <w:rsid w:val="5AD22196"/>
    <w:rsid w:val="5AD22D98"/>
    <w:rsid w:val="5AD72BFF"/>
    <w:rsid w:val="5ADC3C17"/>
    <w:rsid w:val="5ADE2081"/>
    <w:rsid w:val="5AE26D53"/>
    <w:rsid w:val="5AE825BC"/>
    <w:rsid w:val="5AE96B71"/>
    <w:rsid w:val="5AEB71B9"/>
    <w:rsid w:val="5AEC2A00"/>
    <w:rsid w:val="5AEC407C"/>
    <w:rsid w:val="5AF0499E"/>
    <w:rsid w:val="5AF641B2"/>
    <w:rsid w:val="5AF80325"/>
    <w:rsid w:val="5AF820D3"/>
    <w:rsid w:val="5AFA409D"/>
    <w:rsid w:val="5AFE1DDF"/>
    <w:rsid w:val="5B022F52"/>
    <w:rsid w:val="5B062A42"/>
    <w:rsid w:val="5B0F3265"/>
    <w:rsid w:val="5B130AB9"/>
    <w:rsid w:val="5B1647AE"/>
    <w:rsid w:val="5B172EA1"/>
    <w:rsid w:val="5B1C78AD"/>
    <w:rsid w:val="5B217190"/>
    <w:rsid w:val="5B231846"/>
    <w:rsid w:val="5B331248"/>
    <w:rsid w:val="5B33135D"/>
    <w:rsid w:val="5B3D3F8A"/>
    <w:rsid w:val="5B4041A6"/>
    <w:rsid w:val="5B405097"/>
    <w:rsid w:val="5B433C96"/>
    <w:rsid w:val="5B4377F2"/>
    <w:rsid w:val="5B4A5024"/>
    <w:rsid w:val="5B5236A5"/>
    <w:rsid w:val="5B540083"/>
    <w:rsid w:val="5B5419FF"/>
    <w:rsid w:val="5B57504B"/>
    <w:rsid w:val="5B590DC3"/>
    <w:rsid w:val="5B5B0FE0"/>
    <w:rsid w:val="5B6339F0"/>
    <w:rsid w:val="5B642549"/>
    <w:rsid w:val="5B667984"/>
    <w:rsid w:val="5B6836FC"/>
    <w:rsid w:val="5B694D7F"/>
    <w:rsid w:val="5B6A1CBE"/>
    <w:rsid w:val="5B6F3FE4"/>
    <w:rsid w:val="5B707C36"/>
    <w:rsid w:val="5B7A23C5"/>
    <w:rsid w:val="5B7B2587"/>
    <w:rsid w:val="5B7F3AD9"/>
    <w:rsid w:val="5B8305C0"/>
    <w:rsid w:val="5B8378E5"/>
    <w:rsid w:val="5B8D4F11"/>
    <w:rsid w:val="5B8D6CBF"/>
    <w:rsid w:val="5B8F2A37"/>
    <w:rsid w:val="5B9165A3"/>
    <w:rsid w:val="5B921F4F"/>
    <w:rsid w:val="5B9404C9"/>
    <w:rsid w:val="5B9573DD"/>
    <w:rsid w:val="5B9608D0"/>
    <w:rsid w:val="5B991B08"/>
    <w:rsid w:val="5B9E0ECC"/>
    <w:rsid w:val="5B9F1A9A"/>
    <w:rsid w:val="5BA159E3"/>
    <w:rsid w:val="5BA81D4B"/>
    <w:rsid w:val="5BA835D7"/>
    <w:rsid w:val="5BAD7361"/>
    <w:rsid w:val="5BAE1A8A"/>
    <w:rsid w:val="5BB40180"/>
    <w:rsid w:val="5BBE331C"/>
    <w:rsid w:val="5BC052E6"/>
    <w:rsid w:val="5BC5369D"/>
    <w:rsid w:val="5BC64949"/>
    <w:rsid w:val="5BC76675"/>
    <w:rsid w:val="5BC7741A"/>
    <w:rsid w:val="5BC85F49"/>
    <w:rsid w:val="5BCA3A6F"/>
    <w:rsid w:val="5BCD1E2F"/>
    <w:rsid w:val="5BCF552A"/>
    <w:rsid w:val="5BCF7320"/>
    <w:rsid w:val="5BD24811"/>
    <w:rsid w:val="5BE54488"/>
    <w:rsid w:val="5BE70AC5"/>
    <w:rsid w:val="5BE977BF"/>
    <w:rsid w:val="5BEA4111"/>
    <w:rsid w:val="5BEA5E34"/>
    <w:rsid w:val="5BF35139"/>
    <w:rsid w:val="5BF5277C"/>
    <w:rsid w:val="5BFF1E2F"/>
    <w:rsid w:val="5C05719D"/>
    <w:rsid w:val="5C080BF2"/>
    <w:rsid w:val="5C0827EA"/>
    <w:rsid w:val="5C14118E"/>
    <w:rsid w:val="5C1D0043"/>
    <w:rsid w:val="5C245875"/>
    <w:rsid w:val="5C245FF8"/>
    <w:rsid w:val="5C270BFC"/>
    <w:rsid w:val="5C2C472A"/>
    <w:rsid w:val="5C2F5FC8"/>
    <w:rsid w:val="5C325071"/>
    <w:rsid w:val="5C3435DF"/>
    <w:rsid w:val="5C34586C"/>
    <w:rsid w:val="5C3D06E5"/>
    <w:rsid w:val="5C3D6937"/>
    <w:rsid w:val="5C427AAA"/>
    <w:rsid w:val="5C492F62"/>
    <w:rsid w:val="5C4C26D6"/>
    <w:rsid w:val="5C4C6B7A"/>
    <w:rsid w:val="5C58551F"/>
    <w:rsid w:val="5C5930BB"/>
    <w:rsid w:val="5C5D0276"/>
    <w:rsid w:val="5C5D3B6B"/>
    <w:rsid w:val="5C65711F"/>
    <w:rsid w:val="5C6739B4"/>
    <w:rsid w:val="5C696E74"/>
    <w:rsid w:val="5C6A7000"/>
    <w:rsid w:val="5C6C0274"/>
    <w:rsid w:val="5C6E0BD2"/>
    <w:rsid w:val="5C6E6AF1"/>
    <w:rsid w:val="5C702869"/>
    <w:rsid w:val="5C7834CB"/>
    <w:rsid w:val="5C7A36E7"/>
    <w:rsid w:val="5C7D6D34"/>
    <w:rsid w:val="5C841E70"/>
    <w:rsid w:val="5C89392A"/>
    <w:rsid w:val="5C8956D8"/>
    <w:rsid w:val="5C9A1694"/>
    <w:rsid w:val="5C9D42AD"/>
    <w:rsid w:val="5CA66E29"/>
    <w:rsid w:val="5CA70254"/>
    <w:rsid w:val="5CAF2C65"/>
    <w:rsid w:val="5CB015DB"/>
    <w:rsid w:val="5CB021FB"/>
    <w:rsid w:val="5CB821D8"/>
    <w:rsid w:val="5CB87D6C"/>
    <w:rsid w:val="5CC06027"/>
    <w:rsid w:val="5CC901CB"/>
    <w:rsid w:val="5CCC5500"/>
    <w:rsid w:val="5CD01559"/>
    <w:rsid w:val="5CD050B5"/>
    <w:rsid w:val="5CD10E2D"/>
    <w:rsid w:val="5CDE2BD0"/>
    <w:rsid w:val="5CEA5131"/>
    <w:rsid w:val="5CEB6393"/>
    <w:rsid w:val="5CED76AF"/>
    <w:rsid w:val="5CEE19DF"/>
    <w:rsid w:val="5CEE378D"/>
    <w:rsid w:val="5CF039A9"/>
    <w:rsid w:val="5CF173CB"/>
    <w:rsid w:val="5CF4687F"/>
    <w:rsid w:val="5CF51716"/>
    <w:rsid w:val="5CF80AB0"/>
    <w:rsid w:val="5D0336DD"/>
    <w:rsid w:val="5D0B1BED"/>
    <w:rsid w:val="5D1859F9"/>
    <w:rsid w:val="5D1C479E"/>
    <w:rsid w:val="5D23703E"/>
    <w:rsid w:val="5D2F3F39"/>
    <w:rsid w:val="5D342320"/>
    <w:rsid w:val="5D3513BC"/>
    <w:rsid w:val="5D37598E"/>
    <w:rsid w:val="5D3C49D9"/>
    <w:rsid w:val="5D3D1F1F"/>
    <w:rsid w:val="5D3E4715"/>
    <w:rsid w:val="5D447851"/>
    <w:rsid w:val="5D4B6E32"/>
    <w:rsid w:val="5D4C371E"/>
    <w:rsid w:val="5D600B2F"/>
    <w:rsid w:val="5D6121B1"/>
    <w:rsid w:val="5D65523C"/>
    <w:rsid w:val="5D6E0CD9"/>
    <w:rsid w:val="5D722610"/>
    <w:rsid w:val="5D7734CC"/>
    <w:rsid w:val="5D775E79"/>
    <w:rsid w:val="5D790AD7"/>
    <w:rsid w:val="5D812854"/>
    <w:rsid w:val="5D8131A9"/>
    <w:rsid w:val="5D83037A"/>
    <w:rsid w:val="5D84392E"/>
    <w:rsid w:val="5D8440F2"/>
    <w:rsid w:val="5D845EA0"/>
    <w:rsid w:val="5D891708"/>
    <w:rsid w:val="5D8C2B4C"/>
    <w:rsid w:val="5D8D0BB2"/>
    <w:rsid w:val="5D8D11F8"/>
    <w:rsid w:val="5D944335"/>
    <w:rsid w:val="5D9702C9"/>
    <w:rsid w:val="5DA9751B"/>
    <w:rsid w:val="5DAD79EC"/>
    <w:rsid w:val="5DAF1585"/>
    <w:rsid w:val="5DB42C29"/>
    <w:rsid w:val="5DB669A1"/>
    <w:rsid w:val="5DB83B00"/>
    <w:rsid w:val="5DBB5A68"/>
    <w:rsid w:val="5DBB5D65"/>
    <w:rsid w:val="5DC07E6F"/>
    <w:rsid w:val="5DC170F4"/>
    <w:rsid w:val="5DC50992"/>
    <w:rsid w:val="5DC56BE4"/>
    <w:rsid w:val="5DC818E3"/>
    <w:rsid w:val="5DC82230"/>
    <w:rsid w:val="5DC866D4"/>
    <w:rsid w:val="5DCA41FA"/>
    <w:rsid w:val="5DCD5A99"/>
    <w:rsid w:val="5DD15771"/>
    <w:rsid w:val="5DDC3F2E"/>
    <w:rsid w:val="5DDD759A"/>
    <w:rsid w:val="5DE352BC"/>
    <w:rsid w:val="5DEC4171"/>
    <w:rsid w:val="5DF01268"/>
    <w:rsid w:val="5DF15728"/>
    <w:rsid w:val="5DF179D9"/>
    <w:rsid w:val="5DFB7343"/>
    <w:rsid w:val="5DFC5C02"/>
    <w:rsid w:val="5DFD1054"/>
    <w:rsid w:val="5E0105E4"/>
    <w:rsid w:val="5E0169F9"/>
    <w:rsid w:val="5E0538FE"/>
    <w:rsid w:val="5E086AD1"/>
    <w:rsid w:val="5E0A5621"/>
    <w:rsid w:val="5E0D2339"/>
    <w:rsid w:val="5E115985"/>
    <w:rsid w:val="5E1436C8"/>
    <w:rsid w:val="5E147DF5"/>
    <w:rsid w:val="5E1611EE"/>
    <w:rsid w:val="5E162F9C"/>
    <w:rsid w:val="5E1C2393"/>
    <w:rsid w:val="5E1D53F3"/>
    <w:rsid w:val="5E1E62F4"/>
    <w:rsid w:val="5E2B736D"/>
    <w:rsid w:val="5E2C27BF"/>
    <w:rsid w:val="5E2F0501"/>
    <w:rsid w:val="5E39312E"/>
    <w:rsid w:val="5E3D1B18"/>
    <w:rsid w:val="5E452D61"/>
    <w:rsid w:val="5E4633AF"/>
    <w:rsid w:val="5E472D79"/>
    <w:rsid w:val="5E47584B"/>
    <w:rsid w:val="5E4E6BDA"/>
    <w:rsid w:val="5E5220DE"/>
    <w:rsid w:val="5E5341F0"/>
    <w:rsid w:val="5E56783C"/>
    <w:rsid w:val="5E5835B4"/>
    <w:rsid w:val="5E59557E"/>
    <w:rsid w:val="5E5B30A5"/>
    <w:rsid w:val="5E5D0BCB"/>
    <w:rsid w:val="5E5D506F"/>
    <w:rsid w:val="5E5D6E1D"/>
    <w:rsid w:val="5E6071EA"/>
    <w:rsid w:val="5E613920"/>
    <w:rsid w:val="5E622685"/>
    <w:rsid w:val="5E6D7555"/>
    <w:rsid w:val="5E6F40D7"/>
    <w:rsid w:val="5E714676"/>
    <w:rsid w:val="5E721390"/>
    <w:rsid w:val="5E72408D"/>
    <w:rsid w:val="5E744166"/>
    <w:rsid w:val="5E761F1B"/>
    <w:rsid w:val="5E766345"/>
    <w:rsid w:val="5E7B3747"/>
    <w:rsid w:val="5E7D74BF"/>
    <w:rsid w:val="5E7E2E48"/>
    <w:rsid w:val="5E8C7702"/>
    <w:rsid w:val="5E8E347A"/>
    <w:rsid w:val="5E8F3DCD"/>
    <w:rsid w:val="5E9F11E3"/>
    <w:rsid w:val="5EA30636"/>
    <w:rsid w:val="5EA95E17"/>
    <w:rsid w:val="5EAA6DDD"/>
    <w:rsid w:val="5EAC56AE"/>
    <w:rsid w:val="5EAE7678"/>
    <w:rsid w:val="5EC7073A"/>
    <w:rsid w:val="5EC836C0"/>
    <w:rsid w:val="5ECB647C"/>
    <w:rsid w:val="5ECF0AE7"/>
    <w:rsid w:val="5ED15115"/>
    <w:rsid w:val="5ED35331"/>
    <w:rsid w:val="5ED56A95"/>
    <w:rsid w:val="5EDD4CF4"/>
    <w:rsid w:val="5EE237C6"/>
    <w:rsid w:val="5EE66BB0"/>
    <w:rsid w:val="5EE975A9"/>
    <w:rsid w:val="5EF442F3"/>
    <w:rsid w:val="5EF84D97"/>
    <w:rsid w:val="5EFB1345"/>
    <w:rsid w:val="5F0059FA"/>
    <w:rsid w:val="5F02037C"/>
    <w:rsid w:val="5F026CC0"/>
    <w:rsid w:val="5F031561"/>
    <w:rsid w:val="5F0A1214"/>
    <w:rsid w:val="5F0C6D6B"/>
    <w:rsid w:val="5F0E0117"/>
    <w:rsid w:val="5F196D9D"/>
    <w:rsid w:val="5F1C6CD8"/>
    <w:rsid w:val="5F2003BF"/>
    <w:rsid w:val="5F221E14"/>
    <w:rsid w:val="5F2636B2"/>
    <w:rsid w:val="5F28567D"/>
    <w:rsid w:val="5F2A6C45"/>
    <w:rsid w:val="5F363255"/>
    <w:rsid w:val="5F424E0E"/>
    <w:rsid w:val="5F446614"/>
    <w:rsid w:val="5F457D51"/>
    <w:rsid w:val="5F4678B1"/>
    <w:rsid w:val="5F477DE1"/>
    <w:rsid w:val="5F4821DF"/>
    <w:rsid w:val="5F49114F"/>
    <w:rsid w:val="5F510C68"/>
    <w:rsid w:val="5F5226F9"/>
    <w:rsid w:val="5F570514"/>
    <w:rsid w:val="5F57386C"/>
    <w:rsid w:val="5F577D10"/>
    <w:rsid w:val="5F594BAA"/>
    <w:rsid w:val="5F5D4BFA"/>
    <w:rsid w:val="5F5E109E"/>
    <w:rsid w:val="5F604FDB"/>
    <w:rsid w:val="5F630463"/>
    <w:rsid w:val="5F6B7317"/>
    <w:rsid w:val="5F6D12E1"/>
    <w:rsid w:val="5F6F24C5"/>
    <w:rsid w:val="5F7A755A"/>
    <w:rsid w:val="5F824661"/>
    <w:rsid w:val="5F881C77"/>
    <w:rsid w:val="5F8A1E93"/>
    <w:rsid w:val="5F8E0463"/>
    <w:rsid w:val="5F906D7E"/>
    <w:rsid w:val="5F97349B"/>
    <w:rsid w:val="5F9920D6"/>
    <w:rsid w:val="5F9C5723"/>
    <w:rsid w:val="5FA10F8B"/>
    <w:rsid w:val="5FAA42E4"/>
    <w:rsid w:val="5FAC70AD"/>
    <w:rsid w:val="5FAE5456"/>
    <w:rsid w:val="5FAF0602"/>
    <w:rsid w:val="5FBC72E5"/>
    <w:rsid w:val="5FC133DB"/>
    <w:rsid w:val="5FD275A8"/>
    <w:rsid w:val="5FD90725"/>
    <w:rsid w:val="5FDA624B"/>
    <w:rsid w:val="5FDF485F"/>
    <w:rsid w:val="5FE13A7D"/>
    <w:rsid w:val="5FE22FDD"/>
    <w:rsid w:val="5FEB4543"/>
    <w:rsid w:val="5FF03F1D"/>
    <w:rsid w:val="5FF11F12"/>
    <w:rsid w:val="5FF6016C"/>
    <w:rsid w:val="5FF90DC7"/>
    <w:rsid w:val="5FFA441C"/>
    <w:rsid w:val="60011A2A"/>
    <w:rsid w:val="600C0AFA"/>
    <w:rsid w:val="60101380"/>
    <w:rsid w:val="601479AF"/>
    <w:rsid w:val="601633A3"/>
    <w:rsid w:val="601C5968"/>
    <w:rsid w:val="601D5BCF"/>
    <w:rsid w:val="6022294C"/>
    <w:rsid w:val="60254689"/>
    <w:rsid w:val="60261D3F"/>
    <w:rsid w:val="60275934"/>
    <w:rsid w:val="602A71D2"/>
    <w:rsid w:val="602F3F48"/>
    <w:rsid w:val="60343BAD"/>
    <w:rsid w:val="60367391"/>
    <w:rsid w:val="6037393A"/>
    <w:rsid w:val="603B13E0"/>
    <w:rsid w:val="60466D86"/>
    <w:rsid w:val="60471B32"/>
    <w:rsid w:val="604A63EF"/>
    <w:rsid w:val="604D2EC1"/>
    <w:rsid w:val="60561D75"/>
    <w:rsid w:val="605D3BF4"/>
    <w:rsid w:val="605F7185"/>
    <w:rsid w:val="60636240"/>
    <w:rsid w:val="6065020A"/>
    <w:rsid w:val="606918D0"/>
    <w:rsid w:val="606A75CF"/>
    <w:rsid w:val="606C09EB"/>
    <w:rsid w:val="606C33B1"/>
    <w:rsid w:val="606D13C6"/>
    <w:rsid w:val="607060DD"/>
    <w:rsid w:val="60721F00"/>
    <w:rsid w:val="6079215B"/>
    <w:rsid w:val="607B17DC"/>
    <w:rsid w:val="60806DF2"/>
    <w:rsid w:val="608210E3"/>
    <w:rsid w:val="608233BF"/>
    <w:rsid w:val="60870181"/>
    <w:rsid w:val="608A1A1F"/>
    <w:rsid w:val="608C1C3B"/>
    <w:rsid w:val="608C35FA"/>
    <w:rsid w:val="60932FCA"/>
    <w:rsid w:val="609472DB"/>
    <w:rsid w:val="60964868"/>
    <w:rsid w:val="609805E0"/>
    <w:rsid w:val="6098413C"/>
    <w:rsid w:val="60A531C2"/>
    <w:rsid w:val="60A56859"/>
    <w:rsid w:val="60AA0313"/>
    <w:rsid w:val="60AB59F5"/>
    <w:rsid w:val="60AC5E39"/>
    <w:rsid w:val="60AC7BE7"/>
    <w:rsid w:val="60B01B43"/>
    <w:rsid w:val="60B13450"/>
    <w:rsid w:val="60B31A06"/>
    <w:rsid w:val="60B472BC"/>
    <w:rsid w:val="60B636C1"/>
    <w:rsid w:val="60B8658C"/>
    <w:rsid w:val="60BB2E4E"/>
    <w:rsid w:val="60BE7ED2"/>
    <w:rsid w:val="60C51BF1"/>
    <w:rsid w:val="60CD7B23"/>
    <w:rsid w:val="60E05AE3"/>
    <w:rsid w:val="60E16518"/>
    <w:rsid w:val="60E23609"/>
    <w:rsid w:val="60E47381"/>
    <w:rsid w:val="60EC6654"/>
    <w:rsid w:val="61021EFD"/>
    <w:rsid w:val="61024E44"/>
    <w:rsid w:val="61076BE5"/>
    <w:rsid w:val="61096DE8"/>
    <w:rsid w:val="610E43FE"/>
    <w:rsid w:val="611063C8"/>
    <w:rsid w:val="61131471"/>
    <w:rsid w:val="61151C31"/>
    <w:rsid w:val="611B4D6D"/>
    <w:rsid w:val="611D27B3"/>
    <w:rsid w:val="611F2AAF"/>
    <w:rsid w:val="61204131"/>
    <w:rsid w:val="61250763"/>
    <w:rsid w:val="6126799A"/>
    <w:rsid w:val="612754C0"/>
    <w:rsid w:val="61291238"/>
    <w:rsid w:val="612B4FB0"/>
    <w:rsid w:val="612C6F7A"/>
    <w:rsid w:val="613104DA"/>
    <w:rsid w:val="61355E2F"/>
    <w:rsid w:val="61371BA7"/>
    <w:rsid w:val="613B4FD5"/>
    <w:rsid w:val="613E5097"/>
    <w:rsid w:val="61427FED"/>
    <w:rsid w:val="61463634"/>
    <w:rsid w:val="61504A17"/>
    <w:rsid w:val="615526DF"/>
    <w:rsid w:val="615C0572"/>
    <w:rsid w:val="615C785F"/>
    <w:rsid w:val="615D38F8"/>
    <w:rsid w:val="615E4DF2"/>
    <w:rsid w:val="616B35FF"/>
    <w:rsid w:val="616B65FC"/>
    <w:rsid w:val="616C3E03"/>
    <w:rsid w:val="616E0F53"/>
    <w:rsid w:val="6170330B"/>
    <w:rsid w:val="61720E31"/>
    <w:rsid w:val="617811FA"/>
    <w:rsid w:val="617E77D6"/>
    <w:rsid w:val="618162DA"/>
    <w:rsid w:val="61877599"/>
    <w:rsid w:val="61881C02"/>
    <w:rsid w:val="618C17C7"/>
    <w:rsid w:val="618D5C6B"/>
    <w:rsid w:val="61914040"/>
    <w:rsid w:val="619863BE"/>
    <w:rsid w:val="619C17A4"/>
    <w:rsid w:val="61A4070A"/>
    <w:rsid w:val="61A555E7"/>
    <w:rsid w:val="61A92379"/>
    <w:rsid w:val="61A93AD4"/>
    <w:rsid w:val="61AA0AEF"/>
    <w:rsid w:val="61B33ECC"/>
    <w:rsid w:val="61B84CA1"/>
    <w:rsid w:val="61BB6621"/>
    <w:rsid w:val="61BD221B"/>
    <w:rsid w:val="61C02E50"/>
    <w:rsid w:val="61C3343B"/>
    <w:rsid w:val="61C6117D"/>
    <w:rsid w:val="61C827FF"/>
    <w:rsid w:val="61D316C7"/>
    <w:rsid w:val="61D5316E"/>
    <w:rsid w:val="61D76EE6"/>
    <w:rsid w:val="61D90EB0"/>
    <w:rsid w:val="61DE0274"/>
    <w:rsid w:val="61DE2C95"/>
    <w:rsid w:val="61DE64C6"/>
    <w:rsid w:val="61E909C7"/>
    <w:rsid w:val="61EA6C19"/>
    <w:rsid w:val="61EB0BE3"/>
    <w:rsid w:val="61ED12FA"/>
    <w:rsid w:val="61F249AE"/>
    <w:rsid w:val="61F335F4"/>
    <w:rsid w:val="61F71336"/>
    <w:rsid w:val="61F77588"/>
    <w:rsid w:val="61FB0E26"/>
    <w:rsid w:val="61FC1A44"/>
    <w:rsid w:val="61FD714E"/>
    <w:rsid w:val="61FE4473"/>
    <w:rsid w:val="61FE635C"/>
    <w:rsid w:val="62022DBF"/>
    <w:rsid w:val="62053A53"/>
    <w:rsid w:val="6208709F"/>
    <w:rsid w:val="62092E18"/>
    <w:rsid w:val="62097391"/>
    <w:rsid w:val="620F042E"/>
    <w:rsid w:val="62126170"/>
    <w:rsid w:val="62143C96"/>
    <w:rsid w:val="6218367B"/>
    <w:rsid w:val="621912AD"/>
    <w:rsid w:val="621A680A"/>
    <w:rsid w:val="621B5792"/>
    <w:rsid w:val="621D245F"/>
    <w:rsid w:val="621F7940"/>
    <w:rsid w:val="62207B63"/>
    <w:rsid w:val="62265778"/>
    <w:rsid w:val="6229697B"/>
    <w:rsid w:val="623325FE"/>
    <w:rsid w:val="62343A8E"/>
    <w:rsid w:val="62350B41"/>
    <w:rsid w:val="62361E5F"/>
    <w:rsid w:val="623954AB"/>
    <w:rsid w:val="623C143F"/>
    <w:rsid w:val="62456545"/>
    <w:rsid w:val="62465E1A"/>
    <w:rsid w:val="624C1682"/>
    <w:rsid w:val="625041CD"/>
    <w:rsid w:val="625422E5"/>
    <w:rsid w:val="625642AF"/>
    <w:rsid w:val="625E7EFD"/>
    <w:rsid w:val="626559E9"/>
    <w:rsid w:val="626C5880"/>
    <w:rsid w:val="626D15F8"/>
    <w:rsid w:val="6275409E"/>
    <w:rsid w:val="62764CD1"/>
    <w:rsid w:val="627666FF"/>
    <w:rsid w:val="62791D4B"/>
    <w:rsid w:val="627D5CDF"/>
    <w:rsid w:val="628D57F7"/>
    <w:rsid w:val="628E1C9B"/>
    <w:rsid w:val="6291178B"/>
    <w:rsid w:val="629149FC"/>
    <w:rsid w:val="62991C06"/>
    <w:rsid w:val="629D3C8C"/>
    <w:rsid w:val="62A2795B"/>
    <w:rsid w:val="62A80882"/>
    <w:rsid w:val="62AF0C48"/>
    <w:rsid w:val="62B2572A"/>
    <w:rsid w:val="62B62F9F"/>
    <w:rsid w:val="62B80B47"/>
    <w:rsid w:val="62B81781"/>
    <w:rsid w:val="62B86D17"/>
    <w:rsid w:val="62C25536"/>
    <w:rsid w:val="62C3746A"/>
    <w:rsid w:val="62C51434"/>
    <w:rsid w:val="62C9714A"/>
    <w:rsid w:val="62CA25A7"/>
    <w:rsid w:val="62CC27C3"/>
    <w:rsid w:val="62CF2FBC"/>
    <w:rsid w:val="62D23CD8"/>
    <w:rsid w:val="62D51161"/>
    <w:rsid w:val="62D51FDC"/>
    <w:rsid w:val="62D81168"/>
    <w:rsid w:val="62D81BBA"/>
    <w:rsid w:val="62D84CC4"/>
    <w:rsid w:val="62DA4EE0"/>
    <w:rsid w:val="62DE0626"/>
    <w:rsid w:val="62DF1370"/>
    <w:rsid w:val="62DF49A5"/>
    <w:rsid w:val="62E200D9"/>
    <w:rsid w:val="62F00BE4"/>
    <w:rsid w:val="62F022F5"/>
    <w:rsid w:val="62F277E6"/>
    <w:rsid w:val="62F66167"/>
    <w:rsid w:val="62F74E06"/>
    <w:rsid w:val="62F77512"/>
    <w:rsid w:val="62F835B8"/>
    <w:rsid w:val="62FE04A2"/>
    <w:rsid w:val="630755A9"/>
    <w:rsid w:val="630930CF"/>
    <w:rsid w:val="63125818"/>
    <w:rsid w:val="63147CC6"/>
    <w:rsid w:val="63177590"/>
    <w:rsid w:val="632223E3"/>
    <w:rsid w:val="63224191"/>
    <w:rsid w:val="63251ED3"/>
    <w:rsid w:val="63260125"/>
    <w:rsid w:val="632779F9"/>
    <w:rsid w:val="632A741F"/>
    <w:rsid w:val="632D2297"/>
    <w:rsid w:val="632E7C88"/>
    <w:rsid w:val="633220A8"/>
    <w:rsid w:val="633321C7"/>
    <w:rsid w:val="633604BC"/>
    <w:rsid w:val="63393766"/>
    <w:rsid w:val="633B5253"/>
    <w:rsid w:val="633D0FCB"/>
    <w:rsid w:val="633E43E9"/>
    <w:rsid w:val="63426E07"/>
    <w:rsid w:val="63542243"/>
    <w:rsid w:val="635527B8"/>
    <w:rsid w:val="6356208C"/>
    <w:rsid w:val="635736CC"/>
    <w:rsid w:val="635C3B47"/>
    <w:rsid w:val="63604CB9"/>
    <w:rsid w:val="636671CA"/>
    <w:rsid w:val="636D11AD"/>
    <w:rsid w:val="63713480"/>
    <w:rsid w:val="6372336A"/>
    <w:rsid w:val="63754C08"/>
    <w:rsid w:val="637569B7"/>
    <w:rsid w:val="637644DD"/>
    <w:rsid w:val="637864A7"/>
    <w:rsid w:val="637B1AF3"/>
    <w:rsid w:val="637C2B6A"/>
    <w:rsid w:val="637C31BE"/>
    <w:rsid w:val="637D1D0F"/>
    <w:rsid w:val="637F3391"/>
    <w:rsid w:val="63802FCE"/>
    <w:rsid w:val="63813C72"/>
    <w:rsid w:val="638766EA"/>
    <w:rsid w:val="63894210"/>
    <w:rsid w:val="6390490C"/>
    <w:rsid w:val="63955ED3"/>
    <w:rsid w:val="639F3A33"/>
    <w:rsid w:val="63AA3093"/>
    <w:rsid w:val="63B219B9"/>
    <w:rsid w:val="63B374DF"/>
    <w:rsid w:val="63B8083F"/>
    <w:rsid w:val="63B84AF5"/>
    <w:rsid w:val="63BA086D"/>
    <w:rsid w:val="63BC45E5"/>
    <w:rsid w:val="63BF5E84"/>
    <w:rsid w:val="63C30268"/>
    <w:rsid w:val="63C65464"/>
    <w:rsid w:val="63C96D02"/>
    <w:rsid w:val="63CC4651"/>
    <w:rsid w:val="63CE4319"/>
    <w:rsid w:val="63D23E09"/>
    <w:rsid w:val="63D3192F"/>
    <w:rsid w:val="63D35447"/>
    <w:rsid w:val="63DD0B1A"/>
    <w:rsid w:val="63DF6526"/>
    <w:rsid w:val="63E31B72"/>
    <w:rsid w:val="63E94CAF"/>
    <w:rsid w:val="63E95936"/>
    <w:rsid w:val="63EB1C0F"/>
    <w:rsid w:val="63F006F8"/>
    <w:rsid w:val="63F10CFC"/>
    <w:rsid w:val="63F41DF6"/>
    <w:rsid w:val="63F43164"/>
    <w:rsid w:val="64037466"/>
    <w:rsid w:val="64153CF6"/>
    <w:rsid w:val="64195594"/>
    <w:rsid w:val="641B5F97"/>
    <w:rsid w:val="64216B3E"/>
    <w:rsid w:val="642709DA"/>
    <w:rsid w:val="642A0B92"/>
    <w:rsid w:val="64300B2F"/>
    <w:rsid w:val="643A375C"/>
    <w:rsid w:val="643A7875"/>
    <w:rsid w:val="643C5617"/>
    <w:rsid w:val="64500184"/>
    <w:rsid w:val="64520AA6"/>
    <w:rsid w:val="64547F03"/>
    <w:rsid w:val="645B31A6"/>
    <w:rsid w:val="64602371"/>
    <w:rsid w:val="64656A2B"/>
    <w:rsid w:val="64671727"/>
    <w:rsid w:val="646C600B"/>
    <w:rsid w:val="646D374A"/>
    <w:rsid w:val="64721148"/>
    <w:rsid w:val="647548B5"/>
    <w:rsid w:val="647A4AC8"/>
    <w:rsid w:val="647B56A8"/>
    <w:rsid w:val="647B624F"/>
    <w:rsid w:val="647F336D"/>
    <w:rsid w:val="6481138B"/>
    <w:rsid w:val="64813139"/>
    <w:rsid w:val="649015CE"/>
    <w:rsid w:val="64924C0A"/>
    <w:rsid w:val="64935200"/>
    <w:rsid w:val="64971E0A"/>
    <w:rsid w:val="649B41FB"/>
    <w:rsid w:val="64A439AF"/>
    <w:rsid w:val="64A5151D"/>
    <w:rsid w:val="64B6783E"/>
    <w:rsid w:val="64B90B25"/>
    <w:rsid w:val="64BC6FB6"/>
    <w:rsid w:val="64BF421D"/>
    <w:rsid w:val="64C33752"/>
    <w:rsid w:val="64C61940"/>
    <w:rsid w:val="64CA00D8"/>
    <w:rsid w:val="64CD6821"/>
    <w:rsid w:val="64D36B3A"/>
    <w:rsid w:val="64D678D3"/>
    <w:rsid w:val="64D83EA9"/>
    <w:rsid w:val="64DB4F3F"/>
    <w:rsid w:val="64DC75AE"/>
    <w:rsid w:val="64DD0CB7"/>
    <w:rsid w:val="64DE058B"/>
    <w:rsid w:val="64E068DF"/>
    <w:rsid w:val="64E33DF4"/>
    <w:rsid w:val="64EC2CA8"/>
    <w:rsid w:val="64F14763"/>
    <w:rsid w:val="64F63B27"/>
    <w:rsid w:val="64FB189E"/>
    <w:rsid w:val="64FF0C2E"/>
    <w:rsid w:val="65075D34"/>
    <w:rsid w:val="6510147D"/>
    <w:rsid w:val="651017FB"/>
    <w:rsid w:val="65130235"/>
    <w:rsid w:val="65197815"/>
    <w:rsid w:val="651B358E"/>
    <w:rsid w:val="65275558"/>
    <w:rsid w:val="65287D28"/>
    <w:rsid w:val="652C579B"/>
    <w:rsid w:val="652D5FDB"/>
    <w:rsid w:val="652F2B95"/>
    <w:rsid w:val="652F49D5"/>
    <w:rsid w:val="65313307"/>
    <w:rsid w:val="653A1C66"/>
    <w:rsid w:val="653E102A"/>
    <w:rsid w:val="6545060B"/>
    <w:rsid w:val="6545639C"/>
    <w:rsid w:val="65457DE3"/>
    <w:rsid w:val="6546685C"/>
    <w:rsid w:val="654F77C0"/>
    <w:rsid w:val="65515201"/>
    <w:rsid w:val="655553D6"/>
    <w:rsid w:val="655A1605"/>
    <w:rsid w:val="655D3BA6"/>
    <w:rsid w:val="65604D87"/>
    <w:rsid w:val="65614B65"/>
    <w:rsid w:val="6562079B"/>
    <w:rsid w:val="65624D19"/>
    <w:rsid w:val="656A1E1F"/>
    <w:rsid w:val="656B62C3"/>
    <w:rsid w:val="656C203B"/>
    <w:rsid w:val="656F71BD"/>
    <w:rsid w:val="657B64AF"/>
    <w:rsid w:val="657D1B52"/>
    <w:rsid w:val="657D53A3"/>
    <w:rsid w:val="65817895"/>
    <w:rsid w:val="65837903"/>
    <w:rsid w:val="658630FD"/>
    <w:rsid w:val="65864EAB"/>
    <w:rsid w:val="65866769"/>
    <w:rsid w:val="65876E75"/>
    <w:rsid w:val="658B24C1"/>
    <w:rsid w:val="658E1FB1"/>
    <w:rsid w:val="6595362A"/>
    <w:rsid w:val="65960E66"/>
    <w:rsid w:val="6598698C"/>
    <w:rsid w:val="65A43583"/>
    <w:rsid w:val="65A45331"/>
    <w:rsid w:val="65A76BCF"/>
    <w:rsid w:val="65A83F96"/>
    <w:rsid w:val="65AF6DA2"/>
    <w:rsid w:val="65B116C2"/>
    <w:rsid w:val="65B47423"/>
    <w:rsid w:val="65B85280"/>
    <w:rsid w:val="65BA6903"/>
    <w:rsid w:val="65BC6B1F"/>
    <w:rsid w:val="65BF13ED"/>
    <w:rsid w:val="65C37EAD"/>
    <w:rsid w:val="65C43C25"/>
    <w:rsid w:val="65C9123C"/>
    <w:rsid w:val="65C92F03"/>
    <w:rsid w:val="65CD1D2A"/>
    <w:rsid w:val="65CE6252"/>
    <w:rsid w:val="65CF5077"/>
    <w:rsid w:val="65D04378"/>
    <w:rsid w:val="65D200F0"/>
    <w:rsid w:val="65D5198E"/>
    <w:rsid w:val="65D57BE0"/>
    <w:rsid w:val="65D976D1"/>
    <w:rsid w:val="65DC2D1D"/>
    <w:rsid w:val="65DC4A6D"/>
    <w:rsid w:val="65F00576"/>
    <w:rsid w:val="65F71905"/>
    <w:rsid w:val="65F77B57"/>
    <w:rsid w:val="65F8567D"/>
    <w:rsid w:val="65F8742B"/>
    <w:rsid w:val="65FC516D"/>
    <w:rsid w:val="65FF155B"/>
    <w:rsid w:val="65FF701E"/>
    <w:rsid w:val="66067D9A"/>
    <w:rsid w:val="660951F0"/>
    <w:rsid w:val="660A0257"/>
    <w:rsid w:val="660B715E"/>
    <w:rsid w:val="660D3810"/>
    <w:rsid w:val="660E0670"/>
    <w:rsid w:val="660E0C4E"/>
    <w:rsid w:val="66130A5F"/>
    <w:rsid w:val="6618187B"/>
    <w:rsid w:val="66195D1F"/>
    <w:rsid w:val="661A0387"/>
    <w:rsid w:val="661B1A64"/>
    <w:rsid w:val="66212E26"/>
    <w:rsid w:val="662326FA"/>
    <w:rsid w:val="6624363C"/>
    <w:rsid w:val="66246472"/>
    <w:rsid w:val="662514FE"/>
    <w:rsid w:val="66287D10"/>
    <w:rsid w:val="66293A88"/>
    <w:rsid w:val="662B0738"/>
    <w:rsid w:val="662B2E29"/>
    <w:rsid w:val="662D3A2A"/>
    <w:rsid w:val="662F646C"/>
    <w:rsid w:val="66300E23"/>
    <w:rsid w:val="66317058"/>
    <w:rsid w:val="6635026F"/>
    <w:rsid w:val="663568D1"/>
    <w:rsid w:val="6639016F"/>
    <w:rsid w:val="663E65EC"/>
    <w:rsid w:val="663F505A"/>
    <w:rsid w:val="66413ADD"/>
    <w:rsid w:val="66483F57"/>
    <w:rsid w:val="664A237C"/>
    <w:rsid w:val="664D7777"/>
    <w:rsid w:val="664F349C"/>
    <w:rsid w:val="66524D8D"/>
    <w:rsid w:val="66535EF2"/>
    <w:rsid w:val="66551508"/>
    <w:rsid w:val="6655487D"/>
    <w:rsid w:val="66574AF4"/>
    <w:rsid w:val="6659611C"/>
    <w:rsid w:val="666128F2"/>
    <w:rsid w:val="6664518E"/>
    <w:rsid w:val="666920D7"/>
    <w:rsid w:val="666D1BC7"/>
    <w:rsid w:val="66742F55"/>
    <w:rsid w:val="66763171"/>
    <w:rsid w:val="667B0788"/>
    <w:rsid w:val="66860EDB"/>
    <w:rsid w:val="668F4233"/>
    <w:rsid w:val="66967370"/>
    <w:rsid w:val="669C06FE"/>
    <w:rsid w:val="669C425A"/>
    <w:rsid w:val="66A001EE"/>
    <w:rsid w:val="66AB0941"/>
    <w:rsid w:val="66AD290B"/>
    <w:rsid w:val="66AE7F8C"/>
    <w:rsid w:val="66B22249"/>
    <w:rsid w:val="66B26720"/>
    <w:rsid w:val="66BC0B99"/>
    <w:rsid w:val="66C10C37"/>
    <w:rsid w:val="66C11F13"/>
    <w:rsid w:val="66C173B3"/>
    <w:rsid w:val="66CD08B8"/>
    <w:rsid w:val="66D25ECE"/>
    <w:rsid w:val="66D44878"/>
    <w:rsid w:val="66DC49E0"/>
    <w:rsid w:val="66DD09B6"/>
    <w:rsid w:val="66E16111"/>
    <w:rsid w:val="66E31994"/>
    <w:rsid w:val="66E31E89"/>
    <w:rsid w:val="66E55A46"/>
    <w:rsid w:val="66E77BCB"/>
    <w:rsid w:val="66E84077"/>
    <w:rsid w:val="66EF082E"/>
    <w:rsid w:val="66FF0F75"/>
    <w:rsid w:val="67025518"/>
    <w:rsid w:val="67050051"/>
    <w:rsid w:val="67070FD0"/>
    <w:rsid w:val="670B1518"/>
    <w:rsid w:val="670D6F06"/>
    <w:rsid w:val="670E33AA"/>
    <w:rsid w:val="671000BB"/>
    <w:rsid w:val="67115D74"/>
    <w:rsid w:val="67157E68"/>
    <w:rsid w:val="671D539B"/>
    <w:rsid w:val="671E7365"/>
    <w:rsid w:val="671F424D"/>
    <w:rsid w:val="67220C03"/>
    <w:rsid w:val="6727446C"/>
    <w:rsid w:val="67277FC8"/>
    <w:rsid w:val="672A3F5C"/>
    <w:rsid w:val="67386535"/>
    <w:rsid w:val="673B1940"/>
    <w:rsid w:val="673C56F2"/>
    <w:rsid w:val="673F4E79"/>
    <w:rsid w:val="67427FD5"/>
    <w:rsid w:val="674566A0"/>
    <w:rsid w:val="67492634"/>
    <w:rsid w:val="674B7605"/>
    <w:rsid w:val="674E6DCA"/>
    <w:rsid w:val="675130E9"/>
    <w:rsid w:val="6753700F"/>
    <w:rsid w:val="67561FBE"/>
    <w:rsid w:val="675C418F"/>
    <w:rsid w:val="67654F94"/>
    <w:rsid w:val="67674868"/>
    <w:rsid w:val="676905E0"/>
    <w:rsid w:val="676953BD"/>
    <w:rsid w:val="676F5D1D"/>
    <w:rsid w:val="677156E7"/>
    <w:rsid w:val="6785559A"/>
    <w:rsid w:val="67926549"/>
    <w:rsid w:val="67950437"/>
    <w:rsid w:val="67963BF2"/>
    <w:rsid w:val="6796514D"/>
    <w:rsid w:val="67A55390"/>
    <w:rsid w:val="67A862E1"/>
    <w:rsid w:val="67A86A9A"/>
    <w:rsid w:val="67AB0BF9"/>
    <w:rsid w:val="67AC2BC3"/>
    <w:rsid w:val="67AF6668"/>
    <w:rsid w:val="67B40822"/>
    <w:rsid w:val="67BB1663"/>
    <w:rsid w:val="67BB5FF3"/>
    <w:rsid w:val="67BC1058"/>
    <w:rsid w:val="67C1666E"/>
    <w:rsid w:val="67C77C3C"/>
    <w:rsid w:val="67C95523"/>
    <w:rsid w:val="67CA646D"/>
    <w:rsid w:val="67CB129B"/>
    <w:rsid w:val="67CB2FB9"/>
    <w:rsid w:val="67CC6DC1"/>
    <w:rsid w:val="67CF6FEC"/>
    <w:rsid w:val="67DA758D"/>
    <w:rsid w:val="67DC5685"/>
    <w:rsid w:val="67DD2D7C"/>
    <w:rsid w:val="67DE063C"/>
    <w:rsid w:val="67DF6AF4"/>
    <w:rsid w:val="67E1286C"/>
    <w:rsid w:val="67E61677"/>
    <w:rsid w:val="67E61C31"/>
    <w:rsid w:val="67E8319D"/>
    <w:rsid w:val="67EC1211"/>
    <w:rsid w:val="67EC2CD6"/>
    <w:rsid w:val="67ED7463"/>
    <w:rsid w:val="67F325A0"/>
    <w:rsid w:val="67F46030"/>
    <w:rsid w:val="67F51E74"/>
    <w:rsid w:val="67F87EC1"/>
    <w:rsid w:val="67FC1454"/>
    <w:rsid w:val="68102598"/>
    <w:rsid w:val="68126ECA"/>
    <w:rsid w:val="6814385F"/>
    <w:rsid w:val="68181876"/>
    <w:rsid w:val="681A7B2C"/>
    <w:rsid w:val="68246BFD"/>
    <w:rsid w:val="68281FD9"/>
    <w:rsid w:val="682C5E0D"/>
    <w:rsid w:val="682E5386"/>
    <w:rsid w:val="68336E40"/>
    <w:rsid w:val="683C5CF5"/>
    <w:rsid w:val="683D1E50"/>
    <w:rsid w:val="68456BA0"/>
    <w:rsid w:val="684828EC"/>
    <w:rsid w:val="685272C6"/>
    <w:rsid w:val="68555008"/>
    <w:rsid w:val="68582403"/>
    <w:rsid w:val="685A66F9"/>
    <w:rsid w:val="685B53D9"/>
    <w:rsid w:val="686139AD"/>
    <w:rsid w:val="68642A92"/>
    <w:rsid w:val="68660FC4"/>
    <w:rsid w:val="68692862"/>
    <w:rsid w:val="68701E42"/>
    <w:rsid w:val="687116BB"/>
    <w:rsid w:val="68717D20"/>
    <w:rsid w:val="68772311"/>
    <w:rsid w:val="687D72E3"/>
    <w:rsid w:val="688651C2"/>
    <w:rsid w:val="68896A60"/>
    <w:rsid w:val="68921DB9"/>
    <w:rsid w:val="6895013B"/>
    <w:rsid w:val="689B046A"/>
    <w:rsid w:val="689B6EBF"/>
    <w:rsid w:val="68A044D6"/>
    <w:rsid w:val="68AF296B"/>
    <w:rsid w:val="68B914D8"/>
    <w:rsid w:val="68BC0BE4"/>
    <w:rsid w:val="68BE495C"/>
    <w:rsid w:val="68C06926"/>
    <w:rsid w:val="68C146F5"/>
    <w:rsid w:val="68C87588"/>
    <w:rsid w:val="68CA3301"/>
    <w:rsid w:val="68CB0E27"/>
    <w:rsid w:val="68D0643D"/>
    <w:rsid w:val="68D2550C"/>
    <w:rsid w:val="68D70516"/>
    <w:rsid w:val="68D73C6F"/>
    <w:rsid w:val="68E51EE8"/>
    <w:rsid w:val="68E5638C"/>
    <w:rsid w:val="68E67574"/>
    <w:rsid w:val="68EA39A3"/>
    <w:rsid w:val="68F07B2B"/>
    <w:rsid w:val="68F4037D"/>
    <w:rsid w:val="68F44821"/>
    <w:rsid w:val="68F62348"/>
    <w:rsid w:val="68F71C1C"/>
    <w:rsid w:val="68F826E8"/>
    <w:rsid w:val="68F949C9"/>
    <w:rsid w:val="68FB170C"/>
    <w:rsid w:val="69012E9C"/>
    <w:rsid w:val="69054339"/>
    <w:rsid w:val="69076303"/>
    <w:rsid w:val="6908207B"/>
    <w:rsid w:val="690D5F11"/>
    <w:rsid w:val="69110F2F"/>
    <w:rsid w:val="6911150F"/>
    <w:rsid w:val="69143F32"/>
    <w:rsid w:val="6916037F"/>
    <w:rsid w:val="69194288"/>
    <w:rsid w:val="693115D2"/>
    <w:rsid w:val="6938470E"/>
    <w:rsid w:val="693B1943"/>
    <w:rsid w:val="693B767D"/>
    <w:rsid w:val="693C125C"/>
    <w:rsid w:val="693C3AD3"/>
    <w:rsid w:val="693D6EC8"/>
    <w:rsid w:val="6940217B"/>
    <w:rsid w:val="69412EA5"/>
    <w:rsid w:val="6942733B"/>
    <w:rsid w:val="694806C9"/>
    <w:rsid w:val="694A3BB7"/>
    <w:rsid w:val="694A61EF"/>
    <w:rsid w:val="69620B1A"/>
    <w:rsid w:val="69652C31"/>
    <w:rsid w:val="69670B4F"/>
    <w:rsid w:val="69675EB2"/>
    <w:rsid w:val="696E6382"/>
    <w:rsid w:val="696F5C56"/>
    <w:rsid w:val="69787200"/>
    <w:rsid w:val="69790883"/>
    <w:rsid w:val="697B3329"/>
    <w:rsid w:val="698066FB"/>
    <w:rsid w:val="69842CB6"/>
    <w:rsid w:val="69862CC5"/>
    <w:rsid w:val="69886D18"/>
    <w:rsid w:val="698931BC"/>
    <w:rsid w:val="698E70D4"/>
    <w:rsid w:val="6990454A"/>
    <w:rsid w:val="69955479"/>
    <w:rsid w:val="69967687"/>
    <w:rsid w:val="69990F25"/>
    <w:rsid w:val="699D27C3"/>
    <w:rsid w:val="699F7F40"/>
    <w:rsid w:val="69A022B3"/>
    <w:rsid w:val="69AC2A06"/>
    <w:rsid w:val="69AE49D0"/>
    <w:rsid w:val="69B32A46"/>
    <w:rsid w:val="69B74EA2"/>
    <w:rsid w:val="69BB0E9B"/>
    <w:rsid w:val="69BB74F7"/>
    <w:rsid w:val="69BD2E65"/>
    <w:rsid w:val="69C45FA2"/>
    <w:rsid w:val="69C5055B"/>
    <w:rsid w:val="69C603AD"/>
    <w:rsid w:val="69C73CE4"/>
    <w:rsid w:val="69C77840"/>
    <w:rsid w:val="69CB5455"/>
    <w:rsid w:val="69D34437"/>
    <w:rsid w:val="69D63CA9"/>
    <w:rsid w:val="69D750BF"/>
    <w:rsid w:val="69DB7894"/>
    <w:rsid w:val="69DD7064"/>
    <w:rsid w:val="69DF2184"/>
    <w:rsid w:val="69E228CC"/>
    <w:rsid w:val="69E5416A"/>
    <w:rsid w:val="69EA2F3F"/>
    <w:rsid w:val="69EB1E27"/>
    <w:rsid w:val="69EC374B"/>
    <w:rsid w:val="69ED735F"/>
    <w:rsid w:val="69F12B0F"/>
    <w:rsid w:val="69F35510"/>
    <w:rsid w:val="69F61ED3"/>
    <w:rsid w:val="69F76702"/>
    <w:rsid w:val="69F82F56"/>
    <w:rsid w:val="69F85FA8"/>
    <w:rsid w:val="69F961FB"/>
    <w:rsid w:val="69FC398E"/>
    <w:rsid w:val="6A065125"/>
    <w:rsid w:val="6A093665"/>
    <w:rsid w:val="6A0C56B0"/>
    <w:rsid w:val="6A1113CA"/>
    <w:rsid w:val="6A123626"/>
    <w:rsid w:val="6A164324"/>
    <w:rsid w:val="6A1938B8"/>
    <w:rsid w:val="6A1E2DB6"/>
    <w:rsid w:val="6A211646"/>
    <w:rsid w:val="6A222CC8"/>
    <w:rsid w:val="6A246A40"/>
    <w:rsid w:val="6A2904FB"/>
    <w:rsid w:val="6A2C5D71"/>
    <w:rsid w:val="6A2F2373"/>
    <w:rsid w:val="6A3271BD"/>
    <w:rsid w:val="6A376DCB"/>
    <w:rsid w:val="6A383046"/>
    <w:rsid w:val="6A3C1FDC"/>
    <w:rsid w:val="6A3D3FA6"/>
    <w:rsid w:val="6A415844"/>
    <w:rsid w:val="6A452A79"/>
    <w:rsid w:val="6A462E5B"/>
    <w:rsid w:val="6A4E5556"/>
    <w:rsid w:val="6A505A87"/>
    <w:rsid w:val="6A544296"/>
    <w:rsid w:val="6A5F216E"/>
    <w:rsid w:val="6A627569"/>
    <w:rsid w:val="6A641533"/>
    <w:rsid w:val="6A656D12"/>
    <w:rsid w:val="6A6A02D6"/>
    <w:rsid w:val="6A6E5F0E"/>
    <w:rsid w:val="6A6F59EB"/>
    <w:rsid w:val="6A7049F5"/>
    <w:rsid w:val="6A816C46"/>
    <w:rsid w:val="6A8448EC"/>
    <w:rsid w:val="6A86139C"/>
    <w:rsid w:val="6A8D21F3"/>
    <w:rsid w:val="6A902328"/>
    <w:rsid w:val="6A9040D6"/>
    <w:rsid w:val="6A927F39"/>
    <w:rsid w:val="6A981669"/>
    <w:rsid w:val="6A986382"/>
    <w:rsid w:val="6A9B5529"/>
    <w:rsid w:val="6A9D2977"/>
    <w:rsid w:val="6AA302AD"/>
    <w:rsid w:val="6AA3205B"/>
    <w:rsid w:val="6AA539BB"/>
    <w:rsid w:val="6AA60986"/>
    <w:rsid w:val="6AA77654"/>
    <w:rsid w:val="6AAD1AE8"/>
    <w:rsid w:val="6AAF0D2D"/>
    <w:rsid w:val="6AB51A05"/>
    <w:rsid w:val="6AB9187F"/>
    <w:rsid w:val="6ABA028C"/>
    <w:rsid w:val="6ABA55F7"/>
    <w:rsid w:val="6ABF7FD4"/>
    <w:rsid w:val="6AC10FD5"/>
    <w:rsid w:val="6AC12A02"/>
    <w:rsid w:val="6AC21899"/>
    <w:rsid w:val="6AC233DC"/>
    <w:rsid w:val="6AC36259"/>
    <w:rsid w:val="6AC742BD"/>
    <w:rsid w:val="6AD94A35"/>
    <w:rsid w:val="6ADA50BE"/>
    <w:rsid w:val="6AE11EAC"/>
    <w:rsid w:val="6AE508C6"/>
    <w:rsid w:val="6AE8159D"/>
    <w:rsid w:val="6AEB755E"/>
    <w:rsid w:val="6AED777A"/>
    <w:rsid w:val="6AEF34F2"/>
    <w:rsid w:val="6AF300AB"/>
    <w:rsid w:val="6AFD1B09"/>
    <w:rsid w:val="6B00773B"/>
    <w:rsid w:val="6B043EEA"/>
    <w:rsid w:val="6B0E58F8"/>
    <w:rsid w:val="6B0F76F1"/>
    <w:rsid w:val="6B102E58"/>
    <w:rsid w:val="6B1116BB"/>
    <w:rsid w:val="6B113469"/>
    <w:rsid w:val="6B1362C5"/>
    <w:rsid w:val="6B154A35"/>
    <w:rsid w:val="6B19231D"/>
    <w:rsid w:val="6B1D005F"/>
    <w:rsid w:val="6B1D0454"/>
    <w:rsid w:val="6B21130D"/>
    <w:rsid w:val="6B217424"/>
    <w:rsid w:val="6B2632AB"/>
    <w:rsid w:val="6B2A62D8"/>
    <w:rsid w:val="6B2B5108"/>
    <w:rsid w:val="6B2D7B77"/>
    <w:rsid w:val="6B3042FF"/>
    <w:rsid w:val="6B3158B9"/>
    <w:rsid w:val="6B3C7DBA"/>
    <w:rsid w:val="6B403D4E"/>
    <w:rsid w:val="6B42775E"/>
    <w:rsid w:val="6B442F54"/>
    <w:rsid w:val="6B4849B1"/>
    <w:rsid w:val="6B4D1601"/>
    <w:rsid w:val="6B604D90"/>
    <w:rsid w:val="6B621EAA"/>
    <w:rsid w:val="6B642F9C"/>
    <w:rsid w:val="6B686E01"/>
    <w:rsid w:val="6B7E5C45"/>
    <w:rsid w:val="6B804A53"/>
    <w:rsid w:val="6B855A2C"/>
    <w:rsid w:val="6B855C05"/>
    <w:rsid w:val="6B9145AA"/>
    <w:rsid w:val="6B9249B8"/>
    <w:rsid w:val="6BA73F43"/>
    <w:rsid w:val="6BA75B7B"/>
    <w:rsid w:val="6BAE0CB8"/>
    <w:rsid w:val="6BB92906"/>
    <w:rsid w:val="6BBA1E60"/>
    <w:rsid w:val="6BBD40E6"/>
    <w:rsid w:val="6BBE673F"/>
    <w:rsid w:val="6BC77FCB"/>
    <w:rsid w:val="6BCB4157"/>
    <w:rsid w:val="6BD24BEE"/>
    <w:rsid w:val="6BD36970"/>
    <w:rsid w:val="6BD61FBC"/>
    <w:rsid w:val="6BD76E4B"/>
    <w:rsid w:val="6BD9140C"/>
    <w:rsid w:val="6BDD334B"/>
    <w:rsid w:val="6BE071F2"/>
    <w:rsid w:val="6BE50451"/>
    <w:rsid w:val="6BF05CA3"/>
    <w:rsid w:val="6BF123BD"/>
    <w:rsid w:val="6BF30DC0"/>
    <w:rsid w:val="6BF6440D"/>
    <w:rsid w:val="6BF84629"/>
    <w:rsid w:val="6C001C8E"/>
    <w:rsid w:val="6C006F3E"/>
    <w:rsid w:val="6C0134DD"/>
    <w:rsid w:val="6C042FCD"/>
    <w:rsid w:val="6C054650"/>
    <w:rsid w:val="6C092E41"/>
    <w:rsid w:val="6C0B1942"/>
    <w:rsid w:val="6C0B435C"/>
    <w:rsid w:val="6C0B610A"/>
    <w:rsid w:val="6C0D6BB0"/>
    <w:rsid w:val="6C0E79A8"/>
    <w:rsid w:val="6C0F0C37"/>
    <w:rsid w:val="6C132E5F"/>
    <w:rsid w:val="6C1825D5"/>
    <w:rsid w:val="6C184383"/>
    <w:rsid w:val="6C1B20C5"/>
    <w:rsid w:val="6C1D2466"/>
    <w:rsid w:val="6C1F3963"/>
    <w:rsid w:val="6C1F652C"/>
    <w:rsid w:val="6C2B68DA"/>
    <w:rsid w:val="6C332ECB"/>
    <w:rsid w:val="6C386EAA"/>
    <w:rsid w:val="6C3B62C3"/>
    <w:rsid w:val="6C3C7C2E"/>
    <w:rsid w:val="6C3D028D"/>
    <w:rsid w:val="6C3F4006"/>
    <w:rsid w:val="6C4258A4"/>
    <w:rsid w:val="6C45090D"/>
    <w:rsid w:val="6C472EBA"/>
    <w:rsid w:val="6C501D6F"/>
    <w:rsid w:val="6C517895"/>
    <w:rsid w:val="6C523D39"/>
    <w:rsid w:val="6C5B4ADD"/>
    <w:rsid w:val="6C5B7135"/>
    <w:rsid w:val="6C5C6966"/>
    <w:rsid w:val="6C5D448C"/>
    <w:rsid w:val="6C5D5536"/>
    <w:rsid w:val="6C6450ED"/>
    <w:rsid w:val="6C684043"/>
    <w:rsid w:val="6C6972D4"/>
    <w:rsid w:val="6C6D5B02"/>
    <w:rsid w:val="6C6E48EB"/>
    <w:rsid w:val="6C705F6D"/>
    <w:rsid w:val="6C764577"/>
    <w:rsid w:val="6C7672FB"/>
    <w:rsid w:val="6C77379F"/>
    <w:rsid w:val="6C797AED"/>
    <w:rsid w:val="6C7A503E"/>
    <w:rsid w:val="6C7C7008"/>
    <w:rsid w:val="6C7F4088"/>
    <w:rsid w:val="6C7F43ED"/>
    <w:rsid w:val="6C800AE8"/>
    <w:rsid w:val="6C816ADA"/>
    <w:rsid w:val="6C821A5E"/>
    <w:rsid w:val="6C835D8A"/>
    <w:rsid w:val="6C892B57"/>
    <w:rsid w:val="6C8B7ACF"/>
    <w:rsid w:val="6C8E2897"/>
    <w:rsid w:val="6C9360FF"/>
    <w:rsid w:val="6C97174C"/>
    <w:rsid w:val="6C9A56E0"/>
    <w:rsid w:val="6C9A5956"/>
    <w:rsid w:val="6C9C686F"/>
    <w:rsid w:val="6C9F6852"/>
    <w:rsid w:val="6CA30856"/>
    <w:rsid w:val="6CB33807"/>
    <w:rsid w:val="6CC72DCE"/>
    <w:rsid w:val="6CC87B57"/>
    <w:rsid w:val="6CCB3AEB"/>
    <w:rsid w:val="6CD75FEC"/>
    <w:rsid w:val="6CD830DA"/>
    <w:rsid w:val="6CDC7AA6"/>
    <w:rsid w:val="6CDD0421"/>
    <w:rsid w:val="6CDE55CC"/>
    <w:rsid w:val="6CDF1345"/>
    <w:rsid w:val="6CE07597"/>
    <w:rsid w:val="6CE2561C"/>
    <w:rsid w:val="6CED5810"/>
    <w:rsid w:val="6CF20365"/>
    <w:rsid w:val="6CF7043C"/>
    <w:rsid w:val="6CFB656C"/>
    <w:rsid w:val="6CFC5A53"/>
    <w:rsid w:val="6CFC61C3"/>
    <w:rsid w:val="6D031EBC"/>
    <w:rsid w:val="6D05528D"/>
    <w:rsid w:val="6D090AE2"/>
    <w:rsid w:val="6D0D0F74"/>
    <w:rsid w:val="6D0E1A28"/>
    <w:rsid w:val="6D1159A2"/>
    <w:rsid w:val="6D12171A"/>
    <w:rsid w:val="6D1234C8"/>
    <w:rsid w:val="6D165EB3"/>
    <w:rsid w:val="6D171100"/>
    <w:rsid w:val="6D17288C"/>
    <w:rsid w:val="6D172BE8"/>
    <w:rsid w:val="6D2356D5"/>
    <w:rsid w:val="6D267C77"/>
    <w:rsid w:val="6D2B5181"/>
    <w:rsid w:val="6D2B6338"/>
    <w:rsid w:val="6D2D3E1A"/>
    <w:rsid w:val="6D2D3E5E"/>
    <w:rsid w:val="6D320AB2"/>
    <w:rsid w:val="6D341C46"/>
    <w:rsid w:val="6D343B19"/>
    <w:rsid w:val="6D360FD1"/>
    <w:rsid w:val="6D371181"/>
    <w:rsid w:val="6D374CDD"/>
    <w:rsid w:val="6D3C3656"/>
    <w:rsid w:val="6D410C09"/>
    <w:rsid w:val="6D416038"/>
    <w:rsid w:val="6D4A4A10"/>
    <w:rsid w:val="6D4D62AE"/>
    <w:rsid w:val="6D4F0278"/>
    <w:rsid w:val="6D501675"/>
    <w:rsid w:val="6D515B83"/>
    <w:rsid w:val="6D592EA5"/>
    <w:rsid w:val="6D594C53"/>
    <w:rsid w:val="6D5B09CB"/>
    <w:rsid w:val="6D5B6C1D"/>
    <w:rsid w:val="6D6A002E"/>
    <w:rsid w:val="6D711C78"/>
    <w:rsid w:val="6D714BDE"/>
    <w:rsid w:val="6D7221B9"/>
    <w:rsid w:val="6D743BC8"/>
    <w:rsid w:val="6D7813AB"/>
    <w:rsid w:val="6D786658"/>
    <w:rsid w:val="6D7B72BF"/>
    <w:rsid w:val="6D7D690F"/>
    <w:rsid w:val="6D806684"/>
    <w:rsid w:val="6D8141AA"/>
    <w:rsid w:val="6D822343"/>
    <w:rsid w:val="6D853C9A"/>
    <w:rsid w:val="6D877A12"/>
    <w:rsid w:val="6D8A305E"/>
    <w:rsid w:val="6D8B1D1F"/>
    <w:rsid w:val="6D8C327A"/>
    <w:rsid w:val="6D8C5028"/>
    <w:rsid w:val="6D940381"/>
    <w:rsid w:val="6D983849"/>
    <w:rsid w:val="6D9914F3"/>
    <w:rsid w:val="6D9C0FE4"/>
    <w:rsid w:val="6D9E6B0A"/>
    <w:rsid w:val="6DA06D26"/>
    <w:rsid w:val="6DAA1953"/>
    <w:rsid w:val="6DAD116F"/>
    <w:rsid w:val="6DAD2027"/>
    <w:rsid w:val="6DAF6F69"/>
    <w:rsid w:val="6DB225B5"/>
    <w:rsid w:val="6DB450BF"/>
    <w:rsid w:val="6DB4632D"/>
    <w:rsid w:val="6DB620A5"/>
    <w:rsid w:val="6DB7191B"/>
    <w:rsid w:val="6DB968B8"/>
    <w:rsid w:val="6DBB4A0F"/>
    <w:rsid w:val="6DBB528E"/>
    <w:rsid w:val="6DBD3434"/>
    <w:rsid w:val="6DC05B9B"/>
    <w:rsid w:val="6DC23D16"/>
    <w:rsid w:val="6DC72505"/>
    <w:rsid w:val="6DC9002B"/>
    <w:rsid w:val="6DC95E3D"/>
    <w:rsid w:val="6DCE5641"/>
    <w:rsid w:val="6DD06FAF"/>
    <w:rsid w:val="6DD2352E"/>
    <w:rsid w:val="6DD30EA9"/>
    <w:rsid w:val="6DD436CF"/>
    <w:rsid w:val="6DDB128D"/>
    <w:rsid w:val="6DE262E2"/>
    <w:rsid w:val="6DE85FD7"/>
    <w:rsid w:val="6DED4EBC"/>
    <w:rsid w:val="6DEF7365"/>
    <w:rsid w:val="6DF46479"/>
    <w:rsid w:val="6DF66946"/>
    <w:rsid w:val="6DFB2481"/>
    <w:rsid w:val="6DFB5D0A"/>
    <w:rsid w:val="6E005A16"/>
    <w:rsid w:val="6E027099"/>
    <w:rsid w:val="6E095992"/>
    <w:rsid w:val="6E096679"/>
    <w:rsid w:val="6E105C5A"/>
    <w:rsid w:val="6E1312A6"/>
    <w:rsid w:val="6E14215C"/>
    <w:rsid w:val="6E1D45CF"/>
    <w:rsid w:val="6E267C6B"/>
    <w:rsid w:val="6E276AFF"/>
    <w:rsid w:val="6E283B6C"/>
    <w:rsid w:val="6E2C6AC6"/>
    <w:rsid w:val="6E316BBC"/>
    <w:rsid w:val="6E3A3A96"/>
    <w:rsid w:val="6E3F653F"/>
    <w:rsid w:val="6E405E13"/>
    <w:rsid w:val="6E453429"/>
    <w:rsid w:val="6E49116B"/>
    <w:rsid w:val="6E4B2E0A"/>
    <w:rsid w:val="6E4B4EE4"/>
    <w:rsid w:val="6E4B6C92"/>
    <w:rsid w:val="6E517C93"/>
    <w:rsid w:val="6E5F098F"/>
    <w:rsid w:val="6E613DB7"/>
    <w:rsid w:val="6E625D89"/>
    <w:rsid w:val="6E674FF8"/>
    <w:rsid w:val="6E6935BC"/>
    <w:rsid w:val="6E69536A"/>
    <w:rsid w:val="6E6C09B6"/>
    <w:rsid w:val="6E6E2980"/>
    <w:rsid w:val="6E755ABD"/>
    <w:rsid w:val="6E7667B8"/>
    <w:rsid w:val="6E7A1325"/>
    <w:rsid w:val="6E7C509D"/>
    <w:rsid w:val="6E8403F6"/>
    <w:rsid w:val="6E8B0D18"/>
    <w:rsid w:val="6E8C7E5C"/>
    <w:rsid w:val="6E922B12"/>
    <w:rsid w:val="6E9303B3"/>
    <w:rsid w:val="6E9D5013"/>
    <w:rsid w:val="6E9F3C9F"/>
    <w:rsid w:val="6EA14B04"/>
    <w:rsid w:val="6EAB3EB2"/>
    <w:rsid w:val="6EAD4B62"/>
    <w:rsid w:val="6EAE7733"/>
    <w:rsid w:val="6EB13F1A"/>
    <w:rsid w:val="6EB44A35"/>
    <w:rsid w:val="6EBB40DE"/>
    <w:rsid w:val="6EBE0E4A"/>
    <w:rsid w:val="6EC52C7A"/>
    <w:rsid w:val="6EC64279"/>
    <w:rsid w:val="6ECC38B8"/>
    <w:rsid w:val="6ED70525"/>
    <w:rsid w:val="6ED749C9"/>
    <w:rsid w:val="6ED95E83"/>
    <w:rsid w:val="6EDA0016"/>
    <w:rsid w:val="6EDD18B4"/>
    <w:rsid w:val="6EE20292"/>
    <w:rsid w:val="6EE22D3E"/>
    <w:rsid w:val="6EEA2303"/>
    <w:rsid w:val="6EEB3FD1"/>
    <w:rsid w:val="6EEC06F7"/>
    <w:rsid w:val="6EEE0C46"/>
    <w:rsid w:val="6EEE3AC1"/>
    <w:rsid w:val="6EF72976"/>
    <w:rsid w:val="6EFF27C5"/>
    <w:rsid w:val="6F0137F4"/>
    <w:rsid w:val="6F0532E4"/>
    <w:rsid w:val="6F0B2A24"/>
    <w:rsid w:val="6F0D3F47"/>
    <w:rsid w:val="6F0D5F20"/>
    <w:rsid w:val="6F131AC6"/>
    <w:rsid w:val="6F141779"/>
    <w:rsid w:val="6F177DDA"/>
    <w:rsid w:val="6F1866F2"/>
    <w:rsid w:val="6F1B41AE"/>
    <w:rsid w:val="6F286FD3"/>
    <w:rsid w:val="6F2D283B"/>
    <w:rsid w:val="6F2F210F"/>
    <w:rsid w:val="6F3040D9"/>
    <w:rsid w:val="6F3239AE"/>
    <w:rsid w:val="6F3516F0"/>
    <w:rsid w:val="6F384A96"/>
    <w:rsid w:val="6F3A7ED5"/>
    <w:rsid w:val="6F3B6D06"/>
    <w:rsid w:val="6F3C42C6"/>
    <w:rsid w:val="6F3F0F5A"/>
    <w:rsid w:val="6F40256E"/>
    <w:rsid w:val="6F406688"/>
    <w:rsid w:val="6F4153BB"/>
    <w:rsid w:val="6F4162E7"/>
    <w:rsid w:val="6F44392B"/>
    <w:rsid w:val="6F477302"/>
    <w:rsid w:val="6F4A0DE4"/>
    <w:rsid w:val="6F547DC8"/>
    <w:rsid w:val="6F5648EC"/>
    <w:rsid w:val="6F5A4B86"/>
    <w:rsid w:val="6F5B1156"/>
    <w:rsid w:val="6F60051B"/>
    <w:rsid w:val="6F7044D6"/>
    <w:rsid w:val="6F755C7D"/>
    <w:rsid w:val="6F7C183E"/>
    <w:rsid w:val="6F811C8E"/>
    <w:rsid w:val="6F836563"/>
    <w:rsid w:val="6F862CF7"/>
    <w:rsid w:val="6F8C7562"/>
    <w:rsid w:val="6F8F2BAE"/>
    <w:rsid w:val="6F8F403F"/>
    <w:rsid w:val="6F8F7052"/>
    <w:rsid w:val="6F9132A8"/>
    <w:rsid w:val="6F937B50"/>
    <w:rsid w:val="6F944668"/>
    <w:rsid w:val="6F947AC5"/>
    <w:rsid w:val="6F9C5A16"/>
    <w:rsid w:val="6F9D7F37"/>
    <w:rsid w:val="6FA42FFA"/>
    <w:rsid w:val="6FAD572A"/>
    <w:rsid w:val="6FB865A9"/>
    <w:rsid w:val="6FBB39A3"/>
    <w:rsid w:val="6FBC771B"/>
    <w:rsid w:val="6FC22F83"/>
    <w:rsid w:val="6FCD12F8"/>
    <w:rsid w:val="6FCD1928"/>
    <w:rsid w:val="6FD15666"/>
    <w:rsid w:val="6FD1766A"/>
    <w:rsid w:val="6FDB4045"/>
    <w:rsid w:val="6FE078AE"/>
    <w:rsid w:val="6FE32EFA"/>
    <w:rsid w:val="6FE4739E"/>
    <w:rsid w:val="6FEA24DA"/>
    <w:rsid w:val="6FF05584"/>
    <w:rsid w:val="6FF611BD"/>
    <w:rsid w:val="700469AA"/>
    <w:rsid w:val="70057314"/>
    <w:rsid w:val="70117DCC"/>
    <w:rsid w:val="70147557"/>
    <w:rsid w:val="70156487"/>
    <w:rsid w:val="70194B6E"/>
    <w:rsid w:val="701A0506"/>
    <w:rsid w:val="701B08E6"/>
    <w:rsid w:val="701B5529"/>
    <w:rsid w:val="701D453F"/>
    <w:rsid w:val="701D640C"/>
    <w:rsid w:val="70241EE0"/>
    <w:rsid w:val="70244355"/>
    <w:rsid w:val="70271038"/>
    <w:rsid w:val="70297111"/>
    <w:rsid w:val="702A5C34"/>
    <w:rsid w:val="702A6D7B"/>
    <w:rsid w:val="702C48A1"/>
    <w:rsid w:val="702E23C7"/>
    <w:rsid w:val="70333E81"/>
    <w:rsid w:val="70357BF9"/>
    <w:rsid w:val="703A3B85"/>
    <w:rsid w:val="70422316"/>
    <w:rsid w:val="70427D39"/>
    <w:rsid w:val="704A4AC6"/>
    <w:rsid w:val="704C6CF1"/>
    <w:rsid w:val="705067E1"/>
    <w:rsid w:val="705B0CE2"/>
    <w:rsid w:val="705C1573"/>
    <w:rsid w:val="705F07D2"/>
    <w:rsid w:val="706202C3"/>
    <w:rsid w:val="70661C56"/>
    <w:rsid w:val="70671D7D"/>
    <w:rsid w:val="706933FF"/>
    <w:rsid w:val="706E6C67"/>
    <w:rsid w:val="70786C79"/>
    <w:rsid w:val="70814BED"/>
    <w:rsid w:val="7082773A"/>
    <w:rsid w:val="7089502D"/>
    <w:rsid w:val="708C3591"/>
    <w:rsid w:val="708D6817"/>
    <w:rsid w:val="708E10B8"/>
    <w:rsid w:val="70904E30"/>
    <w:rsid w:val="70912956"/>
    <w:rsid w:val="70932B72"/>
    <w:rsid w:val="709A5CAE"/>
    <w:rsid w:val="709B37D5"/>
    <w:rsid w:val="709B5583"/>
    <w:rsid w:val="709D12FB"/>
    <w:rsid w:val="709F3565"/>
    <w:rsid w:val="70A22DB5"/>
    <w:rsid w:val="70A23177"/>
    <w:rsid w:val="70A2630C"/>
    <w:rsid w:val="70A5694D"/>
    <w:rsid w:val="70AB6137"/>
    <w:rsid w:val="70AC7790"/>
    <w:rsid w:val="70AD723C"/>
    <w:rsid w:val="70AE3508"/>
    <w:rsid w:val="70B12FF8"/>
    <w:rsid w:val="70B30221"/>
    <w:rsid w:val="70B517FB"/>
    <w:rsid w:val="70BC18E3"/>
    <w:rsid w:val="70BE4BA3"/>
    <w:rsid w:val="70C20D61"/>
    <w:rsid w:val="70C66AA3"/>
    <w:rsid w:val="70C77566"/>
    <w:rsid w:val="70C84A9F"/>
    <w:rsid w:val="70CB23C7"/>
    <w:rsid w:val="70D07922"/>
    <w:rsid w:val="70D6056F"/>
    <w:rsid w:val="70DA6696"/>
    <w:rsid w:val="70DF5DB7"/>
    <w:rsid w:val="70E240FD"/>
    <w:rsid w:val="70ED448B"/>
    <w:rsid w:val="70EE1B56"/>
    <w:rsid w:val="70EE693E"/>
    <w:rsid w:val="70F353BF"/>
    <w:rsid w:val="70F80C27"/>
    <w:rsid w:val="70FF3ED5"/>
    <w:rsid w:val="710454D5"/>
    <w:rsid w:val="7104645B"/>
    <w:rsid w:val="710870BC"/>
    <w:rsid w:val="711041C2"/>
    <w:rsid w:val="7113730F"/>
    <w:rsid w:val="711A0EE2"/>
    <w:rsid w:val="711A6DEF"/>
    <w:rsid w:val="711F6B2D"/>
    <w:rsid w:val="71245578"/>
    <w:rsid w:val="712559EA"/>
    <w:rsid w:val="712832BA"/>
    <w:rsid w:val="712A4097"/>
    <w:rsid w:val="712D267F"/>
    <w:rsid w:val="712E6DAB"/>
    <w:rsid w:val="7130216F"/>
    <w:rsid w:val="71325911"/>
    <w:rsid w:val="71341C5F"/>
    <w:rsid w:val="713C4FB8"/>
    <w:rsid w:val="713F1162"/>
    <w:rsid w:val="714125CE"/>
    <w:rsid w:val="71453E6C"/>
    <w:rsid w:val="71494246"/>
    <w:rsid w:val="714B6FA9"/>
    <w:rsid w:val="714E0847"/>
    <w:rsid w:val="71535E5D"/>
    <w:rsid w:val="71556F37"/>
    <w:rsid w:val="71557E27"/>
    <w:rsid w:val="715D19E6"/>
    <w:rsid w:val="716144FC"/>
    <w:rsid w:val="71630796"/>
    <w:rsid w:val="71657472"/>
    <w:rsid w:val="716919A2"/>
    <w:rsid w:val="71696914"/>
    <w:rsid w:val="716B13F9"/>
    <w:rsid w:val="716D3EB2"/>
    <w:rsid w:val="716F713B"/>
    <w:rsid w:val="717812F3"/>
    <w:rsid w:val="717835AD"/>
    <w:rsid w:val="717A163C"/>
    <w:rsid w:val="71802950"/>
    <w:rsid w:val="718129CA"/>
    <w:rsid w:val="71866233"/>
    <w:rsid w:val="71947777"/>
    <w:rsid w:val="719A09DE"/>
    <w:rsid w:val="719E17CE"/>
    <w:rsid w:val="71A13AE0"/>
    <w:rsid w:val="71A2439B"/>
    <w:rsid w:val="71AB7A47"/>
    <w:rsid w:val="71B2527A"/>
    <w:rsid w:val="71B52040"/>
    <w:rsid w:val="71B66B18"/>
    <w:rsid w:val="71BB6A1B"/>
    <w:rsid w:val="71C276EC"/>
    <w:rsid w:val="71C42D2E"/>
    <w:rsid w:val="71C64881"/>
    <w:rsid w:val="71CA6D36"/>
    <w:rsid w:val="71D64AC4"/>
    <w:rsid w:val="71D76A8E"/>
    <w:rsid w:val="71DA45AE"/>
    <w:rsid w:val="71DC40A5"/>
    <w:rsid w:val="71E66E5B"/>
    <w:rsid w:val="71E73175"/>
    <w:rsid w:val="71F130EA"/>
    <w:rsid w:val="71F17B50"/>
    <w:rsid w:val="71F47640"/>
    <w:rsid w:val="71F66BED"/>
    <w:rsid w:val="71FF0F1B"/>
    <w:rsid w:val="72001B41"/>
    <w:rsid w:val="720158B9"/>
    <w:rsid w:val="720438FD"/>
    <w:rsid w:val="72086C48"/>
    <w:rsid w:val="720E2D07"/>
    <w:rsid w:val="72127AC6"/>
    <w:rsid w:val="721455EC"/>
    <w:rsid w:val="721B3C29"/>
    <w:rsid w:val="72236ECD"/>
    <w:rsid w:val="722515A8"/>
    <w:rsid w:val="722516E4"/>
    <w:rsid w:val="72253C9E"/>
    <w:rsid w:val="72281FE7"/>
    <w:rsid w:val="72292A86"/>
    <w:rsid w:val="723143F0"/>
    <w:rsid w:val="723637B5"/>
    <w:rsid w:val="723719C5"/>
    <w:rsid w:val="723D4B43"/>
    <w:rsid w:val="723F1409"/>
    <w:rsid w:val="72477770"/>
    <w:rsid w:val="724834E8"/>
    <w:rsid w:val="7249798C"/>
    <w:rsid w:val="724A7260"/>
    <w:rsid w:val="724C4D86"/>
    <w:rsid w:val="724E6D50"/>
    <w:rsid w:val="724F0D1A"/>
    <w:rsid w:val="72514A93"/>
    <w:rsid w:val="725C09A0"/>
    <w:rsid w:val="7260565A"/>
    <w:rsid w:val="72617EAB"/>
    <w:rsid w:val="726227FC"/>
    <w:rsid w:val="72684572"/>
    <w:rsid w:val="726A16B0"/>
    <w:rsid w:val="726C7D64"/>
    <w:rsid w:val="726F4F19"/>
    <w:rsid w:val="726F75AB"/>
    <w:rsid w:val="727062C8"/>
    <w:rsid w:val="727069B4"/>
    <w:rsid w:val="72710C91"/>
    <w:rsid w:val="72730565"/>
    <w:rsid w:val="7273314B"/>
    <w:rsid w:val="72750781"/>
    <w:rsid w:val="72783DCD"/>
    <w:rsid w:val="727A5D97"/>
    <w:rsid w:val="727E1867"/>
    <w:rsid w:val="72807126"/>
    <w:rsid w:val="72810FB9"/>
    <w:rsid w:val="72824C4C"/>
    <w:rsid w:val="728409C4"/>
    <w:rsid w:val="7288568C"/>
    <w:rsid w:val="728C7879"/>
    <w:rsid w:val="72907369"/>
    <w:rsid w:val="72972638"/>
    <w:rsid w:val="729D6171"/>
    <w:rsid w:val="729E0259"/>
    <w:rsid w:val="729E5688"/>
    <w:rsid w:val="729F75AC"/>
    <w:rsid w:val="72A4647B"/>
    <w:rsid w:val="72A746B3"/>
    <w:rsid w:val="72AC0479"/>
    <w:rsid w:val="72B103A0"/>
    <w:rsid w:val="72B40078"/>
    <w:rsid w:val="72B8066E"/>
    <w:rsid w:val="72BC63B0"/>
    <w:rsid w:val="72C54B39"/>
    <w:rsid w:val="72C62D8B"/>
    <w:rsid w:val="72CE7313"/>
    <w:rsid w:val="72D059B7"/>
    <w:rsid w:val="72D336FA"/>
    <w:rsid w:val="72D4094B"/>
    <w:rsid w:val="72D66F5A"/>
    <w:rsid w:val="72D8486C"/>
    <w:rsid w:val="72D86BD3"/>
    <w:rsid w:val="72DB15CA"/>
    <w:rsid w:val="72E05876"/>
    <w:rsid w:val="72E2521B"/>
    <w:rsid w:val="72E47E1D"/>
    <w:rsid w:val="72E64EB1"/>
    <w:rsid w:val="72EF04FC"/>
    <w:rsid w:val="72F07E08"/>
    <w:rsid w:val="72F37D2D"/>
    <w:rsid w:val="72F64A73"/>
    <w:rsid w:val="72F83160"/>
    <w:rsid w:val="72FB0CA2"/>
    <w:rsid w:val="72FC49FE"/>
    <w:rsid w:val="73042E7C"/>
    <w:rsid w:val="73056051"/>
    <w:rsid w:val="73090EC9"/>
    <w:rsid w:val="730A1B38"/>
    <w:rsid w:val="73124222"/>
    <w:rsid w:val="73125FD0"/>
    <w:rsid w:val="731801D9"/>
    <w:rsid w:val="731955B0"/>
    <w:rsid w:val="731E338E"/>
    <w:rsid w:val="731F249B"/>
    <w:rsid w:val="73245D03"/>
    <w:rsid w:val="732637EC"/>
    <w:rsid w:val="733028FA"/>
    <w:rsid w:val="733F6699"/>
    <w:rsid w:val="73487C44"/>
    <w:rsid w:val="734D44D8"/>
    <w:rsid w:val="735A6AEC"/>
    <w:rsid w:val="735C549D"/>
    <w:rsid w:val="735C724B"/>
    <w:rsid w:val="735F0AE9"/>
    <w:rsid w:val="73602EA4"/>
    <w:rsid w:val="73637F0D"/>
    <w:rsid w:val="73644352"/>
    <w:rsid w:val="736D3206"/>
    <w:rsid w:val="73740A39"/>
    <w:rsid w:val="73751F25"/>
    <w:rsid w:val="737909F4"/>
    <w:rsid w:val="737E32EA"/>
    <w:rsid w:val="737F118B"/>
    <w:rsid w:val="737F2F3A"/>
    <w:rsid w:val="73814F04"/>
    <w:rsid w:val="738642C8"/>
    <w:rsid w:val="738D5656"/>
    <w:rsid w:val="738E13CF"/>
    <w:rsid w:val="739015EB"/>
    <w:rsid w:val="73907A80"/>
    <w:rsid w:val="739B4217"/>
    <w:rsid w:val="739E44FF"/>
    <w:rsid w:val="739E4A9F"/>
    <w:rsid w:val="73A11102"/>
    <w:rsid w:val="73AD3F4B"/>
    <w:rsid w:val="73B15772"/>
    <w:rsid w:val="73B2330F"/>
    <w:rsid w:val="73B52DFF"/>
    <w:rsid w:val="73B61051"/>
    <w:rsid w:val="73BA1BD5"/>
    <w:rsid w:val="73BA353C"/>
    <w:rsid w:val="73BC60D0"/>
    <w:rsid w:val="73BD0A2D"/>
    <w:rsid w:val="73BD5CDD"/>
    <w:rsid w:val="73BE0515"/>
    <w:rsid w:val="73BE3A62"/>
    <w:rsid w:val="73C03C7E"/>
    <w:rsid w:val="73C05940"/>
    <w:rsid w:val="73C117C3"/>
    <w:rsid w:val="73C41C95"/>
    <w:rsid w:val="73C60B68"/>
    <w:rsid w:val="73C6500C"/>
    <w:rsid w:val="73CA6639"/>
    <w:rsid w:val="73CB1AEB"/>
    <w:rsid w:val="73CB617F"/>
    <w:rsid w:val="73D239B1"/>
    <w:rsid w:val="73D72D76"/>
    <w:rsid w:val="73D96AEE"/>
    <w:rsid w:val="73DC038C"/>
    <w:rsid w:val="73E13FC7"/>
    <w:rsid w:val="73E561DB"/>
    <w:rsid w:val="73E6120B"/>
    <w:rsid w:val="73EA06EE"/>
    <w:rsid w:val="73F12089"/>
    <w:rsid w:val="73F15E96"/>
    <w:rsid w:val="73F3740F"/>
    <w:rsid w:val="73F41B79"/>
    <w:rsid w:val="73FC0A2E"/>
    <w:rsid w:val="73FC32EF"/>
    <w:rsid w:val="73FE6CCE"/>
    <w:rsid w:val="7400407A"/>
    <w:rsid w:val="740A6CA7"/>
    <w:rsid w:val="740B2A1F"/>
    <w:rsid w:val="74143FCA"/>
    <w:rsid w:val="74147B26"/>
    <w:rsid w:val="74157F65"/>
    <w:rsid w:val="74177616"/>
    <w:rsid w:val="7419338E"/>
    <w:rsid w:val="741C1E03"/>
    <w:rsid w:val="741C69DA"/>
    <w:rsid w:val="741E6C86"/>
    <w:rsid w:val="7420296E"/>
    <w:rsid w:val="74232316"/>
    <w:rsid w:val="742859A7"/>
    <w:rsid w:val="742B77FD"/>
    <w:rsid w:val="742C1313"/>
    <w:rsid w:val="742E4FC8"/>
    <w:rsid w:val="743341F9"/>
    <w:rsid w:val="743401C8"/>
    <w:rsid w:val="743E4BA3"/>
    <w:rsid w:val="744228E5"/>
    <w:rsid w:val="74442DF9"/>
    <w:rsid w:val="74477EFB"/>
    <w:rsid w:val="744C5512"/>
    <w:rsid w:val="744D2ACC"/>
    <w:rsid w:val="744F5002"/>
    <w:rsid w:val="74510D7A"/>
    <w:rsid w:val="74546174"/>
    <w:rsid w:val="745B519B"/>
    <w:rsid w:val="745E69DA"/>
    <w:rsid w:val="745F3497"/>
    <w:rsid w:val="74606BF5"/>
    <w:rsid w:val="7462249D"/>
    <w:rsid w:val="74626AE3"/>
    <w:rsid w:val="74682796"/>
    <w:rsid w:val="746A6B28"/>
    <w:rsid w:val="746D116A"/>
    <w:rsid w:val="746D4BE5"/>
    <w:rsid w:val="746E36DA"/>
    <w:rsid w:val="746F05F6"/>
    <w:rsid w:val="746F28A8"/>
    <w:rsid w:val="74726D68"/>
    <w:rsid w:val="74736F42"/>
    <w:rsid w:val="74750B42"/>
    <w:rsid w:val="7479207F"/>
    <w:rsid w:val="747C6731"/>
    <w:rsid w:val="74850A24"/>
    <w:rsid w:val="748527D2"/>
    <w:rsid w:val="748A603A"/>
    <w:rsid w:val="749949F7"/>
    <w:rsid w:val="749F1AE5"/>
    <w:rsid w:val="74A215D5"/>
    <w:rsid w:val="74A470FC"/>
    <w:rsid w:val="74A6237F"/>
    <w:rsid w:val="74A964C0"/>
    <w:rsid w:val="74B5450B"/>
    <w:rsid w:val="74B5595C"/>
    <w:rsid w:val="74B80DF9"/>
    <w:rsid w:val="74BC37FB"/>
    <w:rsid w:val="74C06141"/>
    <w:rsid w:val="74C432FA"/>
    <w:rsid w:val="74C50E20"/>
    <w:rsid w:val="74C94E9D"/>
    <w:rsid w:val="74CA6436"/>
    <w:rsid w:val="74CC21AE"/>
    <w:rsid w:val="74CF694D"/>
    <w:rsid w:val="74D47731"/>
    <w:rsid w:val="74D6302D"/>
    <w:rsid w:val="74E039E8"/>
    <w:rsid w:val="74E13026"/>
    <w:rsid w:val="74E92D60"/>
    <w:rsid w:val="74EA0887"/>
    <w:rsid w:val="74EB4D2A"/>
    <w:rsid w:val="74EE65C9"/>
    <w:rsid w:val="74F86FE9"/>
    <w:rsid w:val="74F90479"/>
    <w:rsid w:val="74FF42EB"/>
    <w:rsid w:val="75004737"/>
    <w:rsid w:val="7500577B"/>
    <w:rsid w:val="75041948"/>
    <w:rsid w:val="75071439"/>
    <w:rsid w:val="7521074C"/>
    <w:rsid w:val="75267B11"/>
    <w:rsid w:val="752913AF"/>
    <w:rsid w:val="75322B76"/>
    <w:rsid w:val="7533222E"/>
    <w:rsid w:val="75333619"/>
    <w:rsid w:val="75387844"/>
    <w:rsid w:val="753D12FE"/>
    <w:rsid w:val="753D30AC"/>
    <w:rsid w:val="75425644"/>
    <w:rsid w:val="75476CAA"/>
    <w:rsid w:val="75480FE3"/>
    <w:rsid w:val="7548394C"/>
    <w:rsid w:val="754B12D3"/>
    <w:rsid w:val="755152D3"/>
    <w:rsid w:val="755A1EB0"/>
    <w:rsid w:val="755A5A0C"/>
    <w:rsid w:val="755D707D"/>
    <w:rsid w:val="75610CF2"/>
    <w:rsid w:val="75614247"/>
    <w:rsid w:val="75614FED"/>
    <w:rsid w:val="7563404D"/>
    <w:rsid w:val="75695C4F"/>
    <w:rsid w:val="756B17C2"/>
    <w:rsid w:val="75706FDE"/>
    <w:rsid w:val="75752B80"/>
    <w:rsid w:val="7577036C"/>
    <w:rsid w:val="757A1C0A"/>
    <w:rsid w:val="757A4300"/>
    <w:rsid w:val="757B56BE"/>
    <w:rsid w:val="757D1115"/>
    <w:rsid w:val="758331B5"/>
    <w:rsid w:val="75862CA5"/>
    <w:rsid w:val="758F65B0"/>
    <w:rsid w:val="75907680"/>
    <w:rsid w:val="75986327"/>
    <w:rsid w:val="75986535"/>
    <w:rsid w:val="75992388"/>
    <w:rsid w:val="759C7DD3"/>
    <w:rsid w:val="759E1500"/>
    <w:rsid w:val="75A03D67"/>
    <w:rsid w:val="75A36467"/>
    <w:rsid w:val="75A82C1C"/>
    <w:rsid w:val="75B90985"/>
    <w:rsid w:val="75C15A8B"/>
    <w:rsid w:val="75C2385F"/>
    <w:rsid w:val="75C31803"/>
    <w:rsid w:val="75C437EC"/>
    <w:rsid w:val="75C80BC8"/>
    <w:rsid w:val="75CA2B92"/>
    <w:rsid w:val="75D34AD2"/>
    <w:rsid w:val="75D827F1"/>
    <w:rsid w:val="75DE663D"/>
    <w:rsid w:val="75E36059"/>
    <w:rsid w:val="75E841DD"/>
    <w:rsid w:val="75E874BC"/>
    <w:rsid w:val="75E9087A"/>
    <w:rsid w:val="75EA6D90"/>
    <w:rsid w:val="75EF084A"/>
    <w:rsid w:val="75F257F1"/>
    <w:rsid w:val="75F776FF"/>
    <w:rsid w:val="75F842DC"/>
    <w:rsid w:val="75F93E4E"/>
    <w:rsid w:val="76012189"/>
    <w:rsid w:val="76051E1C"/>
    <w:rsid w:val="7610431D"/>
    <w:rsid w:val="761107C1"/>
    <w:rsid w:val="76116A13"/>
    <w:rsid w:val="76120095"/>
    <w:rsid w:val="76171B4F"/>
    <w:rsid w:val="761A6D08"/>
    <w:rsid w:val="761C7166"/>
    <w:rsid w:val="76201FB0"/>
    <w:rsid w:val="76277A97"/>
    <w:rsid w:val="76285B0A"/>
    <w:rsid w:val="762F6E99"/>
    <w:rsid w:val="763444AF"/>
    <w:rsid w:val="7634625D"/>
    <w:rsid w:val="763B6025"/>
    <w:rsid w:val="764364A0"/>
    <w:rsid w:val="764741E2"/>
    <w:rsid w:val="764F590C"/>
    <w:rsid w:val="764F64BE"/>
    <w:rsid w:val="76525BE7"/>
    <w:rsid w:val="76557CFE"/>
    <w:rsid w:val="76592168"/>
    <w:rsid w:val="765B265C"/>
    <w:rsid w:val="765B7C8E"/>
    <w:rsid w:val="765C57B4"/>
    <w:rsid w:val="765D0026"/>
    <w:rsid w:val="7662101C"/>
    <w:rsid w:val="76692C0E"/>
    <w:rsid w:val="766C59F7"/>
    <w:rsid w:val="766D176F"/>
    <w:rsid w:val="7671125F"/>
    <w:rsid w:val="76740D50"/>
    <w:rsid w:val="7677439C"/>
    <w:rsid w:val="767A48FF"/>
    <w:rsid w:val="767D6349"/>
    <w:rsid w:val="767D7C04"/>
    <w:rsid w:val="767E397C"/>
    <w:rsid w:val="767F592F"/>
    <w:rsid w:val="76812C15"/>
    <w:rsid w:val="76860257"/>
    <w:rsid w:val="7691545E"/>
    <w:rsid w:val="76945635"/>
    <w:rsid w:val="76992564"/>
    <w:rsid w:val="76AE5798"/>
    <w:rsid w:val="76AE6010"/>
    <w:rsid w:val="76AF2641"/>
    <w:rsid w:val="76BA2FFA"/>
    <w:rsid w:val="76BC23A9"/>
    <w:rsid w:val="76BC400E"/>
    <w:rsid w:val="76C02894"/>
    <w:rsid w:val="76C113A3"/>
    <w:rsid w:val="76C53359"/>
    <w:rsid w:val="76C577FD"/>
    <w:rsid w:val="76C85441"/>
    <w:rsid w:val="76D31F1A"/>
    <w:rsid w:val="76D90BB3"/>
    <w:rsid w:val="76E01F41"/>
    <w:rsid w:val="76E3616A"/>
    <w:rsid w:val="76E64C26"/>
    <w:rsid w:val="76E84269"/>
    <w:rsid w:val="76E85E0B"/>
    <w:rsid w:val="76E96C3F"/>
    <w:rsid w:val="76EB42AA"/>
    <w:rsid w:val="76EE02E4"/>
    <w:rsid w:val="76EE28B0"/>
    <w:rsid w:val="76EF6628"/>
    <w:rsid w:val="76F358AB"/>
    <w:rsid w:val="76FF2D0F"/>
    <w:rsid w:val="76FF3F0A"/>
    <w:rsid w:val="77005040"/>
    <w:rsid w:val="7706409E"/>
    <w:rsid w:val="770C61B4"/>
    <w:rsid w:val="77135A8C"/>
    <w:rsid w:val="771C2C96"/>
    <w:rsid w:val="772618AB"/>
    <w:rsid w:val="7726586C"/>
    <w:rsid w:val="772D1C1A"/>
    <w:rsid w:val="77300FA6"/>
    <w:rsid w:val="773A3D47"/>
    <w:rsid w:val="773A5AF5"/>
    <w:rsid w:val="773C3B52"/>
    <w:rsid w:val="773D55E5"/>
    <w:rsid w:val="773D6723"/>
    <w:rsid w:val="774249AA"/>
    <w:rsid w:val="774467B9"/>
    <w:rsid w:val="77467AA6"/>
    <w:rsid w:val="77471FC0"/>
    <w:rsid w:val="774C75D7"/>
    <w:rsid w:val="775070C7"/>
    <w:rsid w:val="77530965"/>
    <w:rsid w:val="7763687C"/>
    <w:rsid w:val="777059BB"/>
    <w:rsid w:val="7774302C"/>
    <w:rsid w:val="77752DF8"/>
    <w:rsid w:val="77764653"/>
    <w:rsid w:val="77834404"/>
    <w:rsid w:val="77843214"/>
    <w:rsid w:val="77870C32"/>
    <w:rsid w:val="77882D05"/>
    <w:rsid w:val="779515A0"/>
    <w:rsid w:val="779E027D"/>
    <w:rsid w:val="77A3571E"/>
    <w:rsid w:val="77A46D61"/>
    <w:rsid w:val="77A77297"/>
    <w:rsid w:val="77A950A4"/>
    <w:rsid w:val="77AB49BE"/>
    <w:rsid w:val="77AB69F3"/>
    <w:rsid w:val="77AE0A71"/>
    <w:rsid w:val="77B07ED5"/>
    <w:rsid w:val="77B5634E"/>
    <w:rsid w:val="77B875B5"/>
    <w:rsid w:val="77B962E8"/>
    <w:rsid w:val="77BA09E4"/>
    <w:rsid w:val="77BD2282"/>
    <w:rsid w:val="77BE09B0"/>
    <w:rsid w:val="77BE6726"/>
    <w:rsid w:val="77C736E5"/>
    <w:rsid w:val="77C81353"/>
    <w:rsid w:val="77C90C27"/>
    <w:rsid w:val="77C975EC"/>
    <w:rsid w:val="77CD0717"/>
    <w:rsid w:val="77D01FB6"/>
    <w:rsid w:val="77DE0382"/>
    <w:rsid w:val="77E126BA"/>
    <w:rsid w:val="77E617D9"/>
    <w:rsid w:val="77E7304A"/>
    <w:rsid w:val="77EB6DF0"/>
    <w:rsid w:val="77F143F4"/>
    <w:rsid w:val="77F2017E"/>
    <w:rsid w:val="77F21093"/>
    <w:rsid w:val="77F24622"/>
    <w:rsid w:val="77F65D1E"/>
    <w:rsid w:val="77F83C6D"/>
    <w:rsid w:val="77F9775E"/>
    <w:rsid w:val="77FC2DAB"/>
    <w:rsid w:val="78040477"/>
    <w:rsid w:val="78041205"/>
    <w:rsid w:val="780A196C"/>
    <w:rsid w:val="780B4581"/>
    <w:rsid w:val="780B56E4"/>
    <w:rsid w:val="780F5E0D"/>
    <w:rsid w:val="78112CFA"/>
    <w:rsid w:val="781400F4"/>
    <w:rsid w:val="78153E6C"/>
    <w:rsid w:val="78160310"/>
    <w:rsid w:val="78176B3C"/>
    <w:rsid w:val="781C3334"/>
    <w:rsid w:val="78205800"/>
    <w:rsid w:val="782B3690"/>
    <w:rsid w:val="782D7408"/>
    <w:rsid w:val="782F13D2"/>
    <w:rsid w:val="783249BB"/>
    <w:rsid w:val="783562BD"/>
    <w:rsid w:val="78372827"/>
    <w:rsid w:val="784340FC"/>
    <w:rsid w:val="78443B94"/>
    <w:rsid w:val="78485FF0"/>
    <w:rsid w:val="784D1858"/>
    <w:rsid w:val="784F737E"/>
    <w:rsid w:val="7851759A"/>
    <w:rsid w:val="78520C1D"/>
    <w:rsid w:val="78547024"/>
    <w:rsid w:val="785D5F3F"/>
    <w:rsid w:val="78650950"/>
    <w:rsid w:val="786C7F30"/>
    <w:rsid w:val="786D1EFA"/>
    <w:rsid w:val="787646AC"/>
    <w:rsid w:val="787E76C0"/>
    <w:rsid w:val="787F1FE0"/>
    <w:rsid w:val="788A6608"/>
    <w:rsid w:val="78967A4B"/>
    <w:rsid w:val="789B0078"/>
    <w:rsid w:val="789F55CE"/>
    <w:rsid w:val="789F5EA1"/>
    <w:rsid w:val="78A105FE"/>
    <w:rsid w:val="78A258DF"/>
    <w:rsid w:val="78A376CA"/>
    <w:rsid w:val="78A551F0"/>
    <w:rsid w:val="78AF42C1"/>
    <w:rsid w:val="78B41468"/>
    <w:rsid w:val="78B47D8A"/>
    <w:rsid w:val="78B76FC4"/>
    <w:rsid w:val="78C15B3D"/>
    <w:rsid w:val="78C25DA2"/>
    <w:rsid w:val="78C740DC"/>
    <w:rsid w:val="78C75C05"/>
    <w:rsid w:val="78CC030B"/>
    <w:rsid w:val="78CE1E6B"/>
    <w:rsid w:val="78D12FC9"/>
    <w:rsid w:val="78D37FAF"/>
    <w:rsid w:val="78D635FC"/>
    <w:rsid w:val="78D705A5"/>
    <w:rsid w:val="78DB325B"/>
    <w:rsid w:val="78DF4BA6"/>
    <w:rsid w:val="78DF6A5D"/>
    <w:rsid w:val="78E42141"/>
    <w:rsid w:val="78E73807"/>
    <w:rsid w:val="78E74258"/>
    <w:rsid w:val="78EE4DE9"/>
    <w:rsid w:val="78EF0B61"/>
    <w:rsid w:val="78F10436"/>
    <w:rsid w:val="78F341AE"/>
    <w:rsid w:val="78F458A4"/>
    <w:rsid w:val="78F817C4"/>
    <w:rsid w:val="78F85C68"/>
    <w:rsid w:val="78F9553C"/>
    <w:rsid w:val="78FC4F0A"/>
    <w:rsid w:val="790463BB"/>
    <w:rsid w:val="79073098"/>
    <w:rsid w:val="790C526F"/>
    <w:rsid w:val="79102FB2"/>
    <w:rsid w:val="791365FE"/>
    <w:rsid w:val="79136F07"/>
    <w:rsid w:val="79144124"/>
    <w:rsid w:val="792516D5"/>
    <w:rsid w:val="79287E2C"/>
    <w:rsid w:val="792A1B99"/>
    <w:rsid w:val="792A6040"/>
    <w:rsid w:val="79314CD6"/>
    <w:rsid w:val="7936053E"/>
    <w:rsid w:val="793622EC"/>
    <w:rsid w:val="79382508"/>
    <w:rsid w:val="793B3DA7"/>
    <w:rsid w:val="793D7B1F"/>
    <w:rsid w:val="793E76B6"/>
    <w:rsid w:val="793F71C8"/>
    <w:rsid w:val="794C7D62"/>
    <w:rsid w:val="794D2D86"/>
    <w:rsid w:val="795310F0"/>
    <w:rsid w:val="79536FEF"/>
    <w:rsid w:val="79537342"/>
    <w:rsid w:val="795940A6"/>
    <w:rsid w:val="795B3AF3"/>
    <w:rsid w:val="795D3C37"/>
    <w:rsid w:val="795E5322"/>
    <w:rsid w:val="795F7A95"/>
    <w:rsid w:val="79646E59"/>
    <w:rsid w:val="79652BD2"/>
    <w:rsid w:val="7967694A"/>
    <w:rsid w:val="79756206"/>
    <w:rsid w:val="79773031"/>
    <w:rsid w:val="797E3990"/>
    <w:rsid w:val="79840FA7"/>
    <w:rsid w:val="79856DD0"/>
    <w:rsid w:val="798C46A4"/>
    <w:rsid w:val="798D0B47"/>
    <w:rsid w:val="798E3ED6"/>
    <w:rsid w:val="799129B7"/>
    <w:rsid w:val="799534B7"/>
    <w:rsid w:val="799D06FD"/>
    <w:rsid w:val="79A2404B"/>
    <w:rsid w:val="79A33A55"/>
    <w:rsid w:val="79A731EA"/>
    <w:rsid w:val="79A90D10"/>
    <w:rsid w:val="79B0209F"/>
    <w:rsid w:val="79B31B8F"/>
    <w:rsid w:val="79B3566E"/>
    <w:rsid w:val="79B50780"/>
    <w:rsid w:val="79BF322E"/>
    <w:rsid w:val="79C142AC"/>
    <w:rsid w:val="79C2379C"/>
    <w:rsid w:val="79C314E4"/>
    <w:rsid w:val="79CE69C9"/>
    <w:rsid w:val="79CF6FB6"/>
    <w:rsid w:val="79D05643"/>
    <w:rsid w:val="79D22F1C"/>
    <w:rsid w:val="79D34EAE"/>
    <w:rsid w:val="79D35D8D"/>
    <w:rsid w:val="79D53017"/>
    <w:rsid w:val="79DA0B61"/>
    <w:rsid w:val="79DA35C0"/>
    <w:rsid w:val="79DF334E"/>
    <w:rsid w:val="79E306C6"/>
    <w:rsid w:val="79E41D48"/>
    <w:rsid w:val="79E65AC0"/>
    <w:rsid w:val="79E955B1"/>
    <w:rsid w:val="79EA1A55"/>
    <w:rsid w:val="79EC2425"/>
    <w:rsid w:val="79F01271"/>
    <w:rsid w:val="79F91C98"/>
    <w:rsid w:val="79FA1156"/>
    <w:rsid w:val="79FC3572"/>
    <w:rsid w:val="7A005805"/>
    <w:rsid w:val="7A097A01"/>
    <w:rsid w:val="7A0D158D"/>
    <w:rsid w:val="7A106FE1"/>
    <w:rsid w:val="7A150154"/>
    <w:rsid w:val="7A170370"/>
    <w:rsid w:val="7A1F2651"/>
    <w:rsid w:val="7A2605B3"/>
    <w:rsid w:val="7A266805"/>
    <w:rsid w:val="7A290087"/>
    <w:rsid w:val="7A2A00A3"/>
    <w:rsid w:val="7A2B1F18"/>
    <w:rsid w:val="7A2F56B9"/>
    <w:rsid w:val="7A356A48"/>
    <w:rsid w:val="7A3C3932"/>
    <w:rsid w:val="7A404158"/>
    <w:rsid w:val="7A410F49"/>
    <w:rsid w:val="7A41719B"/>
    <w:rsid w:val="7A4E3666"/>
    <w:rsid w:val="7A523AF4"/>
    <w:rsid w:val="7A550ECC"/>
    <w:rsid w:val="7A552C46"/>
    <w:rsid w:val="7A5616AF"/>
    <w:rsid w:val="7A592736"/>
    <w:rsid w:val="7A6246C9"/>
    <w:rsid w:val="7A680BCB"/>
    <w:rsid w:val="7A69020F"/>
    <w:rsid w:val="7A751EAC"/>
    <w:rsid w:val="7A794B87"/>
    <w:rsid w:val="7A7C01D3"/>
    <w:rsid w:val="7A7E219D"/>
    <w:rsid w:val="7A7F0907"/>
    <w:rsid w:val="7A805F15"/>
    <w:rsid w:val="7A807CC3"/>
    <w:rsid w:val="7A811E80"/>
    <w:rsid w:val="7A840125"/>
    <w:rsid w:val="7A88301C"/>
    <w:rsid w:val="7A886B78"/>
    <w:rsid w:val="7A8C22DE"/>
    <w:rsid w:val="7A8D2CB9"/>
    <w:rsid w:val="7A902F4D"/>
    <w:rsid w:val="7A911ED0"/>
    <w:rsid w:val="7A916C03"/>
    <w:rsid w:val="7A926D8F"/>
    <w:rsid w:val="7A995229"/>
    <w:rsid w:val="7AA03EC1"/>
    <w:rsid w:val="7AA65250"/>
    <w:rsid w:val="7AA7568D"/>
    <w:rsid w:val="7AAC0AB8"/>
    <w:rsid w:val="7AB36300"/>
    <w:rsid w:val="7AB45BBF"/>
    <w:rsid w:val="7AB61937"/>
    <w:rsid w:val="7AB83901"/>
    <w:rsid w:val="7ABE07EB"/>
    <w:rsid w:val="7AC21FB4"/>
    <w:rsid w:val="7AC51B7A"/>
    <w:rsid w:val="7AC5601E"/>
    <w:rsid w:val="7ACF700A"/>
    <w:rsid w:val="7AD1051F"/>
    <w:rsid w:val="7AD667C9"/>
    <w:rsid w:val="7AD86AF4"/>
    <w:rsid w:val="7AD96269"/>
    <w:rsid w:val="7ADD5115"/>
    <w:rsid w:val="7ADD6249"/>
    <w:rsid w:val="7AE22D05"/>
    <w:rsid w:val="7AE55D78"/>
    <w:rsid w:val="7AEA1CF5"/>
    <w:rsid w:val="7AED10D1"/>
    <w:rsid w:val="7AF20495"/>
    <w:rsid w:val="7AF661D7"/>
    <w:rsid w:val="7AFF570D"/>
    <w:rsid w:val="7B000E04"/>
    <w:rsid w:val="7B02359D"/>
    <w:rsid w:val="7B034450"/>
    <w:rsid w:val="7B040D25"/>
    <w:rsid w:val="7B073F40"/>
    <w:rsid w:val="7B09415C"/>
    <w:rsid w:val="7B18614D"/>
    <w:rsid w:val="7B187EFC"/>
    <w:rsid w:val="7B2F3497"/>
    <w:rsid w:val="7B3867F0"/>
    <w:rsid w:val="7B3A1CA3"/>
    <w:rsid w:val="7B3A2568"/>
    <w:rsid w:val="7B40172A"/>
    <w:rsid w:val="7B405C62"/>
    <w:rsid w:val="7B427D7A"/>
    <w:rsid w:val="7B430CF1"/>
    <w:rsid w:val="7B436DED"/>
    <w:rsid w:val="7B454A69"/>
    <w:rsid w:val="7B486307"/>
    <w:rsid w:val="7B48665E"/>
    <w:rsid w:val="7B494559"/>
    <w:rsid w:val="7B4E1B6F"/>
    <w:rsid w:val="7B544DE1"/>
    <w:rsid w:val="7B571A2E"/>
    <w:rsid w:val="7B580C40"/>
    <w:rsid w:val="7B6662D4"/>
    <w:rsid w:val="7B6770D5"/>
    <w:rsid w:val="7B6952BF"/>
    <w:rsid w:val="7B6A748C"/>
    <w:rsid w:val="7B754D99"/>
    <w:rsid w:val="7B7B492E"/>
    <w:rsid w:val="7B7F61CD"/>
    <w:rsid w:val="7B871525"/>
    <w:rsid w:val="7B89704B"/>
    <w:rsid w:val="7B931C78"/>
    <w:rsid w:val="7B933A26"/>
    <w:rsid w:val="7B9F11DB"/>
    <w:rsid w:val="7B9F65A8"/>
    <w:rsid w:val="7BA55C3B"/>
    <w:rsid w:val="7BA6653A"/>
    <w:rsid w:val="7BA677C5"/>
    <w:rsid w:val="7BB1183B"/>
    <w:rsid w:val="7BB26436"/>
    <w:rsid w:val="7BB87930"/>
    <w:rsid w:val="7BBA69D6"/>
    <w:rsid w:val="7BBC11CF"/>
    <w:rsid w:val="7BBE0E4B"/>
    <w:rsid w:val="7BBF0CBF"/>
    <w:rsid w:val="7BBF481B"/>
    <w:rsid w:val="7BBF4E1C"/>
    <w:rsid w:val="7BC2430B"/>
    <w:rsid w:val="7BC275FF"/>
    <w:rsid w:val="7BC6204D"/>
    <w:rsid w:val="7BC6663D"/>
    <w:rsid w:val="7BC77B74"/>
    <w:rsid w:val="7BCD065D"/>
    <w:rsid w:val="7BD40093"/>
    <w:rsid w:val="7BD61B65"/>
    <w:rsid w:val="7BDA78A7"/>
    <w:rsid w:val="7BDC4AFD"/>
    <w:rsid w:val="7BDF7C5F"/>
    <w:rsid w:val="7BE129E3"/>
    <w:rsid w:val="7BE95D3C"/>
    <w:rsid w:val="7BEB3862"/>
    <w:rsid w:val="7BF546E1"/>
    <w:rsid w:val="7BF74E3B"/>
    <w:rsid w:val="7BF87D2D"/>
    <w:rsid w:val="7BFA7117"/>
    <w:rsid w:val="7C01358C"/>
    <w:rsid w:val="7C030BAC"/>
    <w:rsid w:val="7C08168C"/>
    <w:rsid w:val="7C11382C"/>
    <w:rsid w:val="7C1C76BD"/>
    <w:rsid w:val="7C1D1542"/>
    <w:rsid w:val="7C232FFC"/>
    <w:rsid w:val="7C257CBE"/>
    <w:rsid w:val="7C2E19A1"/>
    <w:rsid w:val="7C336426"/>
    <w:rsid w:val="7C374CF9"/>
    <w:rsid w:val="7C431A41"/>
    <w:rsid w:val="7C4412E1"/>
    <w:rsid w:val="7C4446F4"/>
    <w:rsid w:val="7C444D20"/>
    <w:rsid w:val="7C492337"/>
    <w:rsid w:val="7C4D1E27"/>
    <w:rsid w:val="7C52568F"/>
    <w:rsid w:val="7C55691A"/>
    <w:rsid w:val="7C5E5077"/>
    <w:rsid w:val="7C6230DB"/>
    <w:rsid w:val="7C63164A"/>
    <w:rsid w:val="7C66738C"/>
    <w:rsid w:val="7C690F17"/>
    <w:rsid w:val="7C69673C"/>
    <w:rsid w:val="7C706E0F"/>
    <w:rsid w:val="7C790E6E"/>
    <w:rsid w:val="7C7A4BE6"/>
    <w:rsid w:val="7C7E0232"/>
    <w:rsid w:val="7C806D57"/>
    <w:rsid w:val="7C835849"/>
    <w:rsid w:val="7C857813"/>
    <w:rsid w:val="7C8A4E29"/>
    <w:rsid w:val="7C8C2AE3"/>
    <w:rsid w:val="7C9006F1"/>
    <w:rsid w:val="7C9537CE"/>
    <w:rsid w:val="7C9A1801"/>
    <w:rsid w:val="7C9E08D4"/>
    <w:rsid w:val="7CA81753"/>
    <w:rsid w:val="7CAD0B17"/>
    <w:rsid w:val="7CAF04D4"/>
    <w:rsid w:val="7CAF4890"/>
    <w:rsid w:val="7CB01901"/>
    <w:rsid w:val="7CB023B6"/>
    <w:rsid w:val="7CBA4FE2"/>
    <w:rsid w:val="7CBC6FAC"/>
    <w:rsid w:val="7CC03568"/>
    <w:rsid w:val="7CC548D0"/>
    <w:rsid w:val="7CC61BD9"/>
    <w:rsid w:val="7CC860A5"/>
    <w:rsid w:val="7CCD68E7"/>
    <w:rsid w:val="7CD97B5E"/>
    <w:rsid w:val="7CE04A49"/>
    <w:rsid w:val="7CE404A4"/>
    <w:rsid w:val="7CE4330E"/>
    <w:rsid w:val="7CE85827"/>
    <w:rsid w:val="7CEE2BCE"/>
    <w:rsid w:val="7CF600D5"/>
    <w:rsid w:val="7D0050EB"/>
    <w:rsid w:val="7D0338A2"/>
    <w:rsid w:val="7D034BDB"/>
    <w:rsid w:val="7D056BA5"/>
    <w:rsid w:val="7D0C6095"/>
    <w:rsid w:val="7D0E5A5A"/>
    <w:rsid w:val="7D0F1E45"/>
    <w:rsid w:val="7D135677"/>
    <w:rsid w:val="7D1B104E"/>
    <w:rsid w:val="7D1D4C50"/>
    <w:rsid w:val="7D1D5C9D"/>
    <w:rsid w:val="7D216E78"/>
    <w:rsid w:val="7D23174B"/>
    <w:rsid w:val="7D242BDB"/>
    <w:rsid w:val="7D250B4D"/>
    <w:rsid w:val="7D25327D"/>
    <w:rsid w:val="7D2C7C8E"/>
    <w:rsid w:val="7D2E2162"/>
    <w:rsid w:val="7D3036DB"/>
    <w:rsid w:val="7D32101D"/>
    <w:rsid w:val="7D3905FD"/>
    <w:rsid w:val="7D3A23FC"/>
    <w:rsid w:val="7D470F6C"/>
    <w:rsid w:val="7D4A280A"/>
    <w:rsid w:val="7D4C0330"/>
    <w:rsid w:val="7D4E22FA"/>
    <w:rsid w:val="7D4E40A8"/>
    <w:rsid w:val="7D545437"/>
    <w:rsid w:val="7D562F5D"/>
    <w:rsid w:val="7D580E3B"/>
    <w:rsid w:val="7D5D253D"/>
    <w:rsid w:val="7D67516A"/>
    <w:rsid w:val="7D6A07B6"/>
    <w:rsid w:val="7D6C7F41"/>
    <w:rsid w:val="7D6F3769"/>
    <w:rsid w:val="7D780418"/>
    <w:rsid w:val="7D7B29C4"/>
    <w:rsid w:val="7D7C2F0A"/>
    <w:rsid w:val="7D7F657F"/>
    <w:rsid w:val="7D851A94"/>
    <w:rsid w:val="7D852E5E"/>
    <w:rsid w:val="7D86035D"/>
    <w:rsid w:val="7D8908F9"/>
    <w:rsid w:val="7D8A2C07"/>
    <w:rsid w:val="7D9113F0"/>
    <w:rsid w:val="7D9341B1"/>
    <w:rsid w:val="7D955572"/>
    <w:rsid w:val="7D9D1F01"/>
    <w:rsid w:val="7D9F7D20"/>
    <w:rsid w:val="7DAF0C8C"/>
    <w:rsid w:val="7DB36601"/>
    <w:rsid w:val="7DB43D24"/>
    <w:rsid w:val="7DB859C6"/>
    <w:rsid w:val="7DC27B7C"/>
    <w:rsid w:val="7DC437A1"/>
    <w:rsid w:val="7DC56785"/>
    <w:rsid w:val="7DC83B00"/>
    <w:rsid w:val="7DC9372F"/>
    <w:rsid w:val="7DD02D0F"/>
    <w:rsid w:val="7DD2549D"/>
    <w:rsid w:val="7DD50326"/>
    <w:rsid w:val="7DD547CA"/>
    <w:rsid w:val="7DD565C5"/>
    <w:rsid w:val="7DD730B0"/>
    <w:rsid w:val="7DDD542C"/>
    <w:rsid w:val="7DF05160"/>
    <w:rsid w:val="7DF20182"/>
    <w:rsid w:val="7DFC2364"/>
    <w:rsid w:val="7E00216C"/>
    <w:rsid w:val="7E05786D"/>
    <w:rsid w:val="7E0724A9"/>
    <w:rsid w:val="7E096221"/>
    <w:rsid w:val="7E123328"/>
    <w:rsid w:val="7E12404D"/>
    <w:rsid w:val="7E141A72"/>
    <w:rsid w:val="7E1E56F5"/>
    <w:rsid w:val="7E227624"/>
    <w:rsid w:val="7E244E09"/>
    <w:rsid w:val="7E293E24"/>
    <w:rsid w:val="7E2B43EA"/>
    <w:rsid w:val="7E2D63B4"/>
    <w:rsid w:val="7E2E2D4B"/>
    <w:rsid w:val="7E2F1168"/>
    <w:rsid w:val="7E370FE0"/>
    <w:rsid w:val="7E41524D"/>
    <w:rsid w:val="7E430A4C"/>
    <w:rsid w:val="7E45714A"/>
    <w:rsid w:val="7E4620E1"/>
    <w:rsid w:val="7E5202D3"/>
    <w:rsid w:val="7E5E6E19"/>
    <w:rsid w:val="7E6041CB"/>
    <w:rsid w:val="7E635932"/>
    <w:rsid w:val="7E6416AA"/>
    <w:rsid w:val="7E652BEB"/>
    <w:rsid w:val="7E656157"/>
    <w:rsid w:val="7E6D055E"/>
    <w:rsid w:val="7E6D3040"/>
    <w:rsid w:val="7E6D4A02"/>
    <w:rsid w:val="7E722019"/>
    <w:rsid w:val="7E78024A"/>
    <w:rsid w:val="7E786F03"/>
    <w:rsid w:val="7E8450F6"/>
    <w:rsid w:val="7E857F9E"/>
    <w:rsid w:val="7E8835EA"/>
    <w:rsid w:val="7E9401E1"/>
    <w:rsid w:val="7E9735D9"/>
    <w:rsid w:val="7E9755DB"/>
    <w:rsid w:val="7E9C7095"/>
    <w:rsid w:val="7E9D7975"/>
    <w:rsid w:val="7EA63A70"/>
    <w:rsid w:val="7EB02B41"/>
    <w:rsid w:val="7EB97C47"/>
    <w:rsid w:val="7EBF1AAA"/>
    <w:rsid w:val="7EC00FD6"/>
    <w:rsid w:val="7EC65EC0"/>
    <w:rsid w:val="7ED22AB7"/>
    <w:rsid w:val="7ED56104"/>
    <w:rsid w:val="7EDB7BBE"/>
    <w:rsid w:val="7EDE2FC8"/>
    <w:rsid w:val="7EE60311"/>
    <w:rsid w:val="7EED78F1"/>
    <w:rsid w:val="7EEF64CE"/>
    <w:rsid w:val="7EF13645"/>
    <w:rsid w:val="7EF235FE"/>
    <w:rsid w:val="7EF40C80"/>
    <w:rsid w:val="7EF55075"/>
    <w:rsid w:val="7EF70770"/>
    <w:rsid w:val="7EF7251E"/>
    <w:rsid w:val="7F020597"/>
    <w:rsid w:val="7F0215EE"/>
    <w:rsid w:val="7F027E37"/>
    <w:rsid w:val="7F030EC3"/>
    <w:rsid w:val="7F060810"/>
    <w:rsid w:val="7F080287"/>
    <w:rsid w:val="7F116BFC"/>
    <w:rsid w:val="7F160BF6"/>
    <w:rsid w:val="7F160CF6"/>
    <w:rsid w:val="7F17496E"/>
    <w:rsid w:val="7F1906E6"/>
    <w:rsid w:val="7F1C4477"/>
    <w:rsid w:val="7F21759B"/>
    <w:rsid w:val="7F280929"/>
    <w:rsid w:val="7F2B473E"/>
    <w:rsid w:val="7F2C666B"/>
    <w:rsid w:val="7F2D5F40"/>
    <w:rsid w:val="7F475176"/>
    <w:rsid w:val="7F4B27A2"/>
    <w:rsid w:val="7F5259A6"/>
    <w:rsid w:val="7F567244"/>
    <w:rsid w:val="7F6827AC"/>
    <w:rsid w:val="7F68581B"/>
    <w:rsid w:val="7F686F78"/>
    <w:rsid w:val="7F6C4CBA"/>
    <w:rsid w:val="7F6D458E"/>
    <w:rsid w:val="7F6E0A32"/>
    <w:rsid w:val="7F7143BF"/>
    <w:rsid w:val="7F736048"/>
    <w:rsid w:val="7F74591C"/>
    <w:rsid w:val="7F74758A"/>
    <w:rsid w:val="7F7676A4"/>
    <w:rsid w:val="7F784641"/>
    <w:rsid w:val="7F7927BD"/>
    <w:rsid w:val="7F7B6CAB"/>
    <w:rsid w:val="7F7D2A23"/>
    <w:rsid w:val="7F7F453B"/>
    <w:rsid w:val="7F875073"/>
    <w:rsid w:val="7F89761A"/>
    <w:rsid w:val="7F8A2C25"/>
    <w:rsid w:val="7F8D0211"/>
    <w:rsid w:val="7F945FBF"/>
    <w:rsid w:val="7F9810D5"/>
    <w:rsid w:val="7F9939A3"/>
    <w:rsid w:val="7F995383"/>
    <w:rsid w:val="7FA22FD9"/>
    <w:rsid w:val="7FA61218"/>
    <w:rsid w:val="7FA7519D"/>
    <w:rsid w:val="7FAA0C38"/>
    <w:rsid w:val="7FAA7590"/>
    <w:rsid w:val="7FAD3976"/>
    <w:rsid w:val="7FAF2DF8"/>
    <w:rsid w:val="7FB14FEB"/>
    <w:rsid w:val="7FB64187"/>
    <w:rsid w:val="7FBA3C77"/>
    <w:rsid w:val="7FBB79EF"/>
    <w:rsid w:val="7FBC33D3"/>
    <w:rsid w:val="7FC40652"/>
    <w:rsid w:val="7FC543CA"/>
    <w:rsid w:val="7FC756CE"/>
    <w:rsid w:val="7FCC39AA"/>
    <w:rsid w:val="7FCC7507"/>
    <w:rsid w:val="7FCD0635"/>
    <w:rsid w:val="7FCE6DA9"/>
    <w:rsid w:val="7FD367AA"/>
    <w:rsid w:val="7FD810E5"/>
    <w:rsid w:val="7FD8234F"/>
    <w:rsid w:val="7FDD7966"/>
    <w:rsid w:val="7FDF0FB8"/>
    <w:rsid w:val="7FEC09EB"/>
    <w:rsid w:val="7FED79D9"/>
    <w:rsid w:val="7FF52F01"/>
    <w:rsid w:val="7FF56D01"/>
    <w:rsid w:val="7FF77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after="200" w:afterLines="0"/>
    </w:pPr>
    <w:rPr>
      <w:rFonts w:ascii="Tahoma" w:hAnsi="Tahoma" w:eastAsia="微软雅黑" w:cs="Times New Roman"/>
      <w:sz w:val="22"/>
      <w:szCs w:val="22"/>
      <w:lang w:val="en-US" w:eastAsia="zh-CN" w:bidi="ar-SA"/>
    </w:rPr>
  </w:style>
  <w:style w:type="paragraph" w:styleId="4">
    <w:name w:val="heading 1"/>
    <w:basedOn w:val="1"/>
    <w:next w:val="1"/>
    <w:autoRedefine/>
    <w:qFormat/>
    <w:uiPriority w:val="0"/>
    <w:pPr>
      <w:keepNext/>
      <w:keepLines/>
      <w:adjustRightInd/>
      <w:snapToGrid/>
      <w:spacing w:beforeLines="0" w:beforeAutospacing="0" w:afterLines="0" w:afterAutospacing="0" w:line="360" w:lineRule="auto"/>
      <w:ind w:firstLine="0" w:firstLineChars="0"/>
      <w:outlineLvl w:val="0"/>
    </w:pPr>
    <w:rPr>
      <w:rFonts w:ascii="Times New Roman" w:hAnsi="Times New Roman" w:eastAsia="宋体"/>
      <w:b/>
      <w:kern w:val="44"/>
      <w:sz w:val="24"/>
      <w:szCs w:val="24"/>
    </w:rPr>
  </w:style>
  <w:style w:type="paragraph" w:styleId="5">
    <w:name w:val="heading 2"/>
    <w:basedOn w:val="1"/>
    <w:next w:val="1"/>
    <w:autoRedefine/>
    <w:unhideWhenUsed/>
    <w:qFormat/>
    <w:uiPriority w:val="0"/>
    <w:pPr>
      <w:keepNext/>
      <w:keepLines/>
      <w:spacing w:beforeLines="0" w:beforeAutospacing="0" w:afterLines="0" w:afterAutospacing="0" w:line="360" w:lineRule="auto"/>
      <w:outlineLvl w:val="1"/>
    </w:pPr>
    <w:rPr>
      <w:rFonts w:ascii="Times New Roman" w:hAnsi="Times New Roman" w:eastAsia="宋体"/>
      <w:b/>
      <w:sz w:val="24"/>
    </w:rPr>
  </w:style>
  <w:style w:type="paragraph" w:styleId="6">
    <w:name w:val="heading 3"/>
    <w:basedOn w:val="1"/>
    <w:next w:val="1"/>
    <w:autoRedefine/>
    <w:unhideWhenUsed/>
    <w:qFormat/>
    <w:uiPriority w:val="0"/>
    <w:pPr>
      <w:keepNext/>
      <w:keepLines/>
      <w:spacing w:beforeLines="0" w:beforeAutospacing="0" w:afterLines="0" w:afterAutospacing="0" w:line="360" w:lineRule="auto"/>
      <w:outlineLvl w:val="2"/>
    </w:pPr>
    <w:rPr>
      <w:b/>
      <w:sz w:val="24"/>
    </w:rPr>
  </w:style>
  <w:style w:type="paragraph" w:styleId="7">
    <w:name w:val="heading 4"/>
    <w:basedOn w:val="1"/>
    <w:next w:val="8"/>
    <w:autoRedefine/>
    <w:qFormat/>
    <w:uiPriority w:val="0"/>
    <w:pPr>
      <w:keepNext/>
      <w:keepLines/>
      <w:snapToGrid w:val="0"/>
      <w:spacing w:beforeAutospacing="0" w:afterAutospacing="0" w:line="360" w:lineRule="auto"/>
      <w:outlineLvl w:val="3"/>
    </w:pPr>
    <w:rPr>
      <w:rFonts w:ascii="Times New Roman" w:hAnsi="Times New Roman"/>
      <w:b/>
      <w:sz w:val="24"/>
    </w:rPr>
  </w:style>
  <w:style w:type="character" w:default="1" w:styleId="27">
    <w:name w:val="Default Paragraph Font"/>
    <w:autoRedefine/>
    <w:semiHidden/>
    <w:qFormat/>
    <w:uiPriority w:val="0"/>
  </w:style>
  <w:style w:type="table" w:default="1" w:styleId="25">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420" w:firstLineChars="200"/>
    </w:pPr>
  </w:style>
  <w:style w:type="paragraph" w:styleId="3">
    <w:name w:val="Body Text Indent"/>
    <w:basedOn w:val="1"/>
    <w:next w:val="1"/>
    <w:autoRedefine/>
    <w:qFormat/>
    <w:uiPriority w:val="0"/>
    <w:pPr>
      <w:spacing w:line="360" w:lineRule="auto"/>
      <w:ind w:firstLine="538" w:firstLineChars="207"/>
    </w:pPr>
    <w:rPr>
      <w:spacing w:val="10"/>
      <w:sz w:val="24"/>
    </w:rPr>
  </w:style>
  <w:style w:type="paragraph" w:styleId="8">
    <w:name w:val="Normal Indent"/>
    <w:basedOn w:val="1"/>
    <w:next w:val="1"/>
    <w:autoRedefine/>
    <w:qFormat/>
    <w:uiPriority w:val="0"/>
    <w:pPr>
      <w:ind w:firstLine="420" w:firstLineChars="200"/>
    </w:pPr>
  </w:style>
  <w:style w:type="paragraph" w:styleId="9">
    <w:name w:val="index 8"/>
    <w:basedOn w:val="1"/>
    <w:next w:val="1"/>
    <w:autoRedefine/>
    <w:unhideWhenUsed/>
    <w:qFormat/>
    <w:uiPriority w:val="99"/>
    <w:pPr>
      <w:adjustRightInd w:val="0"/>
      <w:snapToGrid w:val="0"/>
      <w:spacing w:line="360" w:lineRule="auto"/>
      <w:ind w:left="1400" w:leftChars="1400" w:firstLine="200" w:firstLineChars="200"/>
    </w:pPr>
    <w:rPr>
      <w:rFonts w:ascii="Times New Roman" w:hAnsi="Times New Roman" w:eastAsia="宋体" w:cs="Times New Roman"/>
      <w:sz w:val="24"/>
      <w:szCs w:val="22"/>
    </w:rPr>
  </w:style>
  <w:style w:type="paragraph" w:styleId="10">
    <w:name w:val="caption"/>
    <w:basedOn w:val="1"/>
    <w:next w:val="1"/>
    <w:autoRedefine/>
    <w:qFormat/>
    <w:uiPriority w:val="99"/>
    <w:pPr>
      <w:spacing w:line="240" w:lineRule="auto"/>
      <w:ind w:firstLine="0" w:firstLineChars="0"/>
      <w:jc w:val="center"/>
    </w:pPr>
    <w:rPr>
      <w:rFonts w:cs="Arial"/>
      <w:b/>
      <w:sz w:val="21"/>
      <w:szCs w:val="20"/>
    </w:rPr>
  </w:style>
  <w:style w:type="paragraph" w:styleId="11">
    <w:name w:val="annotation text"/>
    <w:basedOn w:val="1"/>
    <w:autoRedefine/>
    <w:qFormat/>
    <w:uiPriority w:val="0"/>
  </w:style>
  <w:style w:type="paragraph" w:styleId="12">
    <w:name w:val="Body Text"/>
    <w:basedOn w:val="1"/>
    <w:link w:val="55"/>
    <w:autoRedefine/>
    <w:qFormat/>
    <w:uiPriority w:val="0"/>
    <w:pPr>
      <w:spacing w:after="120"/>
    </w:pPr>
  </w:style>
  <w:style w:type="paragraph" w:styleId="13">
    <w:name w:val="Block Text"/>
    <w:basedOn w:val="1"/>
    <w:autoRedefine/>
    <w:qFormat/>
    <w:uiPriority w:val="0"/>
    <w:pPr>
      <w:ind w:left="46" w:leftChars="22" w:right="29" w:rightChars="14" w:firstLine="210" w:firstLineChars="100"/>
    </w:pPr>
    <w:rPr>
      <w:rFonts w:ascii="宋体" w:hAnsi="宋体"/>
      <w:color w:val="FF0000"/>
    </w:rPr>
  </w:style>
  <w:style w:type="paragraph" w:styleId="14">
    <w:name w:val="Plain Text"/>
    <w:basedOn w:val="1"/>
    <w:autoRedefine/>
    <w:qFormat/>
    <w:uiPriority w:val="0"/>
    <w:rPr>
      <w:rFonts w:ascii="宋体" w:hAnsi="Courier New" w:cs="Courier New"/>
      <w:sz w:val="21"/>
      <w:szCs w:val="21"/>
    </w:rPr>
  </w:style>
  <w:style w:type="paragraph" w:styleId="15">
    <w:name w:val="Body Text Indent 2"/>
    <w:basedOn w:val="1"/>
    <w:autoRedefine/>
    <w:qFormat/>
    <w:uiPriority w:val="0"/>
    <w:pPr>
      <w:spacing w:after="120" w:line="480" w:lineRule="auto"/>
      <w:ind w:left="420" w:leftChars="200"/>
    </w:pPr>
  </w:style>
  <w:style w:type="paragraph" w:styleId="16">
    <w:name w:val="footer"/>
    <w:basedOn w:val="1"/>
    <w:next w:val="1"/>
    <w:autoRedefine/>
    <w:qFormat/>
    <w:uiPriority w:val="0"/>
    <w:pPr>
      <w:tabs>
        <w:tab w:val="center" w:pos="4153"/>
        <w:tab w:val="right" w:pos="8306"/>
      </w:tabs>
    </w:pPr>
    <w:rPr>
      <w:rFonts w:ascii="Tahoma" w:hAnsi="Tahoma"/>
      <w:sz w:val="18"/>
      <w:szCs w:val="18"/>
    </w:rPr>
  </w:style>
  <w:style w:type="paragraph" w:styleId="1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List"/>
    <w:basedOn w:val="1"/>
    <w:autoRedefine/>
    <w:qFormat/>
    <w:uiPriority w:val="0"/>
    <w:pPr>
      <w:ind w:left="420" w:hanging="420"/>
    </w:pPr>
    <w:rPr>
      <w:sz w:val="28"/>
      <w:szCs w:val="20"/>
    </w:rPr>
  </w:style>
  <w:style w:type="paragraph" w:styleId="19">
    <w:name w:val="Body Text Indent 3"/>
    <w:basedOn w:val="1"/>
    <w:autoRedefine/>
    <w:qFormat/>
    <w:uiPriority w:val="0"/>
    <w:pPr>
      <w:spacing w:after="120" w:afterLines="0"/>
      <w:ind w:left="420" w:leftChars="200"/>
    </w:pPr>
    <w:rPr>
      <w:rFonts w:ascii="宋体" w:cs="Times New Roman"/>
      <w:kern w:val="2"/>
      <w:sz w:val="16"/>
      <w:szCs w:val="16"/>
    </w:rPr>
  </w:style>
  <w:style w:type="paragraph" w:styleId="20">
    <w:name w:val="table of figures"/>
    <w:basedOn w:val="1"/>
    <w:next w:val="1"/>
    <w:autoRedefine/>
    <w:qFormat/>
    <w:uiPriority w:val="0"/>
    <w:pPr>
      <w:ind w:left="200" w:leftChars="200" w:hanging="200" w:hangingChars="200"/>
    </w:pPr>
    <w:rPr>
      <w:rFonts w:ascii="Calibri" w:hAnsi="Calibri"/>
    </w:rPr>
  </w:style>
  <w:style w:type="paragraph" w:styleId="21">
    <w:name w:val="toc 2"/>
    <w:basedOn w:val="1"/>
    <w:next w:val="1"/>
    <w:autoRedefine/>
    <w:qFormat/>
    <w:uiPriority w:val="0"/>
    <w:pPr>
      <w:ind w:left="420" w:leftChars="200"/>
    </w:pPr>
  </w:style>
  <w:style w:type="paragraph" w:styleId="22">
    <w:name w:val="Normal (Web)"/>
    <w:basedOn w:val="1"/>
    <w:autoRedefine/>
    <w:qFormat/>
    <w:uiPriority w:val="0"/>
    <w:rPr>
      <w:sz w:val="24"/>
    </w:rPr>
  </w:style>
  <w:style w:type="paragraph" w:styleId="23">
    <w:name w:val="annotation subject"/>
    <w:basedOn w:val="11"/>
    <w:next w:val="11"/>
    <w:autoRedefine/>
    <w:semiHidden/>
    <w:qFormat/>
    <w:uiPriority w:val="0"/>
    <w:rPr>
      <w:b/>
      <w:bCs/>
      <w:kern w:val="2"/>
      <w:szCs w:val="24"/>
    </w:rPr>
  </w:style>
  <w:style w:type="paragraph" w:styleId="24">
    <w:name w:val="Body Text First Indent"/>
    <w:basedOn w:val="12"/>
    <w:autoRedefine/>
    <w:qFormat/>
    <w:uiPriority w:val="0"/>
    <w:pPr>
      <w:ind w:firstLine="420" w:firstLineChars="100"/>
    </w:p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autoRedefine/>
    <w:qFormat/>
    <w:uiPriority w:val="0"/>
  </w:style>
  <w:style w:type="character" w:styleId="29">
    <w:name w:val="HTML Cite"/>
    <w:basedOn w:val="27"/>
    <w:autoRedefine/>
    <w:qFormat/>
    <w:uiPriority w:val="0"/>
    <w:rPr>
      <w:i/>
      <w:iCs/>
    </w:rPr>
  </w:style>
  <w:style w:type="paragraph" w:customStyle="1" w:styleId="30">
    <w:name w:val="样式 正文缩进正文缩进2正文缩进 Char Char正文缩进 Char Char Char Char正文缩进 Char ..."/>
    <w:basedOn w:val="8"/>
    <w:next w:val="1"/>
    <w:autoRedefine/>
    <w:qFormat/>
    <w:uiPriority w:val="0"/>
    <w:pPr>
      <w:spacing w:line="360" w:lineRule="auto"/>
      <w:ind w:firstLine="200"/>
    </w:pPr>
    <w:rPr>
      <w:rFonts w:cs="宋体"/>
      <w:sz w:val="24"/>
    </w:rPr>
  </w:style>
  <w:style w:type="paragraph" w:customStyle="1" w:styleId="31">
    <w:name w:val="表头"/>
    <w:basedOn w:val="18"/>
    <w:next w:val="1"/>
    <w:autoRedefine/>
    <w:qFormat/>
    <w:uiPriority w:val="0"/>
    <w:pPr>
      <w:adjustRightInd w:val="0"/>
      <w:snapToGrid w:val="0"/>
      <w:ind w:left="0" w:firstLine="0"/>
      <w:jc w:val="center"/>
    </w:pPr>
    <w:rPr>
      <w:rFonts w:ascii="Times New Roman" w:hAnsi="Times New Roman" w:eastAsia="宋体"/>
      <w:b/>
      <w:sz w:val="24"/>
      <w:szCs w:val="24"/>
    </w:rPr>
  </w:style>
  <w:style w:type="paragraph" w:customStyle="1" w:styleId="32">
    <w:name w:val="表格"/>
    <w:basedOn w:val="33"/>
    <w:autoRedefine/>
    <w:qFormat/>
    <w:uiPriority w:val="0"/>
    <w:pPr>
      <w:spacing w:line="240" w:lineRule="auto"/>
      <w:ind w:firstLine="0" w:firstLineChars="0"/>
      <w:jc w:val="center"/>
    </w:pPr>
    <w:rPr>
      <w:sz w:val="21"/>
      <w:szCs w:val="21"/>
    </w:rPr>
  </w:style>
  <w:style w:type="paragraph" w:customStyle="1" w:styleId="33">
    <w:name w:val="正文-ls"/>
    <w:basedOn w:val="1"/>
    <w:autoRedefine/>
    <w:qFormat/>
    <w:uiPriority w:val="0"/>
    <w:pPr>
      <w:spacing w:line="360" w:lineRule="auto"/>
      <w:ind w:firstLine="200" w:firstLineChars="200"/>
    </w:pPr>
    <w:rPr>
      <w:rFonts w:hAnsi="宋体"/>
      <w:sz w:val="24"/>
      <w:szCs w:val="20"/>
    </w:rPr>
  </w:style>
  <w:style w:type="paragraph" w:styleId="34">
    <w:name w:val="List Paragraph"/>
    <w:basedOn w:val="1"/>
    <w:autoRedefine/>
    <w:qFormat/>
    <w:uiPriority w:val="34"/>
    <w:pPr>
      <w:ind w:firstLine="420" w:firstLineChars="200"/>
    </w:pPr>
  </w:style>
  <w:style w:type="paragraph" w:customStyle="1" w:styleId="35">
    <w:name w:val="列出段落"/>
    <w:basedOn w:val="1"/>
    <w:autoRedefine/>
    <w:qFormat/>
    <w:uiPriority w:val="0"/>
    <w:pPr>
      <w:widowControl w:val="0"/>
      <w:adjustRightInd/>
      <w:snapToGrid/>
      <w:spacing w:after="0" w:afterLines="0"/>
      <w:ind w:firstLine="420" w:firstLineChars="200"/>
      <w:jc w:val="both"/>
    </w:pPr>
    <w:rPr>
      <w:rFonts w:ascii="Times New Roman" w:hAnsi="Times New Roman" w:eastAsia="宋体"/>
      <w:kern w:val="2"/>
      <w:sz w:val="21"/>
      <w:szCs w:val="20"/>
    </w:rPr>
  </w:style>
  <w:style w:type="character" w:customStyle="1" w:styleId="36">
    <w:name w:val="page number"/>
    <w:basedOn w:val="27"/>
    <w:autoRedefine/>
    <w:qFormat/>
    <w:uiPriority w:val="0"/>
  </w:style>
  <w:style w:type="paragraph" w:customStyle="1" w:styleId="37">
    <w:name w:val="1正文"/>
    <w:basedOn w:val="1"/>
    <w:autoRedefine/>
    <w:qFormat/>
    <w:uiPriority w:val="0"/>
    <w:pPr>
      <w:spacing w:after="0" w:line="360" w:lineRule="auto"/>
      <w:ind w:firstLine="560" w:firstLineChars="200"/>
    </w:pPr>
    <w:rPr>
      <w:rFonts w:ascii="Times New Roman" w:hAnsi="Times New Roman" w:eastAsia="宋体"/>
      <w:color w:val="000000"/>
      <w:sz w:val="24"/>
      <w:szCs w:val="21"/>
    </w:rPr>
  </w:style>
  <w:style w:type="paragraph" w:customStyle="1" w:styleId="38">
    <w:name w:val="表格1"/>
    <w:basedOn w:val="1"/>
    <w:autoRedefine/>
    <w:qFormat/>
    <w:uiPriority w:val="0"/>
    <w:pPr>
      <w:spacing w:after="0" w:line="240" w:lineRule="auto"/>
      <w:ind w:firstLine="0" w:firstLineChars="0"/>
      <w:jc w:val="center"/>
    </w:pPr>
    <w:rPr>
      <w:rFonts w:ascii="Times New Roman" w:hAnsi="Times New Roman" w:eastAsia="宋体" w:cs="Times New Roman"/>
      <w:color w:val="000000"/>
      <w:sz w:val="21"/>
      <w:szCs w:val="21"/>
    </w:rPr>
  </w:style>
  <w:style w:type="paragraph" w:customStyle="1" w:styleId="39">
    <w:name w:val="123"/>
    <w:basedOn w:val="40"/>
    <w:autoRedefine/>
    <w:qFormat/>
    <w:uiPriority w:val="0"/>
    <w:pPr>
      <w:ind w:firstLine="480" w:firstLineChars="200"/>
    </w:pPr>
    <w:rPr>
      <w:szCs w:val="24"/>
    </w:rPr>
  </w:style>
  <w:style w:type="paragraph" w:customStyle="1" w:styleId="40">
    <w:name w:val="正文格式"/>
    <w:basedOn w:val="1"/>
    <w:autoRedefine/>
    <w:qFormat/>
    <w:uiPriority w:val="0"/>
    <w:pPr>
      <w:spacing w:line="360" w:lineRule="auto"/>
      <w:ind w:firstLine="482"/>
    </w:pPr>
    <w:rPr>
      <w:rFonts w:ascii="宋体" w:hAnsi="宋体"/>
      <w:sz w:val="24"/>
      <w:szCs w:val="20"/>
    </w:rPr>
  </w:style>
  <w:style w:type="paragraph" w:customStyle="1" w:styleId="41">
    <w:name w:val="表里内容"/>
    <w:basedOn w:val="42"/>
    <w:autoRedefine/>
    <w:qFormat/>
    <w:uiPriority w:val="0"/>
    <w:pPr>
      <w:spacing w:beforeLines="0"/>
    </w:pPr>
  </w:style>
  <w:style w:type="paragraph" w:customStyle="1" w:styleId="42">
    <w:name w:val="表名"/>
    <w:basedOn w:val="1"/>
    <w:autoRedefine/>
    <w:qFormat/>
    <w:uiPriority w:val="0"/>
    <w:pPr>
      <w:spacing w:beforeLines="50"/>
      <w:jc w:val="center"/>
    </w:pPr>
  </w:style>
  <w:style w:type="paragraph" w:customStyle="1" w:styleId="43">
    <w:name w:val="正文（标准）"/>
    <w:basedOn w:val="1"/>
    <w:autoRedefine/>
    <w:qFormat/>
    <w:uiPriority w:val="0"/>
    <w:pPr>
      <w:adjustRightInd w:val="0"/>
      <w:spacing w:line="360" w:lineRule="auto"/>
      <w:ind w:firstLine="200" w:firstLineChars="200"/>
    </w:pPr>
    <w:rPr>
      <w:sz w:val="24"/>
      <w:szCs w:val="30"/>
    </w:rPr>
  </w:style>
  <w:style w:type="paragraph" w:customStyle="1" w:styleId="44">
    <w:name w:val="Body Text Indent 2"/>
    <w:basedOn w:val="1"/>
    <w:autoRedefine/>
    <w:qFormat/>
    <w:uiPriority w:val="0"/>
    <w:pPr>
      <w:widowControl w:val="0"/>
      <w:snapToGrid/>
      <w:spacing w:after="0" w:afterLines="0" w:line="312" w:lineRule="atLeast"/>
      <w:ind w:firstLine="570"/>
      <w:jc w:val="distribute"/>
      <w:textAlignment w:val="baseline"/>
    </w:pPr>
    <w:rPr>
      <w:rFonts w:ascii="Times New Roman" w:hAnsi="Times New Roman" w:eastAsia="仿宋_GB2312" w:cs="Times New Roman"/>
      <w:sz w:val="28"/>
      <w:szCs w:val="20"/>
    </w:rPr>
  </w:style>
  <w:style w:type="paragraph" w:customStyle="1" w:styleId="45">
    <w:name w:val="表格内容"/>
    <w:basedOn w:val="1"/>
    <w:autoRedefine/>
    <w:qFormat/>
    <w:uiPriority w:val="0"/>
    <w:pPr>
      <w:spacing w:line="240" w:lineRule="auto"/>
      <w:ind w:left="0" w:firstLine="0" w:firstLineChars="0"/>
      <w:jc w:val="center"/>
    </w:pPr>
    <w:rPr>
      <w:rFonts w:ascii="Times New Roman" w:hAnsi="Times New Roman"/>
      <w:snapToGrid w:val="0"/>
      <w:color w:val="000000" w:themeColor="text1"/>
      <w:kern w:val="0"/>
      <w:sz w:val="21"/>
      <w:szCs w:val="21"/>
      <w:lang w:val="pt-BR"/>
      <w14:textFill>
        <w14:solidFill>
          <w14:schemeClr w14:val="tx1"/>
        </w14:solidFill>
      </w14:textFill>
    </w:rPr>
  </w:style>
  <w:style w:type="paragraph" w:customStyle="1" w:styleId="46">
    <w:name w:val="表文6"/>
    <w:basedOn w:val="1"/>
    <w:autoRedefine/>
    <w:qFormat/>
    <w:uiPriority w:val="0"/>
    <w:pPr>
      <w:spacing w:line="240" w:lineRule="auto"/>
      <w:ind w:firstLine="0" w:firstLineChars="0"/>
      <w:jc w:val="center"/>
    </w:pPr>
    <w:rPr>
      <w:b/>
      <w:szCs w:val="24"/>
    </w:rPr>
  </w:style>
  <w:style w:type="paragraph" w:customStyle="1" w:styleId="47">
    <w:name w:val="管线标题2"/>
    <w:basedOn w:val="1"/>
    <w:autoRedefine/>
    <w:qFormat/>
    <w:uiPriority w:val="0"/>
    <w:pPr>
      <w:spacing w:beforeLines="50" w:after="0" w:line="360" w:lineRule="auto"/>
      <w:ind w:firstLine="472" w:firstLineChars="196"/>
    </w:pPr>
    <w:rPr>
      <w:rFonts w:ascii="Times New Roman" w:hAnsi="Times New Roman" w:eastAsia="宋体" w:cs="Times New Roman"/>
      <w:b/>
      <w:sz w:val="24"/>
      <w:szCs w:val="24"/>
    </w:rPr>
  </w:style>
  <w:style w:type="paragraph" w:customStyle="1" w:styleId="48">
    <w:name w:val="管线正文"/>
    <w:basedOn w:val="1"/>
    <w:autoRedefine/>
    <w:qFormat/>
    <w:uiPriority w:val="0"/>
    <w:pPr>
      <w:spacing w:after="0" w:line="360" w:lineRule="auto"/>
      <w:ind w:firstLine="482"/>
      <w:jc w:val="both"/>
      <w:textAlignment w:val="baseline"/>
    </w:pPr>
    <w:rPr>
      <w:rFonts w:ascii="Times New Roman" w:hAnsi="Times New Roman" w:eastAsia="宋体" w:cs="Times New Roman"/>
      <w:sz w:val="24"/>
      <w:szCs w:val="24"/>
    </w:rPr>
  </w:style>
  <w:style w:type="paragraph" w:customStyle="1" w:styleId="49">
    <w:name w:val="456"/>
    <w:basedOn w:val="1"/>
    <w:autoRedefine/>
    <w:qFormat/>
    <w:uiPriority w:val="0"/>
    <w:pPr>
      <w:spacing w:line="600" w:lineRule="auto"/>
    </w:pPr>
    <w:rPr>
      <w:b/>
      <w:bCs/>
      <w:sz w:val="28"/>
      <w:szCs w:val="28"/>
    </w:rPr>
  </w:style>
  <w:style w:type="paragraph" w:customStyle="1" w:styleId="50">
    <w:name w:val="管线表头"/>
    <w:basedOn w:val="1"/>
    <w:autoRedefine/>
    <w:qFormat/>
    <w:uiPriority w:val="0"/>
    <w:pPr>
      <w:widowControl w:val="0"/>
      <w:spacing w:after="0"/>
      <w:jc w:val="center"/>
    </w:pPr>
    <w:rPr>
      <w:rFonts w:ascii="Times New Roman" w:hAnsi="Times New Roman" w:eastAsia="宋体" w:cs="Times New Roman"/>
      <w:b/>
      <w:kern w:val="2"/>
      <w:sz w:val="21"/>
      <w:szCs w:val="21"/>
      <w:lang w:val="zh-CN"/>
    </w:rPr>
  </w:style>
  <w:style w:type="paragraph" w:customStyle="1" w:styleId="51">
    <w:name w:val="【表中文字】我自己的"/>
    <w:basedOn w:val="1"/>
    <w:autoRedefine/>
    <w:qFormat/>
    <w:uiPriority w:val="0"/>
    <w:pPr>
      <w:widowControl w:val="0"/>
      <w:spacing w:line="276" w:lineRule="auto"/>
      <w:jc w:val="center"/>
    </w:pPr>
    <w:rPr>
      <w:rFonts w:ascii="Times New Roman" w:hAnsi="Times New Roman" w:cs="Times New Roman"/>
      <w:kern w:val="2"/>
      <w:sz w:val="21"/>
      <w:szCs w:val="20"/>
    </w:rPr>
  </w:style>
  <w:style w:type="paragraph" w:customStyle="1" w:styleId="52">
    <w:name w:val="表内容"/>
    <w:basedOn w:val="14"/>
    <w:autoRedefine/>
    <w:qFormat/>
    <w:uiPriority w:val="0"/>
    <w:pPr>
      <w:spacing w:line="240" w:lineRule="auto"/>
      <w:ind w:firstLine="0" w:firstLineChars="0"/>
      <w:jc w:val="center"/>
    </w:pPr>
    <w:rPr>
      <w:rFonts w:ascii="Times New Roman" w:hAnsi="Times New Roman" w:cs="Times New Roman"/>
      <w:szCs w:val="20"/>
      <w:lang w:val="zh-CN"/>
    </w:rPr>
  </w:style>
  <w:style w:type="character" w:customStyle="1" w:styleId="53">
    <w:name w:val="管线正文 Char"/>
    <w:basedOn w:val="27"/>
    <w:autoRedefine/>
    <w:qFormat/>
    <w:uiPriority w:val="0"/>
    <w:rPr>
      <w:sz w:val="24"/>
      <w:szCs w:val="24"/>
    </w:rPr>
  </w:style>
  <w:style w:type="character" w:customStyle="1" w:styleId="54">
    <w:name w:val="正文文本首行缩进 字符"/>
    <w:basedOn w:val="55"/>
    <w:autoRedefine/>
    <w:qFormat/>
    <w:uiPriority w:val="0"/>
    <w:rPr>
      <w:kern w:val="2"/>
      <w:sz w:val="21"/>
      <w:szCs w:val="24"/>
    </w:rPr>
  </w:style>
  <w:style w:type="character" w:customStyle="1" w:styleId="55">
    <w:name w:val="正文文本 字符"/>
    <w:basedOn w:val="27"/>
    <w:link w:val="12"/>
    <w:autoRedefine/>
    <w:qFormat/>
    <w:uiPriority w:val="0"/>
    <w:rPr>
      <w:kern w:val="2"/>
      <w:sz w:val="21"/>
      <w:szCs w:val="24"/>
    </w:rPr>
  </w:style>
  <w:style w:type="paragraph" w:customStyle="1" w:styleId="56">
    <w:name w:val="表格内容 1"/>
    <w:basedOn w:val="1"/>
    <w:autoRedefine/>
    <w:qFormat/>
    <w:uiPriority w:val="0"/>
    <w:pPr>
      <w:keepNext w:val="0"/>
      <w:keepLines w:val="0"/>
      <w:widowControl/>
      <w:suppressLineNumbers w:val="0"/>
      <w:spacing w:before="0" w:beforeAutospacing="0" w:after="0" w:afterAutospacing="0"/>
      <w:ind w:left="0" w:right="0"/>
      <w:jc w:val="center"/>
    </w:pPr>
    <w:rPr>
      <w:rFonts w:hint="default" w:ascii="Times New Roman" w:hAnsi="Times New Roman" w:eastAsia="Times New Roman" w:cs="Times New Roman"/>
      <w:kern w:val="2"/>
      <w:sz w:val="21"/>
      <w:szCs w:val="21"/>
      <w:lang w:val="en-US" w:eastAsia="zh-CN" w:bidi="ar"/>
    </w:rPr>
  </w:style>
  <w:style w:type="paragraph" w:customStyle="1" w:styleId="57">
    <w:name w:val="4正文"/>
    <w:basedOn w:val="1"/>
    <w:link w:val="61"/>
    <w:autoRedefine/>
    <w:qFormat/>
    <w:uiPriority w:val="0"/>
    <w:rPr>
      <w:szCs w:val="22"/>
      <w:lang w:val="zh-CN"/>
    </w:rPr>
  </w:style>
  <w:style w:type="paragraph" w:customStyle="1" w:styleId="58">
    <w:name w:val="5表文"/>
    <w:basedOn w:val="1"/>
    <w:autoRedefine/>
    <w:qFormat/>
    <w:uiPriority w:val="0"/>
    <w:pPr>
      <w:spacing w:line="240" w:lineRule="auto"/>
      <w:ind w:firstLine="0" w:firstLineChars="0"/>
      <w:jc w:val="center"/>
    </w:pPr>
    <w:rPr>
      <w:sz w:val="21"/>
      <w:szCs w:val="20"/>
      <w:lang w:val="zh-CN"/>
    </w:rPr>
  </w:style>
  <w:style w:type="paragraph" w:customStyle="1" w:styleId="59">
    <w:name w:val="5-表标题"/>
    <w:basedOn w:val="1"/>
    <w:autoRedefine/>
    <w:qFormat/>
    <w:uiPriority w:val="0"/>
    <w:pPr>
      <w:spacing w:line="240" w:lineRule="auto"/>
      <w:ind w:firstLine="0" w:firstLineChars="0"/>
      <w:jc w:val="center"/>
    </w:pPr>
    <w:rPr>
      <w:b/>
      <w:sz w:val="21"/>
      <w:lang w:val="zh-CN"/>
    </w:rPr>
  </w:style>
  <w:style w:type="character" w:customStyle="1" w:styleId="60">
    <w:name w:val="5表文 Char Char"/>
    <w:autoRedefine/>
    <w:qFormat/>
    <w:uiPriority w:val="0"/>
    <w:rPr>
      <w:kern w:val="2"/>
      <w:sz w:val="21"/>
    </w:rPr>
  </w:style>
  <w:style w:type="character" w:customStyle="1" w:styleId="61">
    <w:name w:val="4正文 Char"/>
    <w:link w:val="57"/>
    <w:autoRedefine/>
    <w:qFormat/>
    <w:uiPriority w:val="0"/>
    <w:rPr>
      <w:szCs w:val="22"/>
      <w:lang w:val="zh-CN"/>
    </w:rPr>
  </w:style>
  <w:style w:type="paragraph" w:customStyle="1" w:styleId="62">
    <w:name w:val="8-表中文字"/>
    <w:basedOn w:val="1"/>
    <w:autoRedefine/>
    <w:qFormat/>
    <w:uiPriority w:val="0"/>
    <w:pPr>
      <w:widowControl w:val="0"/>
      <w:spacing w:line="240" w:lineRule="auto"/>
      <w:ind w:firstLine="0" w:firstLineChars="0"/>
      <w:jc w:val="center"/>
      <w:textAlignment w:val="center"/>
    </w:pPr>
    <w:rPr>
      <w:rFonts w:ascii="Times New Roman" w:hAnsi="Times New Roman"/>
      <w:kern w:val="2"/>
      <w:sz w:val="21"/>
      <w:szCs w:val="21"/>
    </w:rPr>
  </w:style>
  <w:style w:type="paragraph" w:customStyle="1" w:styleId="63">
    <w:name w:val="表格式"/>
    <w:basedOn w:val="18"/>
    <w:autoRedefine/>
    <w:qFormat/>
    <w:uiPriority w:val="0"/>
    <w:pPr>
      <w:ind w:left="0" w:firstLine="0" w:firstLineChars="0"/>
      <w:jc w:val="center"/>
    </w:pPr>
    <w:rPr>
      <w:rFonts w:ascii="宋体"/>
      <w:szCs w:val="20"/>
    </w:rPr>
  </w:style>
  <w:style w:type="paragraph" w:customStyle="1" w:styleId="64">
    <w:name w:val="表格文字"/>
    <w:basedOn w:val="1"/>
    <w:autoRedefine/>
    <w:qFormat/>
    <w:uiPriority w:val="0"/>
    <w:pPr>
      <w:spacing w:line="360" w:lineRule="auto"/>
      <w:jc w:val="center"/>
    </w:pPr>
    <w:rPr>
      <w:rFonts w:hAnsi="宋体"/>
      <w:spacing w:val="-10"/>
      <w:kern w:val="0"/>
      <w:szCs w:val="21"/>
    </w:rPr>
  </w:style>
  <w:style w:type="character" w:customStyle="1" w:styleId="65">
    <w:name w:val="标题 1 Char"/>
    <w:autoRedefine/>
    <w:qFormat/>
    <w:uiPriority w:val="0"/>
    <w:rPr>
      <w:rFonts w:eastAsia="宋体"/>
      <w:b/>
      <w:bCs/>
      <w:kern w:val="44"/>
      <w:sz w:val="44"/>
      <w:szCs w:val="44"/>
      <w:lang w:val="en-US" w:eastAsia="zh-CN" w:bidi="ar-SA"/>
    </w:rPr>
  </w:style>
  <w:style w:type="paragraph" w:customStyle="1" w:styleId="66">
    <w:name w:val="Table Paragraph"/>
    <w:basedOn w:val="1"/>
    <w:autoRedefine/>
    <w:qFormat/>
    <w:uiPriority w:val="1"/>
    <w:pPr>
      <w:jc w:val="center"/>
    </w:pPr>
    <w:rPr>
      <w:rFonts w:ascii="宋体" w:hAnsi="宋体" w:eastAsia="宋体" w:cs="宋体"/>
      <w:lang w:val="en-US" w:eastAsia="zh-CN" w:bidi="ar-SA"/>
    </w:rPr>
  </w:style>
  <w:style w:type="character" w:customStyle="1" w:styleId="67">
    <w:name w:val="font11"/>
    <w:basedOn w:val="27"/>
    <w:autoRedefine/>
    <w:qFormat/>
    <w:uiPriority w:val="0"/>
    <w:rPr>
      <w:rFonts w:hint="eastAsia" w:ascii="宋体" w:hAnsi="宋体" w:eastAsia="宋体" w:cs="宋体"/>
      <w:color w:val="0000FF"/>
      <w:sz w:val="21"/>
      <w:szCs w:val="21"/>
      <w:u w:val="none"/>
    </w:rPr>
  </w:style>
  <w:style w:type="paragraph" w:customStyle="1" w:styleId="68">
    <w:name w:val="表内文字"/>
    <w:basedOn w:val="1"/>
    <w:autoRedefine/>
    <w:qFormat/>
    <w:uiPriority w:val="0"/>
    <w:pPr>
      <w:widowControl w:val="0"/>
      <w:adjustRightInd/>
      <w:snapToGrid/>
      <w:spacing w:line="240" w:lineRule="auto"/>
      <w:ind w:firstLine="0" w:firstLineChars="0"/>
      <w:jc w:val="center"/>
    </w:pPr>
    <w:rPr>
      <w:rFonts w:ascii="Calibri" w:hAnsi="Calibri" w:eastAsia="仿宋_GB2312" w:cstheme="minorBidi"/>
      <w:kern w:val="2"/>
      <w:sz w:val="21"/>
      <w:szCs w:val="21"/>
    </w:rPr>
  </w:style>
  <w:style w:type="paragraph" w:customStyle="1" w:styleId="69">
    <w:name w:val="1111111"/>
    <w:basedOn w:val="1"/>
    <w:autoRedefine/>
    <w:qFormat/>
    <w:uiPriority w:val="0"/>
    <w:pPr>
      <w:spacing w:line="360" w:lineRule="auto"/>
      <w:ind w:firstLine="480" w:firstLineChars="200"/>
    </w:pPr>
    <w:rPr>
      <w:rFonts w:ascii="Times New Roman" w:hAnsi="Times New Roman"/>
      <w:sz w:val="24"/>
      <w:szCs w:val="24"/>
    </w:rPr>
  </w:style>
  <w:style w:type="paragraph" w:customStyle="1" w:styleId="70">
    <w:name w:val="表格头"/>
    <w:basedOn w:val="1"/>
    <w:autoRedefine/>
    <w:qFormat/>
    <w:uiPriority w:val="0"/>
    <w:pPr>
      <w:spacing w:line="360" w:lineRule="auto"/>
      <w:jc w:val="center"/>
    </w:pPr>
    <w:rPr>
      <w:rFonts w:ascii="Times New Roman" w:hAnsi="Times New Roman"/>
      <w:b/>
      <w:szCs w:val="21"/>
    </w:rPr>
  </w:style>
  <w:style w:type="paragraph" w:customStyle="1" w:styleId="71">
    <w:name w:val="WPSOffice手动目录 1"/>
    <w:autoRedefine/>
    <w:qFormat/>
    <w:uiPriority w:val="0"/>
    <w:pPr>
      <w:ind w:leftChars="0"/>
    </w:pPr>
    <w:rPr>
      <w:rFonts w:ascii="Times New Roman" w:hAnsi="Times New Roman" w:eastAsia="宋体" w:cs="Times New Roman"/>
      <w:sz w:val="20"/>
      <w:szCs w:val="20"/>
    </w:rPr>
  </w:style>
  <w:style w:type="paragraph" w:customStyle="1" w:styleId="72">
    <w:name w:val="1级标题"/>
    <w:basedOn w:val="1"/>
    <w:autoRedefine/>
    <w:qFormat/>
    <w:uiPriority w:val="0"/>
    <w:pPr>
      <w:outlineLvl w:val="0"/>
    </w:pPr>
    <w:rPr>
      <w:rFonts w:eastAsia="仿宋"/>
      <w:b/>
      <w:sz w:val="32"/>
      <w:szCs w:val="32"/>
    </w:rPr>
  </w:style>
  <w:style w:type="paragraph" w:customStyle="1" w:styleId="73">
    <w:name w:val="2021表格正文"/>
    <w:basedOn w:val="74"/>
    <w:autoRedefine/>
    <w:qFormat/>
    <w:uiPriority w:val="0"/>
  </w:style>
  <w:style w:type="paragraph" w:customStyle="1" w:styleId="74">
    <w:name w:val="2021表格样式"/>
    <w:basedOn w:val="75"/>
    <w:autoRedefine/>
    <w:qFormat/>
    <w:uiPriority w:val="0"/>
    <w:rPr>
      <w:rFonts w:ascii="仿宋" w:hAnsi="仿宋"/>
    </w:rPr>
  </w:style>
  <w:style w:type="paragraph" w:customStyle="1" w:styleId="75">
    <w:name w:val="2019表格"/>
    <w:basedOn w:val="76"/>
    <w:autoRedefine/>
    <w:qFormat/>
    <w:uiPriority w:val="0"/>
  </w:style>
  <w:style w:type="paragraph" w:customStyle="1" w:styleId="76">
    <w:name w:val="正文表格新"/>
    <w:basedOn w:val="77"/>
    <w:autoRedefine/>
    <w:qFormat/>
    <w:uiPriority w:val="0"/>
    <w:pPr>
      <w:spacing w:line="240" w:lineRule="auto"/>
    </w:pPr>
    <w:rPr>
      <w:rFonts w:eastAsia="仿宋"/>
    </w:rPr>
  </w:style>
  <w:style w:type="paragraph" w:customStyle="1" w:styleId="77">
    <w:name w:val="正文表格"/>
    <w:basedOn w:val="78"/>
    <w:autoRedefine/>
    <w:qFormat/>
    <w:uiPriority w:val="0"/>
    <w:pPr>
      <w:spacing w:line="240" w:lineRule="exact"/>
    </w:pPr>
  </w:style>
  <w:style w:type="paragraph" w:customStyle="1" w:styleId="78">
    <w:name w:val="正文表"/>
    <w:basedOn w:val="1"/>
    <w:autoRedefine/>
    <w:qFormat/>
    <w:uiPriority w:val="0"/>
    <w:pPr>
      <w:adjustRightInd w:val="0"/>
      <w:jc w:val="center"/>
    </w:pPr>
    <w:rPr>
      <w:bCs/>
      <w:szCs w:val="21"/>
    </w:rPr>
  </w:style>
  <w:style w:type="paragraph" w:customStyle="1" w:styleId="79">
    <w:name w:val="！正文"/>
    <w:next w:val="9"/>
    <w:autoRedefine/>
    <w:qFormat/>
    <w:uiPriority w:val="0"/>
    <w:pPr>
      <w:widowControl w:val="0"/>
      <w:spacing w:line="360" w:lineRule="auto"/>
      <w:ind w:firstLine="200" w:firstLineChars="200"/>
      <w:jc w:val="both"/>
    </w:pPr>
    <w:rPr>
      <w:rFonts w:ascii="Times New Roman" w:hAnsi="Times New Roman" w:eastAsia="仿宋" w:cs="Times New Roman"/>
      <w:bCs/>
      <w:color w:val="000000"/>
      <w:kern w:val="2"/>
      <w:sz w:val="24"/>
      <w:szCs w:val="28"/>
      <w:lang w:val="zh-CN" w:eastAsia="zh-CN" w:bidi="ar-SA"/>
    </w:rPr>
  </w:style>
  <w:style w:type="paragraph" w:customStyle="1" w:styleId="80">
    <w:name w:val="Default"/>
    <w:basedOn w:val="8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1">
    <w:name w:val="纯文本1"/>
    <w:basedOn w:val="1"/>
    <w:qFormat/>
    <w:uiPriority w:val="0"/>
    <w:rPr>
      <w:rFonts w:ascii="宋体" w:hAnsi="Courier New" w:cs="Courier New"/>
      <w:szCs w:val="21"/>
    </w:rPr>
  </w:style>
  <w:style w:type="paragraph" w:customStyle="1" w:styleId="82">
    <w:name w:val="报告书正文"/>
    <w:basedOn w:val="1"/>
    <w:autoRedefine/>
    <w:qFormat/>
    <w:uiPriority w:val="0"/>
    <w:pPr>
      <w:adjustRightInd w:val="0"/>
      <w:snapToGrid w:val="0"/>
      <w:spacing w:line="360" w:lineRule="atLeast"/>
      <w:ind w:firstLine="425"/>
      <w:textAlignment w:val="baseline"/>
    </w:pPr>
    <w:rPr>
      <w:rFonts w:asciiTheme="minorHAnsi" w:hAnsiTheme="minorHAnsi" w:cstheme="minorBidi"/>
      <w:sz w:val="24"/>
    </w:rPr>
  </w:style>
  <w:style w:type="paragraph" w:customStyle="1" w:styleId="83">
    <w:name w:val="表格标题"/>
    <w:autoRedefine/>
    <w:qFormat/>
    <w:uiPriority w:val="0"/>
    <w:pPr>
      <w:widowControl w:val="0"/>
      <w:adjustRightInd w:val="0"/>
      <w:snapToGrid w:val="0"/>
      <w:spacing w:line="480" w:lineRule="exact"/>
      <w:ind w:firstLine="200" w:firstLineChars="200"/>
      <w:jc w:val="center"/>
    </w:pPr>
    <w:rPr>
      <w:rFonts w:ascii="Times New Roman" w:hAnsi="Times New Roman" w:eastAsia="黑体" w:cs="Times New Roman"/>
      <w:snapToGrid w:val="0"/>
      <w:sz w:val="24"/>
      <w:szCs w:val="24"/>
      <w:lang w:val="en-US" w:eastAsia="zh-CN" w:bidi="ar-SA"/>
    </w:rPr>
  </w:style>
  <w:style w:type="paragraph" w:customStyle="1" w:styleId="84">
    <w:name w:val="正文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
    <w:name w:val="_Style 16"/>
    <w:basedOn w:val="1"/>
    <w:next w:val="14"/>
    <w:autoRedefine/>
    <w:qFormat/>
    <w:uiPriority w:val="0"/>
    <w:rPr>
      <w:rFonts w:ascii="宋体" w:hAnsi="Courier New"/>
      <w:szCs w:val="20"/>
    </w:rPr>
  </w:style>
  <w:style w:type="paragraph" w:styleId="86">
    <w:name w:val="No Spacing"/>
    <w:basedOn w:val="1"/>
    <w:autoRedefine/>
    <w:qFormat/>
    <w:uiPriority w:val="1"/>
    <w:pPr>
      <w:adjustRightInd w:val="0"/>
      <w:snapToGrid w:val="0"/>
      <w:spacing w:line="360" w:lineRule="auto"/>
    </w:pPr>
    <w:rPr>
      <w:rFonts w:cstheme="minorBidi"/>
      <w:sz w:val="21"/>
      <w:szCs w:val="22"/>
    </w:rPr>
  </w:style>
  <w:style w:type="paragraph" w:customStyle="1" w:styleId="87">
    <w:name w:val="样式 标题 1 + 首行缩进:  2 字符"/>
    <w:basedOn w:val="12"/>
    <w:next w:val="1"/>
    <w:autoRedefine/>
    <w:qFormat/>
    <w:uiPriority w:val="0"/>
    <w:pPr>
      <w:ind w:firstLine="200" w:firstLineChars="200"/>
      <w:jc w:val="center"/>
    </w:pPr>
    <w:rPr>
      <w:rFonts w:cs="宋体"/>
    </w:rPr>
  </w:style>
  <w:style w:type="paragraph" w:customStyle="1" w:styleId="88">
    <w:name w:val="正文（缩进）"/>
    <w:basedOn w:val="1"/>
    <w:autoRedefine/>
    <w:qFormat/>
    <w:uiPriority w:val="99"/>
    <w:pPr>
      <w:spacing w:line="360" w:lineRule="auto"/>
      <w:ind w:firstLine="480" w:firstLineChars="200"/>
    </w:pPr>
    <w:rPr>
      <w:rFonts w:ascii="Times New Roman" w:hAnsi="Times New Roman" w:cs="Times New Roman"/>
      <w:sz w:val="24"/>
      <w:szCs w:val="24"/>
    </w:rPr>
  </w:style>
  <w:style w:type="character" w:customStyle="1" w:styleId="89">
    <w:name w:val="news1"/>
    <w:autoRedefine/>
    <w:qFormat/>
    <w:uiPriority w:val="0"/>
    <w:rPr>
      <w:color w:val="000000"/>
      <w:sz w:val="18"/>
      <w:szCs w:val="18"/>
      <w:u w:val="none"/>
    </w:rPr>
  </w:style>
  <w:style w:type="paragraph" w:customStyle="1" w:styleId="90">
    <w:name w:val="样式1"/>
    <w:basedOn w:val="1"/>
    <w:next w:val="23"/>
    <w:autoRedefine/>
    <w:qFormat/>
    <w:uiPriority w:val="0"/>
    <w:pPr>
      <w:ind w:firstLine="462" w:firstLineChars="200"/>
    </w:pPr>
    <w:rPr>
      <w:rFonts w:ascii="宋体" w:hAnsi="宋体"/>
      <w:color w:val="000000"/>
      <w:kern w:val="0"/>
      <w:sz w:val="24"/>
    </w:rPr>
  </w:style>
  <w:style w:type="paragraph" w:customStyle="1" w:styleId="91">
    <w:name w:val="样式5"/>
    <w:basedOn w:val="92"/>
    <w:autoRedefine/>
    <w:qFormat/>
    <w:uiPriority w:val="0"/>
    <w:pPr>
      <w:spacing w:line="480" w:lineRule="exact"/>
      <w:ind w:firstLine="200"/>
    </w:pPr>
    <w:rPr>
      <w:sz w:val="28"/>
    </w:rPr>
  </w:style>
  <w:style w:type="paragraph" w:customStyle="1" w:styleId="92">
    <w:name w:val="样式3"/>
    <w:basedOn w:val="18"/>
    <w:next w:val="12"/>
    <w:autoRedefine/>
    <w:qFormat/>
    <w:uiPriority w:val="0"/>
    <w:pPr>
      <w:widowControl/>
      <w:spacing w:line="490" w:lineRule="exact"/>
      <w:jc w:val="left"/>
    </w:pPr>
  </w:style>
  <w:style w:type="character" w:customStyle="1" w:styleId="93">
    <w:name w:val="fontstyle01"/>
    <w:basedOn w:val="27"/>
    <w:autoRedefine/>
    <w:qFormat/>
    <w:uiPriority w:val="0"/>
    <w:rPr>
      <w:rFonts w:hint="eastAsia" w:ascii="宋体" w:hAnsi="宋体" w:eastAsia="宋体"/>
      <w:color w:val="000000"/>
      <w:sz w:val="24"/>
      <w:szCs w:val="24"/>
    </w:rPr>
  </w:style>
  <w:style w:type="paragraph" w:customStyle="1" w:styleId="94">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3857</Words>
  <Characters>4889</Characters>
  <Lines>0</Lines>
  <Paragraphs>0</Paragraphs>
  <TotalTime>0</TotalTime>
  <ScaleCrop>false</ScaleCrop>
  <LinksUpToDate>false</LinksUpToDate>
  <CharactersWithSpaces>5441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2021-04-16T01:03:00Z</dcterms:created>
  <dc:creator>Administrator</dc:creator>
  <cp:lastModifiedBy>N0</cp:lastModifiedBy>
  <cp:lastPrinted>2022-12-08T02:45:00Z</cp:lastPrinted>
  <dcterms:modified xsi:type="dcterms:W3CDTF">2025-05-22T01:21:59Z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5AB5FF7E8F854519AF14D27CA7691E8A</vt:lpwstr>
  </property>
  <property fmtid="{D5CDD505-2E9C-101B-9397-08002B2CF9AE}" pid="4" name="KSOTemplateDocerSaveRecord">
    <vt:lpwstr>eyJoZGlkIjoiNmNiMDk4NmVhYzFiMTI4YTdmMDlmYWJmNWUxMDhjZWIiLCJ1c2VySWQiOiIyMzExNDY2NzAifQ==</vt:lpwstr>
  </property>
</Properties>
</file>